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8E8" w:rsidRPr="00D07869" w:rsidRDefault="00B668E8" w:rsidP="00D07869">
      <w:pPr>
        <w:pStyle w:val="Heading1"/>
        <w:spacing w:before="300"/>
        <w:jc w:val="center"/>
        <w:rPr>
          <w:lang w:val="fr-FR"/>
        </w:rPr>
      </w:pPr>
      <w:r w:rsidRPr="00D07869">
        <w:rPr>
          <w:lang w:val="fr-FR"/>
        </w:rPr>
        <w:t xml:space="preserve">PARTIE  </w:t>
      </w:r>
      <w:r w:rsidRPr="00D07869">
        <w:rPr>
          <w:rStyle w:val="href"/>
          <w:lang w:val="fr-FR"/>
        </w:rPr>
        <w:t>A2</w:t>
      </w:r>
    </w:p>
    <w:p w:rsidR="00B668E8" w:rsidRPr="00D07869" w:rsidRDefault="00B668E8" w:rsidP="00D07869">
      <w:pPr>
        <w:pStyle w:val="Heading1"/>
        <w:ind w:left="0" w:firstLine="0"/>
        <w:jc w:val="center"/>
        <w:rPr>
          <w:lang w:val="fr-FR"/>
        </w:rPr>
      </w:pPr>
      <w:r w:rsidRPr="00D07869">
        <w:rPr>
          <w:lang w:val="fr-FR"/>
        </w:rPr>
        <w:t>Règles relatives à l'Accord régional pour la Zone européenne de</w:t>
      </w:r>
      <w:r w:rsidR="00D07869" w:rsidRPr="00D07869">
        <w:rPr>
          <w:lang w:val="fr-FR"/>
        </w:rPr>
        <w:br/>
      </w:r>
      <w:r w:rsidRPr="00D07869">
        <w:rPr>
          <w:lang w:val="fr-FR"/>
        </w:rPr>
        <w:t>radiodiffusion relatif à l'utilisation par le service de radiodiffusion</w:t>
      </w:r>
      <w:r w:rsidRPr="00D07869">
        <w:rPr>
          <w:lang w:val="fr-FR"/>
        </w:rPr>
        <w:br/>
        <w:t>de fréquences des bandes des ondes métriques et décimétriques</w:t>
      </w:r>
      <w:r w:rsidRPr="00D07869">
        <w:rPr>
          <w:lang w:val="fr-FR"/>
        </w:rPr>
        <w:br/>
        <w:t>(Stockholm, 1961) (</w:t>
      </w:r>
      <w:r w:rsidRPr="00D07869">
        <w:rPr>
          <w:rStyle w:val="href2"/>
          <w:lang w:val="fr-FR"/>
        </w:rPr>
        <w:t>ST61</w:t>
      </w:r>
      <w:r w:rsidRPr="00D07869">
        <w:rPr>
          <w:lang w:val="fr-FR"/>
        </w:rPr>
        <w:t>)</w:t>
      </w:r>
    </w:p>
    <w:p w:rsidR="00B668E8" w:rsidRPr="00D07869" w:rsidRDefault="00B668E8" w:rsidP="00D07869">
      <w:pPr>
        <w:pStyle w:val="Heading1"/>
        <w:rPr>
          <w:lang w:val="fr-FR"/>
        </w:rPr>
      </w:pPr>
      <w:r w:rsidRPr="00D07869">
        <w:rPr>
          <w:lang w:val="fr-FR"/>
        </w:rPr>
        <w:t>1</w:t>
      </w:r>
      <w:r w:rsidRPr="00D07869">
        <w:rPr>
          <w:lang w:val="fr-FR"/>
        </w:rPr>
        <w:tab/>
        <w:t>Domaine de compétence de l'Accord</w:t>
      </w:r>
    </w:p>
    <w:p w:rsidR="00B668E8" w:rsidRPr="00D07869" w:rsidRDefault="00B668E8" w:rsidP="00D07869">
      <w:pPr>
        <w:rPr>
          <w:lang w:val="fr-FR"/>
        </w:rPr>
      </w:pPr>
      <w:r w:rsidRPr="00D07869">
        <w:rPr>
          <w:lang w:val="fr-FR"/>
        </w:rPr>
        <w:t xml:space="preserve">Compte tenu des révisions de l'Accord ST61, effectuées en 1985 et 2006, et conformément au Tableau d'attribution des bandes de fréquences figurant dans l'Article </w:t>
      </w:r>
      <w:r w:rsidRPr="00D07869">
        <w:rPr>
          <w:rStyle w:val="Artref"/>
          <w:b/>
          <w:bCs/>
          <w:color w:val="000000"/>
          <w:lang w:val="fr-FR"/>
        </w:rPr>
        <w:t>5</w:t>
      </w:r>
      <w:r w:rsidRPr="00D07869">
        <w:rPr>
          <w:lang w:val="fr-FR"/>
        </w:rPr>
        <w:t xml:space="preserve"> du Règlement des radiocommunications (RR) (Edition de 2004), l'Accord ST61 régit, depuis le 17 juin 2006, l'utilisation des bandes de fréquences suivantes par le service de radiodiffusion dans la Zone européenne de radiodiffusion:</w:t>
      </w:r>
    </w:p>
    <w:p w:rsidR="00B668E8" w:rsidRPr="00D07869" w:rsidRDefault="00B668E8">
      <w:pPr>
        <w:pStyle w:val="enumlev1"/>
        <w:rPr>
          <w:lang w:val="fr-FR"/>
        </w:rPr>
      </w:pPr>
      <w:r w:rsidRPr="00D07869">
        <w:rPr>
          <w:lang w:val="fr-FR"/>
        </w:rPr>
        <w:t>–</w:t>
      </w:r>
      <w:r w:rsidRPr="00D07869">
        <w:rPr>
          <w:lang w:val="fr-FR"/>
        </w:rPr>
        <w:tab/>
        <w:t>47-68 MHz (radiodiffusion sonore et télévisuelle);</w:t>
      </w:r>
    </w:p>
    <w:p w:rsidR="00B668E8" w:rsidRPr="00D07869" w:rsidRDefault="00B668E8">
      <w:pPr>
        <w:pStyle w:val="enumlev1"/>
        <w:rPr>
          <w:lang w:val="fr-FR"/>
        </w:rPr>
      </w:pPr>
      <w:r w:rsidRPr="00D07869">
        <w:rPr>
          <w:lang w:val="fr-FR"/>
        </w:rPr>
        <w:t>–</w:t>
      </w:r>
      <w:r w:rsidRPr="00D07869">
        <w:rPr>
          <w:lang w:val="fr-FR"/>
        </w:rPr>
        <w:tab/>
        <w:t>87,5-100 MHz (radiodiffusion télévisuelle); et</w:t>
      </w:r>
    </w:p>
    <w:p w:rsidR="00B668E8" w:rsidRPr="00D07869" w:rsidRDefault="00B668E8" w:rsidP="00D07869">
      <w:pPr>
        <w:pStyle w:val="enumlev1"/>
        <w:rPr>
          <w:lang w:val="fr-FR"/>
        </w:rPr>
      </w:pPr>
      <w:r w:rsidRPr="00D07869">
        <w:rPr>
          <w:lang w:val="fr-FR"/>
        </w:rPr>
        <w:t>–</w:t>
      </w:r>
      <w:r w:rsidRPr="00D07869">
        <w:rPr>
          <w:lang w:val="fr-FR"/>
        </w:rPr>
        <w:tab/>
        <w:t>162-170 MHz(radiodiffusion télévisuelle).</w:t>
      </w:r>
    </w:p>
    <w:p w:rsidR="00B668E8" w:rsidRPr="00D07869" w:rsidRDefault="00B668E8" w:rsidP="00D07869">
      <w:pPr>
        <w:pStyle w:val="Heading1"/>
        <w:rPr>
          <w:lang w:val="fr-FR"/>
        </w:rPr>
      </w:pPr>
      <w:r w:rsidRPr="00D07869">
        <w:rPr>
          <w:lang w:val="fr-FR"/>
        </w:rPr>
        <w:t>2</w:t>
      </w:r>
      <w:r w:rsidRPr="00D07869">
        <w:rPr>
          <w:lang w:val="fr-FR"/>
        </w:rPr>
        <w:tab/>
        <w:t>Recevabilité des fiches de notification</w:t>
      </w:r>
    </w:p>
    <w:p w:rsidR="00B668E8" w:rsidRPr="00D07869" w:rsidRDefault="00B668E8" w:rsidP="00D07869">
      <w:pPr>
        <w:rPr>
          <w:lang w:val="fr-FR"/>
        </w:rPr>
      </w:pPr>
      <w:r w:rsidRPr="00D07869">
        <w:rPr>
          <w:lang w:val="fr-FR"/>
        </w:rPr>
        <w:t>Pour l’application de l'Accord régional pour la Zone européenne de radiodiffusion relatif à l'utilisation par le service de radiodiffusion de fréquences des bandes des ondes métriques et décimétriques (Stockholm, 1961), le Bureau appliquera les procédures contenues dans les Articles 4 et 5 de l'Accord et les critères techniques associés aux fiches de notification soumises par toutes les administrations dont le territoire est situé dans la Zone européenne de radiodiffusion, telle qu'elle est définie au numéro</w:t>
      </w:r>
      <w:r w:rsidR="00D07869" w:rsidRPr="00D07869">
        <w:rPr>
          <w:lang w:val="fr-FR"/>
        </w:rPr>
        <w:t xml:space="preserve"> </w:t>
      </w:r>
      <w:r w:rsidRPr="00D07869">
        <w:rPr>
          <w:rStyle w:val="Artref"/>
          <w:b/>
          <w:bCs/>
          <w:color w:val="000000"/>
          <w:lang w:val="fr-FR"/>
        </w:rPr>
        <w:t>5.14</w:t>
      </w:r>
      <w:r w:rsidRPr="00D07869">
        <w:rPr>
          <w:rStyle w:val="Artref0"/>
          <w:b/>
          <w:bCs/>
          <w:lang w:val="fr-FR"/>
        </w:rPr>
        <w:t xml:space="preserve"> </w:t>
      </w:r>
      <w:r w:rsidRPr="00D07869">
        <w:rPr>
          <w:rStyle w:val="Artref0"/>
          <w:lang w:val="fr-FR"/>
        </w:rPr>
        <w:t>du RR</w:t>
      </w:r>
      <w:r w:rsidRPr="00D07869">
        <w:rPr>
          <w:lang w:val="fr-FR"/>
        </w:rPr>
        <w:t>, à condition que la station concernée soit située à l'intérieur de la zone de planification.</w:t>
      </w:r>
    </w:p>
    <w:p w:rsidR="00D07869" w:rsidRPr="00D07869" w:rsidRDefault="00D07869" w:rsidP="00D07869">
      <w:pPr>
        <w:rPr>
          <w:lang w:val="fr-FR"/>
        </w:rPr>
      </w:pPr>
    </w:p>
    <w:p w:rsidR="00B668E8" w:rsidRPr="00D07869" w:rsidRDefault="00B668E8">
      <w:pPr>
        <w:pStyle w:val="Heading8"/>
        <w:spacing w:before="600"/>
        <w:rPr>
          <w:lang w:val="fr-FR"/>
        </w:rPr>
      </w:pPr>
      <w:r w:rsidRPr="00D07869">
        <w:rPr>
          <w:lang w:val="fr-FR"/>
        </w:rPr>
        <w:t>Art. 2</w:t>
      </w:r>
    </w:p>
    <w:p w:rsidR="00B668E8" w:rsidRPr="00D07869" w:rsidRDefault="00B668E8" w:rsidP="00D07869">
      <w:pPr>
        <w:pStyle w:val="Heading2"/>
        <w:jc w:val="center"/>
        <w:rPr>
          <w:lang w:val="fr-FR"/>
        </w:rPr>
      </w:pPr>
      <w:r w:rsidRPr="00D07869">
        <w:rPr>
          <w:lang w:val="fr-FR"/>
        </w:rPr>
        <w:t>Exécution de l'Accord</w:t>
      </w:r>
    </w:p>
    <w:p w:rsidR="00B668E8" w:rsidRPr="00D07869" w:rsidRDefault="00B668E8">
      <w:pPr>
        <w:pStyle w:val="Heading9"/>
        <w:rPr>
          <w:lang w:val="fr-FR"/>
        </w:rPr>
      </w:pPr>
      <w:r w:rsidRPr="00D07869">
        <w:rPr>
          <w:lang w:val="fr-FR"/>
        </w:rPr>
        <w:t>1</w:t>
      </w:r>
    </w:p>
    <w:p w:rsidR="00B668E8" w:rsidRDefault="00B668E8">
      <w:pPr>
        <w:rPr>
          <w:lang w:val="fr-FR"/>
        </w:rPr>
      </w:pPr>
      <w:r w:rsidRPr="00D07869">
        <w:rPr>
          <w:lang w:val="fr-FR"/>
        </w:rPr>
        <w:t>1</w:t>
      </w:r>
      <w:r w:rsidRPr="00D07869">
        <w:rPr>
          <w:lang w:val="fr-FR"/>
        </w:rPr>
        <w:tab/>
        <w:t>Dans le cadre de l'examen du point de vue de la conformité à l'Accord, une fiche de notification est considérée comme conforme à l'Accord si les caractéristiques notifiées sont identiques à celles du Plan ou, quand elles en diffèrent, si elles n'ont pas pour effet d'accroître la probabilité de brouillage – dans un azimut quelconque – au-delà de la valeur que l'on aurait obtenue en inscrivant ces caractéristiques dans le Plan.</w:t>
      </w:r>
    </w:p>
    <w:p w:rsidR="00EE49BB" w:rsidRPr="00D07869" w:rsidRDefault="00EE49BB" w:rsidP="00EE49BB">
      <w:pPr>
        <w:spacing w:before="0"/>
        <w:rPr>
          <w:lang w:val="fr-FR"/>
        </w:rPr>
      </w:pPr>
    </w:p>
    <w:p w:rsidR="00EE49BB" w:rsidRDefault="00EE49BB" w:rsidP="00D07869">
      <w:pPr>
        <w:rPr>
          <w:lang w:val="fr-FR"/>
        </w:rPr>
        <w:sectPr w:rsidR="00EE49B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B668E8" w:rsidRPr="00D07869" w:rsidRDefault="00B668E8" w:rsidP="00D07869">
      <w:pPr>
        <w:rPr>
          <w:lang w:val="fr-FR"/>
        </w:rPr>
      </w:pPr>
      <w:r w:rsidRPr="00D07869">
        <w:rPr>
          <w:lang w:val="fr-FR"/>
        </w:rPr>
        <w:lastRenderedPageBreak/>
        <w:t>2</w:t>
      </w:r>
      <w:r w:rsidRPr="00D07869">
        <w:rPr>
          <w:lang w:val="fr-FR"/>
        </w:rPr>
        <w:tab/>
        <w:t>Une assignation inscrite dans le Plan peut comporter, en plus de la puissance apparente rayonnée</w:t>
      </w:r>
      <w:r w:rsidR="00D07869" w:rsidRPr="00D07869">
        <w:rPr>
          <w:lang w:val="fr-FR"/>
        </w:rPr>
        <w:t> </w:t>
      </w:r>
      <w:r w:rsidRPr="00D07869">
        <w:rPr>
          <w:lang w:val="fr-FR"/>
        </w:rPr>
        <w:t>(p.a.r.):</w:t>
      </w:r>
    </w:p>
    <w:p w:rsidR="00B668E8" w:rsidRPr="00D07869" w:rsidRDefault="00B668E8">
      <w:pPr>
        <w:pStyle w:val="enumlev1"/>
        <w:rPr>
          <w:lang w:val="fr-FR"/>
        </w:rPr>
      </w:pPr>
      <w:r w:rsidRPr="00D07869">
        <w:rPr>
          <w:lang w:val="fr-FR"/>
        </w:rPr>
        <w:t>–</w:t>
      </w:r>
      <w:r w:rsidRPr="00D07869">
        <w:rPr>
          <w:lang w:val="fr-FR"/>
        </w:rPr>
        <w:tab/>
        <w:t>un azimut de rayonnement maximal,</w:t>
      </w:r>
    </w:p>
    <w:p w:rsidR="00B668E8" w:rsidRPr="00D07869" w:rsidRDefault="00B668E8">
      <w:pPr>
        <w:pStyle w:val="enumlev1"/>
        <w:rPr>
          <w:lang w:val="fr-FR"/>
        </w:rPr>
      </w:pPr>
      <w:r w:rsidRPr="00D07869">
        <w:rPr>
          <w:lang w:val="fr-FR"/>
        </w:rPr>
        <w:t>–</w:t>
      </w:r>
      <w:r w:rsidRPr="00D07869">
        <w:rPr>
          <w:lang w:val="fr-FR"/>
        </w:rPr>
        <w:tab/>
        <w:t>dans certains cas, une p.a.r. réduite dans un ou plusieurs azimuts ou dans un ou plusieurs secteurs.</w:t>
      </w:r>
    </w:p>
    <w:p w:rsidR="00B668E8" w:rsidRPr="00D07869" w:rsidRDefault="00B668E8">
      <w:pPr>
        <w:rPr>
          <w:lang w:val="fr-FR"/>
        </w:rPr>
      </w:pPr>
      <w:r w:rsidRPr="00D07869">
        <w:rPr>
          <w:lang w:val="fr-FR"/>
        </w:rPr>
        <w:t>3</w:t>
      </w:r>
      <w:r w:rsidRPr="00D07869">
        <w:rPr>
          <w:lang w:val="fr-FR"/>
        </w:rPr>
        <w:tab/>
        <w:t>Les caractéristiques de rayonnement notifiées sont considérées comme conformes au Plan si la p.a.r., dans un azimut quelconque, est égale ou inférieure aux valeurs découlant du Plan lorsque l'on combine la p.a.r. maximale et la p.a.r. réduite dans les azimuts ou les secteurs.</w:t>
      </w:r>
    </w:p>
    <w:p w:rsidR="00B668E8" w:rsidRPr="00D07869" w:rsidRDefault="00B668E8" w:rsidP="00D07869">
      <w:pPr>
        <w:rPr>
          <w:lang w:val="fr-FR"/>
        </w:rPr>
      </w:pPr>
      <w:r w:rsidRPr="00D07869">
        <w:rPr>
          <w:lang w:val="fr-FR"/>
        </w:rPr>
        <w:t>4</w:t>
      </w:r>
      <w:r w:rsidRPr="00D07869">
        <w:rPr>
          <w:lang w:val="fr-FR"/>
        </w:rPr>
        <w:tab/>
        <w:t>Lorsqu'une assignation, notifiée au titre de l'Article</w:t>
      </w:r>
      <w:r w:rsidR="00D07869" w:rsidRPr="00D07869">
        <w:rPr>
          <w:lang w:val="fr-FR"/>
        </w:rPr>
        <w:t xml:space="preserve"> </w:t>
      </w:r>
      <w:r w:rsidRPr="00D07869">
        <w:rPr>
          <w:rStyle w:val="Artref"/>
          <w:b/>
          <w:bCs/>
          <w:color w:val="000000"/>
          <w:lang w:val="fr-FR"/>
        </w:rPr>
        <w:t>11</w:t>
      </w:r>
      <w:r w:rsidRPr="00D07869">
        <w:rPr>
          <w:lang w:val="fr-FR"/>
        </w:rPr>
        <w:t xml:space="preserve"> du RR avec un azimut de rayonnement maximal différent de l'azimut spécifié dans le Plan, satisfait à la condition indiquée au §</w:t>
      </w:r>
      <w:r w:rsidR="00D07869" w:rsidRPr="00D07869">
        <w:rPr>
          <w:lang w:val="fr-FR"/>
        </w:rPr>
        <w:t> </w:t>
      </w:r>
      <w:r w:rsidRPr="00D07869">
        <w:rPr>
          <w:lang w:val="fr-FR"/>
        </w:rPr>
        <w:t>3 ci-dessus, ses caractéristiques de rayonnement sont considérées comme conformes au Plan.</w:t>
      </w:r>
    </w:p>
    <w:p w:rsidR="00B668E8" w:rsidRPr="00D07869" w:rsidRDefault="00B668E8" w:rsidP="00D07869">
      <w:pPr>
        <w:rPr>
          <w:lang w:val="fr-FR"/>
        </w:rPr>
      </w:pPr>
      <w:r w:rsidRPr="00D07869">
        <w:rPr>
          <w:lang w:val="fr-FR"/>
        </w:rPr>
        <w:t>5</w:t>
      </w:r>
      <w:r w:rsidRPr="00D07869">
        <w:rPr>
          <w:lang w:val="fr-FR"/>
        </w:rPr>
        <w:tab/>
        <w:t>Lorsqu'une fiche de notification est reçue, pour modification au titre de l'Article</w:t>
      </w:r>
      <w:r w:rsidR="00D07869" w:rsidRPr="00D07869">
        <w:rPr>
          <w:lang w:val="fr-FR"/>
        </w:rPr>
        <w:t> </w:t>
      </w:r>
      <w:r w:rsidRPr="00D07869">
        <w:rPr>
          <w:lang w:val="fr-FR"/>
        </w:rPr>
        <w:t>4 de l'Accord ou pour notification au titre de l'Article 5, les distances de coordination perti</w:t>
      </w:r>
      <w:r w:rsidRPr="00D07869">
        <w:rPr>
          <w:lang w:val="fr-FR"/>
        </w:rPr>
        <w:softHyphen/>
        <w:t>nentes de l'Accord doivent s'appliquer aussi bien aux systèmes analogiques qu'aux systèmes numériques. Il convient d'utiliser un symbole approprié pour identifier la norme de télévision.</w:t>
      </w:r>
    </w:p>
    <w:p w:rsidR="00EE49BB" w:rsidRPr="00D07869" w:rsidRDefault="00EE49BB" w:rsidP="00EE49BB">
      <w:pPr>
        <w:pStyle w:val="Heading8"/>
        <w:spacing w:before="600"/>
        <w:rPr>
          <w:lang w:val="fr-FR"/>
        </w:rPr>
      </w:pPr>
      <w:r w:rsidRPr="00D07869">
        <w:rPr>
          <w:lang w:val="fr-FR"/>
        </w:rPr>
        <w:t xml:space="preserve">Art. </w:t>
      </w:r>
      <w:r>
        <w:rPr>
          <w:lang w:val="fr-FR"/>
        </w:rPr>
        <w:t>4</w:t>
      </w:r>
      <w:r w:rsidR="007F5DBF">
        <w:rPr>
          <w:lang w:val="fr-FR"/>
        </w:rPr>
        <w:tab/>
      </w:r>
      <w:r w:rsidR="007F5DBF">
        <w:rPr>
          <w:lang w:val="fr-FR"/>
        </w:rPr>
        <w:tab/>
      </w:r>
      <w:r w:rsidR="007F5DBF" w:rsidRPr="004807E2">
        <w:rPr>
          <w:sz w:val="16"/>
          <w:szCs w:val="16"/>
        </w:rPr>
        <w:t xml:space="preserve">(ADD </w:t>
      </w:r>
      <w:r w:rsidR="007F5DBF" w:rsidRPr="00724F43">
        <w:rPr>
          <w:bCs/>
          <w:sz w:val="16"/>
          <w:szCs w:val="16"/>
        </w:rPr>
        <w:t>RRB19/81</w:t>
      </w:r>
      <w:r w:rsidR="007F5DBF" w:rsidRPr="004807E2">
        <w:rPr>
          <w:sz w:val="16"/>
          <w:szCs w:val="16"/>
        </w:rPr>
        <w:t>)</w:t>
      </w:r>
      <w:bookmarkStart w:id="0" w:name="_GoBack"/>
      <w:bookmarkEnd w:id="0"/>
    </w:p>
    <w:p w:rsidR="00EE49BB" w:rsidRPr="00EE49BB" w:rsidRDefault="00EE49BB" w:rsidP="00EE49BB">
      <w:pPr>
        <w:pStyle w:val="Heading2"/>
        <w:jc w:val="center"/>
        <w:rPr>
          <w:lang w:val="fr-FR"/>
        </w:rPr>
      </w:pPr>
      <w:r w:rsidRPr="00EE49BB">
        <w:rPr>
          <w:lang w:val="fr-CH"/>
        </w:rPr>
        <w:t>Modifications des caractéristiques des stations couvertes par l'Accord</w:t>
      </w:r>
    </w:p>
    <w:p w:rsidR="00EE49BB" w:rsidRPr="00D07869" w:rsidRDefault="00EE49BB" w:rsidP="00EE49BB">
      <w:pPr>
        <w:pStyle w:val="Heading9"/>
        <w:rPr>
          <w:lang w:val="fr-FR"/>
        </w:rPr>
      </w:pPr>
      <w:r w:rsidRPr="00D07869">
        <w:rPr>
          <w:lang w:val="fr-FR"/>
        </w:rPr>
        <w:t>1</w:t>
      </w:r>
      <w:r>
        <w:rPr>
          <w:lang w:val="fr-FR"/>
        </w:rPr>
        <w:t>.3</w:t>
      </w:r>
    </w:p>
    <w:p w:rsidR="00EE49BB" w:rsidRPr="00EE49BB" w:rsidRDefault="00EE49BB" w:rsidP="00EE49BB">
      <w:pPr>
        <w:rPr>
          <w:lang w:val="fr-CH"/>
        </w:rPr>
      </w:pPr>
      <w:r w:rsidRPr="00EE49BB">
        <w:rPr>
          <w:lang w:val="fr-CH"/>
        </w:rPr>
        <w:t>Lorsqu'une administration, conformément aux dispositions des § 1.3 et 2.1.4 de l'Article 4 de l'Accord, ne communique pas au Bureau les caractéristiques définitives de l'assignation, deux ans et 12 semaines après sa publication dans la Partie A d'une Section spéciale ST61, la modification deviendra caduque et sera renvoyée à l'administration notificatrice. Le Bureau enverra un rappel à l'administration notificatrice deux mois avant la fin de ce délai de deux ans et 12 semaines et le renvoi de la modification.</w:t>
      </w:r>
    </w:p>
    <w:p w:rsidR="00B668E8" w:rsidRPr="00EE49BB" w:rsidRDefault="00EE49BB" w:rsidP="00EE49BB">
      <w:pPr>
        <w:rPr>
          <w:lang w:val="fr-FR"/>
        </w:rPr>
      </w:pPr>
      <w:r w:rsidRPr="00EE49BB">
        <w:rPr>
          <w:lang w:val="fr-CH"/>
        </w:rPr>
        <w:t>L'administration peut soumettre à nouveau l'assignation et suivre toute la procédure de l'Article 4 de l'Accord. La date à laquelle le Bureau reçoit la nouvelle soumission sera considérée comme la nouvelle date de réception du projet de modification.</w:t>
      </w:r>
    </w:p>
    <w:p w:rsidR="00EE49BB" w:rsidRPr="00D07869" w:rsidRDefault="00EE49BB" w:rsidP="00D07869">
      <w:pPr>
        <w:rPr>
          <w:lang w:val="fr-FR"/>
        </w:rPr>
      </w:pPr>
    </w:p>
    <w:p w:rsidR="00B668E8" w:rsidRPr="00D07869" w:rsidRDefault="00B668E8" w:rsidP="00D07869">
      <w:pPr>
        <w:jc w:val="center"/>
        <w:rPr>
          <w:lang w:val="fr-FR"/>
        </w:rPr>
      </w:pPr>
      <w:r w:rsidRPr="00D07869">
        <w:rPr>
          <w:lang w:val="fr-FR"/>
        </w:rPr>
        <w:t>____________________</w:t>
      </w: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pPr>
    </w:p>
    <w:p w:rsidR="00B668E8" w:rsidRPr="00D07869" w:rsidRDefault="00B668E8" w:rsidP="00D07869">
      <w:pPr>
        <w:rPr>
          <w:lang w:val="fr-FR"/>
        </w:rPr>
        <w:sectPr w:rsidR="00B668E8" w:rsidRPr="00D07869">
          <w:headerReference w:type="even" r:id="rId8"/>
          <w:footnotePr>
            <w:pos w:val="beneathText"/>
          </w:footnotePr>
          <w:pgSz w:w="11907" w:h="16840" w:code="9"/>
          <w:pgMar w:top="1701" w:right="851" w:bottom="1134" w:left="1985" w:header="720" w:footer="482" w:gutter="0"/>
          <w:cols w:space="720"/>
          <w:vAlign w:val="both"/>
        </w:sectPr>
      </w:pPr>
    </w:p>
    <w:p w:rsidR="00B668E8" w:rsidRPr="00D07869" w:rsidRDefault="00B668E8" w:rsidP="00D07869">
      <w:pPr>
        <w:rPr>
          <w:lang w:val="fr-FR"/>
        </w:rPr>
      </w:pPr>
    </w:p>
    <w:sectPr w:rsidR="00B668E8" w:rsidRPr="00D07869" w:rsidSect="00D07869">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8E8" w:rsidRDefault="00B668E8">
      <w:r>
        <w:separator/>
      </w:r>
    </w:p>
  </w:endnote>
  <w:endnote w:type="continuationSeparator" w:id="0">
    <w:p w:rsidR="00B668E8" w:rsidRDefault="00B6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8E8" w:rsidRDefault="00B668E8">
      <w:r>
        <w:rPr>
          <w:b/>
        </w:rPr>
        <w:t>_______________</w:t>
      </w:r>
    </w:p>
  </w:footnote>
  <w:footnote w:type="continuationSeparator" w:id="0">
    <w:p w:rsidR="00B668E8" w:rsidRDefault="00B6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trPr>
        <w:cantSplit/>
      </w:trPr>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pPr>
          <w:r>
            <w:t xml:space="preserve">Partie </w:t>
          </w:r>
          <w:r w:rsidR="00BA4423">
            <w:fldChar w:fldCharType="begin"/>
          </w:r>
          <w:r w:rsidR="00BA4423">
            <w:instrText>styleref href</w:instrText>
          </w:r>
          <w:r w:rsidR="00BA4423">
            <w:fldChar w:fldCharType="separate"/>
          </w:r>
          <w:r w:rsidR="00F02DD5">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BA4423">
          <w:pPr>
            <w:pStyle w:val="HeaderRegProc"/>
            <w:rPr>
              <w:lang w:val="fr-FR"/>
            </w:rPr>
          </w:pPr>
          <w:r>
            <w:fldChar w:fldCharType="begin"/>
          </w:r>
          <w:r>
            <w:instrText>styleref href2</w:instrText>
          </w:r>
          <w:r>
            <w:fldChar w:fldCharType="separate"/>
          </w:r>
          <w:r w:rsidR="00F02DD5">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E49B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CH"/>
            </w:rPr>
            <w:t>rév.-</w:t>
          </w:r>
        </w:p>
      </w:tc>
    </w:tr>
  </w:tbl>
  <w:p w:rsidR="00042E53" w:rsidRDefault="00042E5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trPr>
        <w:cantSplit/>
        <w:jc w:val="right"/>
      </w:trPr>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pPr>
          <w:r>
            <w:t xml:space="preserve">Partie </w:t>
          </w:r>
          <w:r w:rsidR="00BA4423">
            <w:fldChar w:fldCharType="begin"/>
          </w:r>
          <w:r w:rsidR="00BA4423">
            <w:instrText>styleref href</w:instrText>
          </w:r>
          <w:r w:rsidR="00BA4423">
            <w:fldChar w:fldCharType="separate"/>
          </w:r>
          <w:r w:rsidR="00F02DD5">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BA4423">
          <w:pPr>
            <w:pStyle w:val="HeaderRegProc"/>
            <w:rPr>
              <w:lang w:val="fr-FR"/>
            </w:rPr>
          </w:pPr>
          <w:r>
            <w:fldChar w:fldCharType="begin"/>
          </w:r>
          <w:r>
            <w:instrText>styleref href2</w:instrText>
          </w:r>
          <w:r>
            <w:fldChar w:fldCharType="separate"/>
          </w:r>
          <w:r w:rsidR="00F02DD5">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2E53" w:rsidRDefault="00042E53">
          <w:pPr>
            <w:pStyle w:val="HeaderRegProc"/>
            <w:rPr>
              <w:lang w:val="fr-CH"/>
            </w:rPr>
          </w:pPr>
          <w:r>
            <w:rPr>
              <w:lang w:val="fr-CH"/>
            </w:rPr>
            <w:t>rév.-</w:t>
          </w:r>
        </w:p>
      </w:tc>
    </w:tr>
  </w:tbl>
  <w:p w:rsidR="00042E53" w:rsidRDefault="00042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E49BB">
      <w:trPr>
        <w:cantSplit/>
      </w:trPr>
      <w:tc>
        <w:tcPr>
          <w:tcW w:w="1701" w:type="dxa"/>
          <w:tcBorders>
            <w:top w:val="single" w:sz="6" w:space="0" w:color="auto"/>
            <w:left w:val="single" w:sz="6" w:space="0" w:color="auto"/>
            <w:bottom w:val="single" w:sz="6" w:space="0" w:color="auto"/>
            <w:right w:val="single" w:sz="6" w:space="0" w:color="auto"/>
          </w:tcBorders>
        </w:tcPr>
        <w:p w:rsidR="00EE49BB" w:rsidRDefault="00EE49BB">
          <w:pPr>
            <w:pStyle w:val="HeaderRegProc"/>
          </w:pPr>
          <w:r>
            <w:t xml:space="preserve">Partie </w:t>
          </w:r>
          <w:r>
            <w:fldChar w:fldCharType="begin"/>
          </w:r>
          <w:r>
            <w:instrText>styleref href</w:instrText>
          </w:r>
          <w:r>
            <w:fldChar w:fldCharType="separate"/>
          </w:r>
          <w:r w:rsidR="00F02DD5">
            <w:rPr>
              <w:noProof/>
            </w:rPr>
            <w:t>A2</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E49BB" w:rsidRDefault="00EE49BB">
          <w:pPr>
            <w:pStyle w:val="HeaderRegProc"/>
            <w:rPr>
              <w:lang w:val="fr-FR"/>
            </w:rPr>
          </w:pPr>
          <w:r>
            <w:fldChar w:fldCharType="begin"/>
          </w:r>
          <w:r>
            <w:instrText>styleref href2</w:instrText>
          </w:r>
          <w:r>
            <w:fldChar w:fldCharType="separate"/>
          </w:r>
          <w:r w:rsidR="00F02DD5">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E49BB" w:rsidRDefault="00EE49B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E49BB" w:rsidRDefault="00EE49BB" w:rsidP="00EE49BB">
          <w:pPr>
            <w:pStyle w:val="HeaderRegProc"/>
            <w:rPr>
              <w:lang w:val="fr-CH"/>
            </w:rPr>
          </w:pPr>
          <w:r>
            <w:rPr>
              <w:lang w:val="fr-CH"/>
            </w:rPr>
            <w:t>rév.4</w:t>
          </w:r>
        </w:p>
      </w:tc>
    </w:tr>
  </w:tbl>
  <w:p w:rsidR="00EE49BB" w:rsidRDefault="00EE49BB">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E53" w:rsidRDefault="00042E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07869"/>
    <w:rsid w:val="00042E53"/>
    <w:rsid w:val="001A624F"/>
    <w:rsid w:val="007607A3"/>
    <w:rsid w:val="007B28E2"/>
    <w:rsid w:val="007F5DBF"/>
    <w:rsid w:val="00B668E8"/>
    <w:rsid w:val="00BA4423"/>
    <w:rsid w:val="00D07869"/>
    <w:rsid w:val="00EE49BB"/>
    <w:rsid w:val="00F02D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FCDF9"/>
  <w15:docId w15:val="{D69E3870-B1E3-443D-8FC6-C5D37FDC6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3</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 A2 / ST61</dc:subject>
  <dc:creator>Composition des Publications</dc:creator>
  <cp:keywords>FOLIOS:  1  -  2</cp:keywords>
  <dc:description>Edition 2009: 10.03.209/DD (dict. ok)  </dc:description>
  <cp:lastModifiedBy>Al-Yammouni, Hala</cp:lastModifiedBy>
  <cp:revision>8</cp:revision>
  <cp:lastPrinted>2019-07-26T08:50:00Z</cp:lastPrinted>
  <dcterms:created xsi:type="dcterms:W3CDTF">2012-08-08T15:46:00Z</dcterms:created>
  <dcterms:modified xsi:type="dcterms:W3CDTF">2019-07-26T08:50:00Z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