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902" w:rsidRPr="002F0D7D" w:rsidRDefault="002B00C1" w:rsidP="00CD2902">
      <w:pPr>
        <w:tabs>
          <w:tab w:val="clear" w:pos="794"/>
          <w:tab w:val="clear" w:pos="1191"/>
          <w:tab w:val="clear" w:pos="1588"/>
          <w:tab w:val="clear" w:pos="1985"/>
        </w:tabs>
        <w:spacing w:before="300"/>
        <w:jc w:val="center"/>
        <w:rPr>
          <w:rFonts w:ascii="Times New Roman Bold" w:hAnsi="Times New Roman Bold"/>
          <w:b/>
          <w:bCs/>
          <w:sz w:val="28"/>
          <w:szCs w:val="40"/>
          <w:lang w:val="en-US" w:bidi="ar-EG"/>
        </w:rPr>
      </w:pPr>
      <w:r w:rsidRPr="002F0D7D">
        <w:rPr>
          <w:rFonts w:ascii="Times New Roman Bold" w:hAnsi="Times New Roman Bold" w:hint="cs"/>
          <w:b/>
          <w:bCs/>
          <w:sz w:val="28"/>
          <w:szCs w:val="40"/>
          <w:rtl/>
          <w:lang w:bidi="ar-EG"/>
        </w:rPr>
        <w:t xml:space="preserve">الجزء </w:t>
      </w:r>
      <w:r w:rsidRPr="002F0D7D">
        <w:rPr>
          <w:rFonts w:ascii="Times New Roman Bold" w:hAnsi="Times New Roman Bold"/>
          <w:b/>
          <w:bCs/>
          <w:sz w:val="28"/>
          <w:szCs w:val="40"/>
          <w:lang w:val="en-US" w:bidi="ar-EG"/>
        </w:rPr>
        <w:t>2A</w:t>
      </w:r>
    </w:p>
    <w:p w:rsidR="002B00C1" w:rsidRPr="002F0D7D" w:rsidRDefault="002B00C1" w:rsidP="00F97E7F">
      <w:pPr>
        <w:pStyle w:val="Title"/>
        <w:spacing w:before="300" w:after="0" w:line="168" w:lineRule="auto"/>
        <w:rPr>
          <w:rFonts w:ascii="Times New Roman Bold" w:hAnsi="Times New Roman Bold" w:cs="Traditional Arabic"/>
          <w:szCs w:val="40"/>
          <w:rtl/>
        </w:rPr>
      </w:pPr>
      <w:r w:rsidRPr="002F0D7D">
        <w:rPr>
          <w:rFonts w:ascii="Times New Roman Bold" w:hAnsi="Times New Roman Bold" w:cs="Traditional Arabic"/>
          <w:szCs w:val="40"/>
          <w:rtl/>
        </w:rPr>
        <w:t xml:space="preserve">القواعد المتعلقة بالاتفاق الإقليمي </w:t>
      </w:r>
      <w:r w:rsidR="002F0D7D">
        <w:rPr>
          <w:rFonts w:ascii="Times New Roman Bold" w:hAnsi="Times New Roman Bold" w:cs="Traditional Arabic" w:hint="cs"/>
          <w:szCs w:val="40"/>
          <w:rtl/>
        </w:rPr>
        <w:t>ل</w:t>
      </w:r>
      <w:r w:rsidRPr="002F0D7D">
        <w:rPr>
          <w:rFonts w:ascii="Times New Roman Bold" w:hAnsi="Times New Roman Bold" w:cs="Traditional Arabic"/>
          <w:szCs w:val="40"/>
          <w:rtl/>
        </w:rPr>
        <w:t xml:space="preserve">لمنطقة الإذاعية الأوروبية </w:t>
      </w:r>
      <w:r w:rsidRPr="002F0D7D">
        <w:rPr>
          <w:rFonts w:ascii="Times New Roman Bold" w:hAnsi="Times New Roman Bold" w:cs="Traditional Arabic"/>
          <w:szCs w:val="40"/>
          <w:rtl/>
        </w:rPr>
        <w:br/>
      </w:r>
      <w:r w:rsidR="002F0D7D">
        <w:rPr>
          <w:rFonts w:ascii="Times New Roman Bold" w:hAnsi="Times New Roman Bold" w:cs="Traditional Arabic" w:hint="cs"/>
          <w:szCs w:val="40"/>
          <w:rtl/>
        </w:rPr>
        <w:t>المعني</w:t>
      </w:r>
      <w:r w:rsidRPr="002F0D7D">
        <w:rPr>
          <w:rFonts w:ascii="Times New Roman Bold" w:hAnsi="Times New Roman Bold" w:cs="Traditional Arabic"/>
          <w:szCs w:val="40"/>
          <w:rtl/>
        </w:rPr>
        <w:t xml:space="preserve"> </w:t>
      </w:r>
      <w:r w:rsidR="002F0D7D">
        <w:rPr>
          <w:rFonts w:ascii="Times New Roman Bold" w:hAnsi="Times New Roman Bold" w:cs="Traditional Arabic" w:hint="cs"/>
          <w:szCs w:val="40"/>
          <w:rtl/>
        </w:rPr>
        <w:t>ب</w:t>
      </w:r>
      <w:r w:rsidR="009C5739">
        <w:rPr>
          <w:rFonts w:ascii="Times New Roman Bold" w:hAnsi="Times New Roman Bold" w:cs="Traditional Arabic" w:hint="cs"/>
          <w:szCs w:val="40"/>
          <w:rtl/>
        </w:rPr>
        <w:t xml:space="preserve">استعمال </w:t>
      </w:r>
      <w:r w:rsidRPr="002F0D7D">
        <w:rPr>
          <w:rFonts w:ascii="Times New Roman Bold" w:hAnsi="Times New Roman Bold" w:cs="Traditional Arabic"/>
          <w:szCs w:val="40"/>
          <w:rtl/>
        </w:rPr>
        <w:t xml:space="preserve">الخدمة الإذاعية للترددات </w:t>
      </w:r>
      <w:r w:rsidRPr="002F0D7D">
        <w:rPr>
          <w:rFonts w:ascii="Times New Roman Bold" w:hAnsi="Times New Roman Bold" w:cs="Traditional Arabic"/>
          <w:szCs w:val="40"/>
          <w:rtl/>
        </w:rPr>
        <w:br/>
        <w:t xml:space="preserve">في نطاقات الموجات المترية </w:t>
      </w:r>
      <w:r w:rsidRPr="002F0D7D">
        <w:rPr>
          <w:rFonts w:ascii="Times New Roman Bold" w:hAnsi="Times New Roman Bold" w:cs="Traditional Arabic"/>
          <w:szCs w:val="40"/>
        </w:rPr>
        <w:t>(VHF)</w:t>
      </w:r>
      <w:r w:rsidRPr="002F0D7D">
        <w:rPr>
          <w:rFonts w:ascii="Times New Roman Bold" w:hAnsi="Times New Roman Bold" w:cs="Traditional Arabic"/>
          <w:szCs w:val="40"/>
          <w:rtl/>
        </w:rPr>
        <w:t xml:space="preserve"> والديس</w:t>
      </w:r>
      <w:r w:rsidR="009C5739">
        <w:rPr>
          <w:rFonts w:ascii="Times New Roman Bold" w:hAnsi="Times New Roman Bold" w:cs="Traditional Arabic" w:hint="cs"/>
          <w:szCs w:val="40"/>
          <w:rtl/>
        </w:rPr>
        <w:t>ي</w:t>
      </w:r>
      <w:r w:rsidRPr="002F0D7D">
        <w:rPr>
          <w:rFonts w:ascii="Times New Roman Bold" w:hAnsi="Times New Roman Bold" w:cs="Traditional Arabic"/>
          <w:szCs w:val="40"/>
          <w:rtl/>
        </w:rPr>
        <w:t xml:space="preserve">مترية </w:t>
      </w:r>
      <w:r w:rsidRPr="002F0D7D">
        <w:rPr>
          <w:rFonts w:ascii="Times New Roman Bold" w:hAnsi="Times New Roman Bold" w:cs="Traditional Arabic"/>
          <w:szCs w:val="40"/>
        </w:rPr>
        <w:t>(UHF)</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tl/>
        </w:rPr>
        <w:br/>
        <w:t xml:space="preserve">(ستكهولم، </w:t>
      </w:r>
      <w:r w:rsidRPr="002F0D7D">
        <w:rPr>
          <w:rFonts w:ascii="Times New Roman Bold" w:hAnsi="Times New Roman Bold" w:cs="Traditional Arabic"/>
          <w:szCs w:val="40"/>
        </w:rPr>
        <w:t>(1961</w:t>
      </w:r>
      <w:r w:rsidRPr="002F0D7D">
        <w:rPr>
          <w:rFonts w:ascii="Times New Roman Bold" w:hAnsi="Times New Roman Bold" w:cs="Traditional Arabic"/>
          <w:szCs w:val="40"/>
          <w:rtl/>
        </w:rPr>
        <w:t xml:space="preserve"> </w:t>
      </w:r>
      <w:r w:rsidRPr="002F0D7D">
        <w:rPr>
          <w:rFonts w:ascii="Times New Roman Bold" w:hAnsi="Times New Roman Bold" w:cs="Traditional Arabic"/>
          <w:szCs w:val="40"/>
        </w:rPr>
        <w:t>(ST61)</w:t>
      </w:r>
    </w:p>
    <w:p w:rsidR="00BF3BC8" w:rsidRPr="003838BA" w:rsidRDefault="002B00C1" w:rsidP="00A3759F">
      <w:pPr>
        <w:pStyle w:val="Heading1"/>
        <w:spacing w:before="600"/>
        <w:rPr>
          <w:lang w:val="en-US" w:bidi="ar-EG"/>
        </w:rPr>
      </w:pPr>
      <w:r w:rsidRPr="003838BA">
        <w:rPr>
          <w:lang w:val="en-US" w:bidi="ar-EG"/>
        </w:rPr>
        <w:t>1</w:t>
      </w:r>
      <w:r w:rsidRPr="003838BA">
        <w:rPr>
          <w:rFonts w:hint="cs"/>
          <w:rtl/>
          <w:lang w:val="en-US"/>
        </w:rPr>
        <w:tab/>
      </w:r>
      <w:r w:rsidR="004031BD" w:rsidRPr="003838BA">
        <w:rPr>
          <w:rFonts w:hint="cs"/>
          <w:rtl/>
          <w:lang w:val="en-US"/>
        </w:rPr>
        <w:t>مجال تطبيق</w:t>
      </w:r>
      <w:r w:rsidR="00AE4A3A" w:rsidRPr="003838BA">
        <w:rPr>
          <w:rFonts w:hint="cs"/>
          <w:rtl/>
          <w:lang w:val="en-US"/>
        </w:rPr>
        <w:t xml:space="preserve"> الاتفاق</w:t>
      </w:r>
    </w:p>
    <w:p w:rsidR="002B00C1" w:rsidRDefault="00AE4A3A" w:rsidP="00244E10">
      <w:pPr>
        <w:tabs>
          <w:tab w:val="clear" w:pos="794"/>
          <w:tab w:val="clear" w:pos="1191"/>
          <w:tab w:val="clear" w:pos="1588"/>
          <w:tab w:val="clear" w:pos="1985"/>
        </w:tabs>
        <w:spacing w:before="240"/>
        <w:rPr>
          <w:rtl/>
          <w:lang w:val="en-US" w:bidi="ar-EG"/>
        </w:rPr>
      </w:pPr>
      <w:r>
        <w:rPr>
          <w:rFonts w:hint="cs"/>
          <w:rtl/>
          <w:lang w:val="en-US"/>
        </w:rPr>
        <w:t xml:space="preserve">بعد تنقيحات اتفاق </w:t>
      </w:r>
      <w:r>
        <w:rPr>
          <w:rFonts w:hint="cs"/>
          <w:rtl/>
          <w:lang w:val="en-US" w:bidi="ar-EG"/>
        </w:rPr>
        <w:t>ستكهولم</w:t>
      </w:r>
      <w:r>
        <w:rPr>
          <w:lang w:val="en-US"/>
        </w:rPr>
        <w:t xml:space="preserve"> 1961-</w:t>
      </w:r>
      <w:r>
        <w:rPr>
          <w:rFonts w:hint="cs"/>
          <w:rtl/>
          <w:lang w:val="en-US" w:bidi="ar-EG"/>
        </w:rPr>
        <w:t xml:space="preserve"> في عام </w:t>
      </w:r>
      <w:r>
        <w:rPr>
          <w:lang w:val="en-US" w:bidi="ar-EG"/>
        </w:rPr>
        <w:t>1985</w:t>
      </w:r>
      <w:r>
        <w:rPr>
          <w:rFonts w:hint="cs"/>
          <w:rtl/>
          <w:lang w:val="en-US" w:bidi="ar-EG"/>
        </w:rPr>
        <w:t xml:space="preserve"> و</w:t>
      </w:r>
      <w:r>
        <w:rPr>
          <w:lang w:val="en-US" w:bidi="ar-EG"/>
        </w:rPr>
        <w:t>2006</w:t>
      </w:r>
      <w:r>
        <w:rPr>
          <w:rFonts w:hint="cs"/>
          <w:rtl/>
          <w:lang w:val="en-US" w:bidi="ar-EG"/>
        </w:rPr>
        <w:t xml:space="preserve"> ووفقاً لجدول توزيع</w:t>
      </w:r>
      <w:r w:rsidR="004031BD">
        <w:rPr>
          <w:rFonts w:hint="cs"/>
          <w:rtl/>
          <w:lang w:val="en-US" w:bidi="ar-EG"/>
        </w:rPr>
        <w:t>ات</w:t>
      </w:r>
      <w:r>
        <w:rPr>
          <w:rFonts w:hint="cs"/>
          <w:rtl/>
          <w:lang w:val="en-US" w:bidi="ar-EG"/>
        </w:rPr>
        <w:t xml:space="preserve"> الترددات الوارد في المادة </w:t>
      </w:r>
      <w:r w:rsidRPr="004031BD">
        <w:rPr>
          <w:b/>
          <w:bCs/>
          <w:lang w:val="en-US" w:bidi="ar-EG"/>
        </w:rPr>
        <w:t>5</w:t>
      </w:r>
      <w:r>
        <w:rPr>
          <w:rFonts w:hint="cs"/>
          <w:rtl/>
          <w:lang w:val="en-US" w:bidi="ar-EG"/>
        </w:rPr>
        <w:t xml:space="preserve"> من لوائح الراديو (طبعة </w:t>
      </w:r>
      <w:r>
        <w:rPr>
          <w:lang w:val="en-US" w:bidi="ar-EG"/>
        </w:rPr>
        <w:t>2004</w:t>
      </w:r>
      <w:r>
        <w:rPr>
          <w:rFonts w:hint="cs"/>
          <w:rtl/>
          <w:lang w:val="en-US" w:bidi="ar-EG"/>
        </w:rPr>
        <w:t>) يحكم اتفاق ستكهولم</w:t>
      </w:r>
      <w:r>
        <w:rPr>
          <w:lang w:val="en-US" w:bidi="ar-EG"/>
        </w:rPr>
        <w:t>1961-</w:t>
      </w:r>
      <w:r w:rsidR="004031BD">
        <w:rPr>
          <w:rFonts w:hint="cs"/>
          <w:rtl/>
          <w:lang w:val="en-US" w:bidi="ar-EG"/>
        </w:rPr>
        <w:t>،</w:t>
      </w:r>
      <w:r>
        <w:rPr>
          <w:rFonts w:hint="cs"/>
          <w:rtl/>
          <w:lang w:val="en-US" w:bidi="ar-EG"/>
        </w:rPr>
        <w:t xml:space="preserve"> اعتباراً من </w:t>
      </w:r>
      <w:r>
        <w:rPr>
          <w:lang w:val="en-US" w:bidi="ar-EG"/>
        </w:rPr>
        <w:t>17</w:t>
      </w:r>
      <w:r>
        <w:rPr>
          <w:rFonts w:hint="cs"/>
          <w:rtl/>
          <w:lang w:val="en-US" w:bidi="ar-EG"/>
        </w:rPr>
        <w:t xml:space="preserve"> يونيو </w:t>
      </w:r>
      <w:r>
        <w:rPr>
          <w:lang w:val="en-US" w:bidi="ar-EG"/>
        </w:rPr>
        <w:t>2006</w:t>
      </w:r>
      <w:r>
        <w:rPr>
          <w:rFonts w:hint="cs"/>
          <w:rtl/>
          <w:lang w:val="en-US" w:bidi="ar-EG"/>
        </w:rPr>
        <w:t xml:space="preserve"> استعمال الخدمة الإذاعية لنطاقات </w:t>
      </w:r>
      <w:r w:rsidR="004031BD">
        <w:rPr>
          <w:rFonts w:hint="cs"/>
          <w:rtl/>
          <w:lang w:val="en-US" w:bidi="ar-EG"/>
        </w:rPr>
        <w:t xml:space="preserve">التردد </w:t>
      </w:r>
      <w:r>
        <w:rPr>
          <w:rFonts w:hint="cs"/>
          <w:rtl/>
          <w:lang w:val="en-US" w:bidi="ar-EG"/>
        </w:rPr>
        <w:t>التالية داخل المنطقة الإذاعية الأوروبية.</w:t>
      </w:r>
    </w:p>
    <w:p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68 – 47</w:t>
      </w:r>
      <w:r>
        <w:rPr>
          <w:rFonts w:hint="cs"/>
          <w:rtl/>
          <w:lang w:val="en-US" w:bidi="ar-EG"/>
        </w:rPr>
        <w:t xml:space="preserve"> (الإذاعية والتلفزيونية الصوتية)</w:t>
      </w:r>
      <w:r w:rsidR="004031BD">
        <w:rPr>
          <w:rFonts w:hint="cs"/>
          <w:rtl/>
          <w:lang w:val="en-US" w:bidi="ar-EG"/>
        </w:rPr>
        <w:t>؛</w:t>
      </w:r>
    </w:p>
    <w:p w:rsid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100 – 87,5</w:t>
      </w:r>
      <w:r>
        <w:rPr>
          <w:rFonts w:hint="cs"/>
          <w:rtl/>
          <w:lang w:val="en-US" w:bidi="ar-EG"/>
        </w:rPr>
        <w:t xml:space="preserve"> (التلفزيونية)</w:t>
      </w:r>
      <w:r w:rsidR="004031BD">
        <w:rPr>
          <w:rFonts w:hint="cs"/>
          <w:rtl/>
          <w:lang w:val="en-US" w:bidi="ar-EG"/>
        </w:rPr>
        <w:t>؛</w:t>
      </w:r>
    </w:p>
    <w:p w:rsidR="00AE4A3A" w:rsidRPr="00AE4A3A" w:rsidRDefault="00AE4A3A" w:rsidP="00244E10">
      <w:pPr>
        <w:pStyle w:val="enumlev1"/>
        <w:spacing w:before="180"/>
        <w:rPr>
          <w:rtl/>
          <w:lang w:val="en-US" w:bidi="ar-EG"/>
        </w:rPr>
      </w:pPr>
      <w:r>
        <w:rPr>
          <w:rFonts w:hint="cs"/>
          <w:rtl/>
          <w:lang w:val="en-US" w:bidi="ar-EG"/>
        </w:rPr>
        <w:t>-</w:t>
      </w:r>
      <w:r>
        <w:rPr>
          <w:rFonts w:hint="cs"/>
          <w:rtl/>
          <w:lang w:val="en-US" w:bidi="ar-EG"/>
        </w:rPr>
        <w:tab/>
      </w:r>
      <w:r>
        <w:rPr>
          <w:lang w:val="en-US" w:bidi="ar-EG"/>
        </w:rPr>
        <w:t>MHz 170 – 162</w:t>
      </w:r>
      <w:r>
        <w:rPr>
          <w:rFonts w:hint="cs"/>
          <w:rtl/>
          <w:lang w:val="en-US" w:bidi="ar-EG"/>
        </w:rPr>
        <w:t xml:space="preserve"> (التلفزيونية)</w:t>
      </w:r>
      <w:r w:rsidR="004031BD">
        <w:rPr>
          <w:rFonts w:hint="cs"/>
          <w:rtl/>
          <w:lang w:val="en-US" w:bidi="ar-EG"/>
        </w:rPr>
        <w:t>.</w:t>
      </w:r>
    </w:p>
    <w:p w:rsidR="00AE4A3A" w:rsidRPr="003838BA" w:rsidRDefault="003838BA" w:rsidP="00A3759F">
      <w:pPr>
        <w:pStyle w:val="Heading1"/>
        <w:rPr>
          <w:lang w:val="en-US" w:bidi="ar-EG"/>
        </w:rPr>
      </w:pPr>
      <w:r>
        <w:rPr>
          <w:lang w:val="en-US" w:bidi="ar-EG"/>
        </w:rPr>
        <w:t>2</w:t>
      </w:r>
      <w:r w:rsidR="00AE4A3A" w:rsidRPr="003838BA">
        <w:rPr>
          <w:rFonts w:hint="cs"/>
          <w:rtl/>
          <w:lang w:val="en-US"/>
        </w:rPr>
        <w:tab/>
        <w:t>قبول استلام بطاقات التبليغ</w:t>
      </w:r>
    </w:p>
    <w:p w:rsidR="00AE4A3A" w:rsidRPr="00AE4A3A" w:rsidRDefault="00AE4A3A" w:rsidP="00244E10">
      <w:pPr>
        <w:tabs>
          <w:tab w:val="clear" w:pos="794"/>
          <w:tab w:val="clear" w:pos="1191"/>
          <w:tab w:val="clear" w:pos="1588"/>
          <w:tab w:val="clear" w:pos="1985"/>
        </w:tabs>
        <w:spacing w:before="240"/>
        <w:rPr>
          <w:rtl/>
          <w:lang w:bidi="ar-EG"/>
        </w:rPr>
      </w:pPr>
      <w:r>
        <w:rPr>
          <w:rFonts w:hint="cs"/>
          <w:rtl/>
          <w:lang w:val="en-US"/>
        </w:rPr>
        <w:t xml:space="preserve">تطبيقاً للاتفاق الإقليمي للمنطقة الإذاعية الأوروبية المعني باستعمال الخدمة الإذاعية للترددات في نطاقات الموجات المترية </w:t>
      </w:r>
      <w:r>
        <w:rPr>
          <w:lang w:val="en-US"/>
        </w:rPr>
        <w:t>(VHF)</w:t>
      </w:r>
      <w:r>
        <w:rPr>
          <w:rFonts w:hint="cs"/>
          <w:rtl/>
          <w:lang w:val="en-US" w:bidi="ar-EG"/>
        </w:rPr>
        <w:t xml:space="preserve"> والديسيمترية </w:t>
      </w:r>
      <w:r>
        <w:rPr>
          <w:lang w:val="en-US" w:bidi="ar-EG"/>
        </w:rPr>
        <w:t>(UHF)</w:t>
      </w:r>
      <w:r>
        <w:rPr>
          <w:rFonts w:hint="cs"/>
          <w:rtl/>
          <w:lang w:val="en-US" w:bidi="ar-EG"/>
        </w:rPr>
        <w:t xml:space="preserve"> (ستكهولم، </w:t>
      </w:r>
      <w:r>
        <w:rPr>
          <w:lang w:val="en-US" w:bidi="ar-EG"/>
        </w:rPr>
        <w:t>1961</w:t>
      </w:r>
      <w:r>
        <w:rPr>
          <w:rFonts w:hint="cs"/>
          <w:rtl/>
          <w:lang w:val="en-US" w:bidi="ar-EG"/>
        </w:rPr>
        <w:t xml:space="preserve">)، سيتوخى المكتب تطبيق الإجراء الوارد في المادتين </w:t>
      </w:r>
      <w:r>
        <w:rPr>
          <w:lang w:val="en-US" w:bidi="ar-EG"/>
        </w:rPr>
        <w:t>4</w:t>
      </w:r>
      <w:r>
        <w:rPr>
          <w:rFonts w:hint="cs"/>
          <w:rtl/>
          <w:lang w:val="en-US" w:bidi="ar-EG"/>
        </w:rPr>
        <w:t xml:space="preserve"> و</w:t>
      </w:r>
      <w:r>
        <w:rPr>
          <w:lang w:val="en-US" w:bidi="ar-EG"/>
        </w:rPr>
        <w:t>5</w:t>
      </w:r>
      <w:r>
        <w:rPr>
          <w:rFonts w:hint="cs"/>
          <w:rtl/>
          <w:lang w:val="en-US" w:bidi="ar-EG"/>
        </w:rPr>
        <w:t xml:space="preserve"> من الاتفاق والمعايير التقنية المصاحبة فيما يخص بطاقات التبليغ التي تقدمها جميع الإدارات التي تقع أراضيها في المنطقة الإذاعية الأوروبية المعرفة في الرقم </w:t>
      </w:r>
      <w:r>
        <w:rPr>
          <w:b/>
          <w:bCs/>
          <w:lang w:val="en-US" w:bidi="ar-EG"/>
        </w:rPr>
        <w:t>14.5</w:t>
      </w:r>
      <w:r>
        <w:rPr>
          <w:rFonts w:hint="cs"/>
          <w:rtl/>
        </w:rPr>
        <w:t xml:space="preserve"> من لوائح الراديو، شريطة أن تقع المحطة المعنية في منطقة التخطيط.</w:t>
      </w:r>
    </w:p>
    <w:p w:rsidR="00AE4A3A" w:rsidRDefault="00AE4A3A" w:rsidP="00244E10">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4F80">
        <w:tc>
          <w:tcPr>
            <w:tcW w:w="1275" w:type="dxa"/>
          </w:tcPr>
          <w:p w:rsidR="008A4F80" w:rsidRPr="00EC59CD" w:rsidRDefault="008A4F80" w:rsidP="008A4F80">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المادة </w:t>
            </w:r>
            <w:r>
              <w:rPr>
                <w:b/>
                <w:bCs/>
                <w:lang w:val="en-US" w:bidi="ar-EG"/>
              </w:rPr>
              <w:t>2</w:t>
            </w:r>
          </w:p>
        </w:tc>
      </w:tr>
    </w:tbl>
    <w:p w:rsidR="008A4F80" w:rsidRPr="008A4F80" w:rsidRDefault="008A4F80" w:rsidP="008A4F80">
      <w:pPr>
        <w:tabs>
          <w:tab w:val="clear" w:pos="794"/>
          <w:tab w:val="clear" w:pos="1191"/>
          <w:tab w:val="clear" w:pos="1588"/>
          <w:tab w:val="clear" w:pos="1985"/>
        </w:tabs>
        <w:spacing w:before="400"/>
        <w:jc w:val="center"/>
        <w:rPr>
          <w:b/>
          <w:bCs/>
          <w:sz w:val="24"/>
          <w:szCs w:val="32"/>
          <w:rtl/>
          <w:lang w:val="en-US"/>
        </w:rPr>
      </w:pPr>
      <w:r w:rsidRPr="008A4F80">
        <w:rPr>
          <w:rFonts w:hint="cs"/>
          <w:b/>
          <w:bCs/>
          <w:sz w:val="24"/>
          <w:szCs w:val="32"/>
          <w:rtl/>
          <w:lang w:val="en-US"/>
        </w:rPr>
        <w:t>تنفيذ الاتفاق</w:t>
      </w:r>
    </w:p>
    <w:p w:rsidR="008A4F80" w:rsidRDefault="008A4F80" w:rsidP="00244E10">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A4F80">
        <w:tc>
          <w:tcPr>
            <w:tcW w:w="1275" w:type="dxa"/>
          </w:tcPr>
          <w:p w:rsidR="008A4F80" w:rsidRPr="00EC59CD" w:rsidRDefault="008A4F80" w:rsidP="008A4F80">
            <w:pPr>
              <w:tabs>
                <w:tab w:val="clear" w:pos="794"/>
                <w:tab w:val="clear" w:pos="1191"/>
                <w:tab w:val="clear" w:pos="1588"/>
                <w:tab w:val="clear" w:pos="1985"/>
              </w:tabs>
              <w:spacing w:before="0" w:after="40" w:line="280" w:lineRule="exact"/>
              <w:rPr>
                <w:b/>
                <w:bCs/>
                <w:rtl/>
                <w:lang w:val="en-US" w:bidi="ar-EG"/>
              </w:rPr>
            </w:pPr>
            <w:r>
              <w:rPr>
                <w:b/>
                <w:bCs/>
                <w:lang w:val="en-US" w:bidi="ar-EG"/>
              </w:rPr>
              <w:t>1</w:t>
            </w:r>
          </w:p>
        </w:tc>
      </w:tr>
    </w:tbl>
    <w:p w:rsidR="00A13969" w:rsidRPr="0074389B" w:rsidRDefault="00A13969" w:rsidP="00244E10">
      <w:pPr>
        <w:spacing w:before="240"/>
        <w:rPr>
          <w:rtl/>
        </w:rPr>
      </w:pPr>
      <w:r>
        <w:rPr>
          <w:lang w:val="en-US"/>
        </w:rPr>
        <w:t>1</w:t>
      </w:r>
      <w:r>
        <w:rPr>
          <w:rFonts w:hint="cs"/>
          <w:rtl/>
          <w:lang w:val="en-US"/>
        </w:rPr>
        <w:tab/>
      </w:r>
      <w:r w:rsidRPr="0074389B">
        <w:rPr>
          <w:rtl/>
        </w:rPr>
        <w:t>تعتبر بطاقة التبليغ مطابقة للاتفاق في إطار تفحص مدى مطابقتها للاتفاق، إذا كانت الخصائص المبل</w:t>
      </w:r>
      <w:r w:rsidR="00CA453D">
        <w:rPr>
          <w:rFonts w:hint="cs"/>
          <w:rtl/>
        </w:rPr>
        <w:t>ّ</w:t>
      </w:r>
      <w:r w:rsidRPr="0074389B">
        <w:rPr>
          <w:rtl/>
        </w:rPr>
        <w:t>غ عنها مطابقة لخصائص الخطة، أو إذا كانت لا تؤدي إلى زيادة احتمال حدوث التداخل في أي سمت معين، بقدر يفوق القيمة التي تنتج عن تسجيل هذه الخصائص في الخطة</w:t>
      </w:r>
      <w:r w:rsidR="00CA453D">
        <w:rPr>
          <w:rFonts w:hint="cs"/>
          <w:rtl/>
        </w:rPr>
        <w:t>،</w:t>
      </w:r>
      <w:r w:rsidRPr="0074389B">
        <w:rPr>
          <w:rtl/>
        </w:rPr>
        <w:t xml:space="preserve"> إذا كانت الخصائص المبل</w:t>
      </w:r>
      <w:r w:rsidR="00B954BB">
        <w:rPr>
          <w:rFonts w:hint="cs"/>
          <w:rtl/>
        </w:rPr>
        <w:t>ّ</w:t>
      </w:r>
      <w:r w:rsidRPr="0074389B">
        <w:rPr>
          <w:rtl/>
        </w:rPr>
        <w:t>غ عنها تختلف عن خصائص الخطة.</w:t>
      </w:r>
    </w:p>
    <w:p w:rsidR="00A13969" w:rsidRPr="0074389B" w:rsidRDefault="00244E10" w:rsidP="00A85CA0">
      <w:pPr>
        <w:rPr>
          <w:rtl/>
        </w:rPr>
      </w:pPr>
      <w:r>
        <w:br w:type="page"/>
      </w:r>
      <w:r w:rsidR="00A13969">
        <w:lastRenderedPageBreak/>
        <w:t>2</w:t>
      </w:r>
      <w:r w:rsidR="00A13969" w:rsidRPr="0074389B">
        <w:rPr>
          <w:rtl/>
        </w:rPr>
        <w:tab/>
        <w:t>يمكن أن يتضمن تخصيص مسجل في الخطة، بالإضافة إلى قدرة مشعة فعالة قصوى،</w:t>
      </w:r>
    </w:p>
    <w:p w:rsidR="00A13969" w:rsidRPr="0074389B" w:rsidRDefault="00A13969" w:rsidP="00C17733">
      <w:pPr>
        <w:pStyle w:val="enumlev1"/>
        <w:spacing w:before="240"/>
        <w:rPr>
          <w:rtl/>
        </w:rPr>
      </w:pPr>
      <w:r w:rsidRPr="0074389B">
        <w:sym w:font="Symbol" w:char="F02D"/>
      </w:r>
      <w:r w:rsidRPr="0074389B">
        <w:rPr>
          <w:rtl/>
        </w:rPr>
        <w:tab/>
        <w:t>سمت إشعاع أقصى،</w:t>
      </w:r>
    </w:p>
    <w:p w:rsidR="00A13969" w:rsidRPr="0074389B" w:rsidRDefault="00A13969" w:rsidP="00C17733">
      <w:pPr>
        <w:pStyle w:val="enumlev1"/>
        <w:spacing w:before="240"/>
        <w:rPr>
          <w:rtl/>
        </w:rPr>
      </w:pPr>
      <w:r w:rsidRPr="0074389B">
        <w:sym w:font="Symbol" w:char="F02D"/>
      </w:r>
      <w:r w:rsidRPr="0074389B">
        <w:rPr>
          <w:rtl/>
        </w:rPr>
        <w:tab/>
        <w:t>وفي بعض الحالات قدرة مشعة فعالة مخفضة في سمت واحد أو أكثر أو في قطاع واحد أو أكثر.</w:t>
      </w:r>
    </w:p>
    <w:p w:rsidR="00A13969" w:rsidRDefault="00A13969" w:rsidP="00C17733">
      <w:pPr>
        <w:spacing w:before="240"/>
        <w:rPr>
          <w:rtl/>
        </w:rPr>
      </w:pPr>
      <w:r>
        <w:t>3</w:t>
      </w:r>
      <w:r w:rsidRPr="0074389B">
        <w:rPr>
          <w:rtl/>
        </w:rPr>
        <w:tab/>
        <w:t>تعتبر خصائص الإشعاع المبلغ عنها مطابقة للخطة عندما تكون القدرة المشعة الفعالة في أي سمت مساوية للقيم المستخلصة من الخطة أو أقل منها، عندما يتم الجمع بين القدرة المشعة الفعالة القصوى والقدرة المشعة الفعالة المخفضة في السموت أو القطاعات.</w:t>
      </w:r>
    </w:p>
    <w:p w:rsidR="00A13969" w:rsidRPr="0074389B" w:rsidRDefault="00A13969" w:rsidP="00C17733">
      <w:pPr>
        <w:spacing w:before="240"/>
        <w:rPr>
          <w:rtl/>
        </w:rPr>
      </w:pPr>
      <w:r>
        <w:t>4</w:t>
      </w:r>
      <w:r w:rsidRPr="0074389B">
        <w:rPr>
          <w:rtl/>
        </w:rPr>
        <w:tab/>
        <w:t xml:space="preserve">عندما يفي تخصيص مبلغ عنه بموجب المادة </w:t>
      </w:r>
      <w:r w:rsidRPr="0074389B">
        <w:rPr>
          <w:b/>
          <w:bCs/>
        </w:rPr>
        <w:t>11</w:t>
      </w:r>
      <w:r w:rsidRPr="0074389B">
        <w:rPr>
          <w:rtl/>
        </w:rPr>
        <w:t xml:space="preserve"> مع سمت إشعاع أقصى مختلف عن السمت المحدد في الخطة، بالشرط المحدد في الفقرة </w:t>
      </w:r>
      <w:r w:rsidRPr="0074389B">
        <w:t>3</w:t>
      </w:r>
      <w:r w:rsidRPr="0074389B">
        <w:rPr>
          <w:rtl/>
        </w:rPr>
        <w:t xml:space="preserve"> أعلاه، تعتبر خصائص </w:t>
      </w:r>
      <w:r w:rsidR="002B114A">
        <w:rPr>
          <w:rFonts w:hint="cs"/>
          <w:rtl/>
        </w:rPr>
        <w:t>إ</w:t>
      </w:r>
      <w:r w:rsidRPr="0074389B">
        <w:rPr>
          <w:rtl/>
        </w:rPr>
        <w:t>شعاعه مطابقة للخطة.</w:t>
      </w:r>
    </w:p>
    <w:p w:rsidR="00F47D3A" w:rsidRDefault="00A13969" w:rsidP="00F47D3A">
      <w:pPr>
        <w:spacing w:before="240"/>
        <w:rPr>
          <w:rtl/>
          <w:lang w:bidi="ar-EG"/>
        </w:rPr>
      </w:pPr>
      <w:r>
        <w:t>5</w:t>
      </w:r>
      <w:r w:rsidRPr="0074389B">
        <w:rPr>
          <w:rtl/>
        </w:rPr>
        <w:tab/>
        <w:t xml:space="preserve">عند استلام بطاقة تبليغ من أجل التعديل بموجب المادة </w:t>
      </w:r>
      <w:r w:rsidRPr="0074389B">
        <w:t>4</w:t>
      </w:r>
      <w:r w:rsidRPr="0074389B">
        <w:rPr>
          <w:rtl/>
        </w:rPr>
        <w:t xml:space="preserve"> من الاتفاق أو للتبليغ بموجب المادة </w:t>
      </w:r>
      <w:r w:rsidRPr="0074389B">
        <w:t>5</w:t>
      </w:r>
      <w:r w:rsidRPr="0074389B">
        <w:rPr>
          <w:rtl/>
        </w:rPr>
        <w:t>، ينبغي أن تطبق مسافات التنسيق ذات الصلة الواردة في الاتفاق على الأنظمة التماثلية والأنظمة الرقمية على حد سواء. ويتعين استعمال رمز مناسب لتحديد المعيار التلفزيوني.</w:t>
      </w:r>
    </w:p>
    <w:p w:rsidR="00F47D3A" w:rsidRDefault="00F47D3A" w:rsidP="00F47D3A">
      <w:pPr>
        <w:spacing w:before="240"/>
        <w:rPr>
          <w:rtl/>
          <w:lang w:bidi="ar-EG"/>
        </w:rPr>
      </w:pPr>
    </w:p>
    <w:p w:rsidR="00F47D3A" w:rsidRPr="00F47D3A" w:rsidRDefault="00F47D3A" w:rsidP="00F47D3A">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sidRPr="00F47D3A">
        <w:rPr>
          <w:rFonts w:ascii="Traditional Arabic" w:hAnsi="Traditional Arabic"/>
          <w:bCs/>
          <w:sz w:val="30"/>
          <w:rtl/>
        </w:rPr>
        <w:t xml:space="preserve">المادة </w:t>
      </w:r>
      <w:r w:rsidRPr="00F47D3A">
        <w:rPr>
          <w:rFonts w:asciiTheme="majorBidi" w:hAnsiTheme="majorBidi" w:cstheme="majorBidi"/>
          <w:b/>
          <w:szCs w:val="22"/>
        </w:rPr>
        <w:t>4</w:t>
      </w:r>
      <w:r w:rsidRPr="00F47D3A">
        <w:rPr>
          <w:rFonts w:cs="Times New Roman"/>
          <w:b/>
          <w:sz w:val="24"/>
          <w:szCs w:val="20"/>
        </w:rPr>
        <w:tab/>
      </w:r>
      <w:r w:rsidRPr="00F47D3A">
        <w:rPr>
          <w:rFonts w:cs="Times New Roman"/>
          <w:b/>
          <w:sz w:val="24"/>
          <w:szCs w:val="20"/>
        </w:rPr>
        <w:tab/>
      </w:r>
      <w:r w:rsidRPr="00F47D3A">
        <w:rPr>
          <w:rFonts w:cs="Times New Roman"/>
          <w:b/>
          <w:sz w:val="16"/>
          <w:szCs w:val="16"/>
        </w:rPr>
        <w:t xml:space="preserve">(ADD </w:t>
      </w:r>
      <w:r w:rsidRPr="00F47D3A">
        <w:rPr>
          <w:rFonts w:cs="Times New Roman"/>
          <w:b/>
          <w:bCs/>
          <w:sz w:val="16"/>
          <w:szCs w:val="16"/>
        </w:rPr>
        <w:t>RRB19/81</w:t>
      </w:r>
      <w:r w:rsidRPr="00F47D3A">
        <w:rPr>
          <w:rFonts w:cs="Times New Roman"/>
          <w:b/>
          <w:sz w:val="16"/>
          <w:szCs w:val="16"/>
        </w:rPr>
        <w:t>)</w:t>
      </w:r>
    </w:p>
    <w:p w:rsidR="00F47D3A" w:rsidRDefault="00F47D3A" w:rsidP="00F47D3A">
      <w:pPr>
        <w:spacing w:before="240"/>
        <w:jc w:val="center"/>
        <w:rPr>
          <w:b/>
          <w:bCs/>
          <w:sz w:val="24"/>
          <w:szCs w:val="32"/>
          <w:rtl/>
        </w:rPr>
      </w:pPr>
      <w:bookmarkStart w:id="0" w:name="_GoBack"/>
      <w:bookmarkEnd w:id="0"/>
      <w:r>
        <w:rPr>
          <w:rFonts w:hint="cs"/>
          <w:b/>
          <w:bCs/>
          <w:sz w:val="24"/>
          <w:szCs w:val="32"/>
          <w:rtl/>
        </w:rPr>
        <w:t>إجراء تغييرات في خصائص المحطات التي يغطيها الاتفاق</w:t>
      </w:r>
    </w:p>
    <w:tbl>
      <w:tblPr>
        <w:tblStyle w:val="TableGrid"/>
        <w:bidiVisual/>
        <w:tblW w:w="0" w:type="auto"/>
        <w:tblBorders>
          <w:insideH w:val="none" w:sz="0" w:space="0" w:color="auto"/>
          <w:insideV w:val="none" w:sz="0" w:space="0" w:color="auto"/>
        </w:tblBorders>
        <w:tblLook w:val="01E0" w:firstRow="1" w:lastRow="1" w:firstColumn="1" w:lastColumn="1" w:noHBand="0" w:noVBand="0"/>
      </w:tblPr>
      <w:tblGrid>
        <w:gridCol w:w="1275"/>
      </w:tblGrid>
      <w:tr w:rsidR="00F47D3A" w:rsidRPr="00097313" w:rsidTr="0035740C">
        <w:tc>
          <w:tcPr>
            <w:tcW w:w="1275" w:type="dxa"/>
          </w:tcPr>
          <w:p w:rsidR="00F47D3A" w:rsidRPr="00097313" w:rsidRDefault="00F47D3A" w:rsidP="0035740C">
            <w:pPr>
              <w:spacing w:before="0" w:after="40" w:line="280" w:lineRule="exact"/>
              <w:rPr>
                <w:b/>
                <w:bCs/>
                <w:rtl/>
                <w:lang w:bidi="ar-EG"/>
              </w:rPr>
            </w:pPr>
            <w:r w:rsidRPr="00097313">
              <w:rPr>
                <w:b/>
                <w:bCs/>
                <w:lang w:bidi="ar-EG"/>
              </w:rPr>
              <w:t>3.1</w:t>
            </w:r>
          </w:p>
        </w:tc>
      </w:tr>
    </w:tbl>
    <w:p w:rsidR="00F47D3A" w:rsidRPr="00097313" w:rsidRDefault="00F47D3A" w:rsidP="00F47D3A">
      <w:pPr>
        <w:rPr>
          <w:rtl/>
        </w:rPr>
      </w:pPr>
      <w:r w:rsidRPr="00097313">
        <w:rPr>
          <w:rtl/>
        </w:rPr>
        <w:t xml:space="preserve">عندما </w:t>
      </w:r>
      <w:r>
        <w:rPr>
          <w:rFonts w:hint="cs"/>
          <w:rtl/>
        </w:rPr>
        <w:t xml:space="preserve">لا </w:t>
      </w:r>
      <w:r w:rsidRPr="00097313">
        <w:rPr>
          <w:rtl/>
        </w:rPr>
        <w:t xml:space="preserve">ترسل إحدى الإدارات </w:t>
      </w:r>
      <w:r>
        <w:rPr>
          <w:rFonts w:hint="cs"/>
          <w:rtl/>
        </w:rPr>
        <w:t xml:space="preserve">إلى المكتب </w:t>
      </w:r>
      <w:r w:rsidRPr="00097313">
        <w:rPr>
          <w:rtl/>
        </w:rPr>
        <w:t>الخصائص النهائية للتخصيص، تطبيقاً لأحكام الفقر</w:t>
      </w:r>
      <w:r w:rsidRPr="00097313">
        <w:rPr>
          <w:rFonts w:hint="cs"/>
          <w:rtl/>
        </w:rPr>
        <w:t>تين</w:t>
      </w:r>
      <w:r w:rsidRPr="00097313">
        <w:rPr>
          <w:rtl/>
        </w:rPr>
        <w:t xml:space="preserve"> </w:t>
      </w:r>
      <w:r>
        <w:t>3.1</w:t>
      </w:r>
      <w:r w:rsidRPr="00097313">
        <w:rPr>
          <w:rtl/>
        </w:rPr>
        <w:t xml:space="preserve"> </w:t>
      </w:r>
      <w:r w:rsidRPr="00097313">
        <w:rPr>
          <w:rFonts w:hint="cs"/>
          <w:rtl/>
        </w:rPr>
        <w:t>و</w:t>
      </w:r>
      <w:r w:rsidRPr="00097313">
        <w:t>4.1.2</w:t>
      </w:r>
      <w:r w:rsidRPr="00097313">
        <w:rPr>
          <w:rFonts w:hint="cs"/>
          <w:rtl/>
        </w:rPr>
        <w:t xml:space="preserve"> </w:t>
      </w:r>
      <w:r>
        <w:rPr>
          <w:rFonts w:hint="cs"/>
          <w:rtl/>
        </w:rPr>
        <w:t xml:space="preserve">من </w:t>
      </w:r>
      <w:r w:rsidRPr="00097313">
        <w:rPr>
          <w:rFonts w:hint="cs"/>
          <w:rtl/>
        </w:rPr>
        <w:t>المادة</w:t>
      </w:r>
      <w:r>
        <w:rPr>
          <w:rFonts w:hint="eastAsia"/>
          <w:rtl/>
        </w:rPr>
        <w:t> </w:t>
      </w:r>
      <w:r w:rsidRPr="00097313">
        <w:t>4</w:t>
      </w:r>
      <w:r w:rsidRPr="00097313">
        <w:rPr>
          <w:rFonts w:hint="cs"/>
          <w:rtl/>
        </w:rPr>
        <w:t xml:space="preserve"> </w:t>
      </w:r>
      <w:r w:rsidRPr="00097313">
        <w:rPr>
          <w:rtl/>
        </w:rPr>
        <w:t xml:space="preserve">من الاتفاق، بعد فترة زمنية تبلغ </w:t>
      </w:r>
      <w:r>
        <w:rPr>
          <w:rFonts w:hint="cs"/>
          <w:rtl/>
        </w:rPr>
        <w:t>سنتين</w:t>
      </w:r>
      <w:r w:rsidRPr="00097313">
        <w:rPr>
          <w:rtl/>
        </w:rPr>
        <w:t xml:space="preserve"> </w:t>
      </w:r>
      <w:r w:rsidRPr="00097313">
        <w:rPr>
          <w:rFonts w:hint="cs"/>
          <w:rtl/>
        </w:rPr>
        <w:t>و</w:t>
      </w:r>
      <w:r w:rsidRPr="00097313">
        <w:t>12</w:t>
      </w:r>
      <w:r w:rsidRPr="00097313">
        <w:rPr>
          <w:rFonts w:hint="cs"/>
          <w:rtl/>
        </w:rPr>
        <w:t xml:space="preserve"> أسبوعاً </w:t>
      </w:r>
      <w:r>
        <w:rPr>
          <w:rFonts w:hint="cs"/>
          <w:rtl/>
        </w:rPr>
        <w:t xml:space="preserve">من تاريخ نشر </w:t>
      </w:r>
      <w:r w:rsidRPr="00097313">
        <w:rPr>
          <w:rtl/>
        </w:rPr>
        <w:t xml:space="preserve">تلك الخصائص في الجزء </w:t>
      </w:r>
      <w:r w:rsidRPr="00097313">
        <w:t>A</w:t>
      </w:r>
      <w:r w:rsidRPr="00097313">
        <w:rPr>
          <w:rtl/>
        </w:rPr>
        <w:t xml:space="preserve"> من قسم خاص </w:t>
      </w:r>
      <w:r w:rsidRPr="00097313">
        <w:t>ST61</w:t>
      </w:r>
      <w:r w:rsidRPr="00097313">
        <w:rPr>
          <w:rtl/>
        </w:rPr>
        <w:t xml:space="preserve">، يجب </w:t>
      </w:r>
      <w:r>
        <w:rPr>
          <w:rFonts w:hint="cs"/>
          <w:rtl/>
        </w:rPr>
        <w:t xml:space="preserve">إلغاء </w:t>
      </w:r>
      <w:r w:rsidRPr="00097313">
        <w:rPr>
          <w:rtl/>
        </w:rPr>
        <w:t xml:space="preserve">التعديل </w:t>
      </w:r>
      <w:r>
        <w:rPr>
          <w:rFonts w:hint="cs"/>
          <w:rtl/>
        </w:rPr>
        <w:t xml:space="preserve">وإعادته إلى الإدارة المبلغة. ويرسل المكتب </w:t>
      </w:r>
      <w:r w:rsidRPr="00097313">
        <w:rPr>
          <w:rtl/>
        </w:rPr>
        <w:t xml:space="preserve">رسالة تذكير إلى الإدارة المبلِّغة قبل شهرين من نهاية الفترة الزمنية </w:t>
      </w:r>
      <w:r>
        <w:rPr>
          <w:rFonts w:hint="cs"/>
          <w:rtl/>
        </w:rPr>
        <w:t xml:space="preserve">هذه </w:t>
      </w:r>
      <w:r w:rsidRPr="00097313">
        <w:rPr>
          <w:rtl/>
        </w:rPr>
        <w:t xml:space="preserve">البالغة </w:t>
      </w:r>
      <w:r>
        <w:rPr>
          <w:rFonts w:hint="cs"/>
          <w:rtl/>
        </w:rPr>
        <w:t>سنتين</w:t>
      </w:r>
      <w:r w:rsidRPr="00097313">
        <w:rPr>
          <w:rFonts w:hint="cs"/>
          <w:rtl/>
        </w:rPr>
        <w:t xml:space="preserve"> و</w:t>
      </w:r>
      <w:r w:rsidRPr="00097313">
        <w:t>12</w:t>
      </w:r>
      <w:r w:rsidRPr="00097313">
        <w:rPr>
          <w:rFonts w:hint="cs"/>
          <w:rtl/>
        </w:rPr>
        <w:t xml:space="preserve"> أسبوعاً</w:t>
      </w:r>
      <w:r>
        <w:rPr>
          <w:rFonts w:hint="cs"/>
          <w:rtl/>
        </w:rPr>
        <w:t xml:space="preserve"> وقبل إعادة التعديل</w:t>
      </w:r>
      <w:r w:rsidRPr="00097313">
        <w:rPr>
          <w:rtl/>
        </w:rPr>
        <w:t>.</w:t>
      </w:r>
    </w:p>
    <w:p w:rsidR="00F47D3A" w:rsidRPr="0074389B" w:rsidRDefault="00F47D3A" w:rsidP="00F47D3A">
      <w:pPr>
        <w:spacing w:before="240"/>
        <w:rPr>
          <w:rtl/>
          <w:lang w:bidi="ar-EG"/>
        </w:rPr>
      </w:pPr>
      <w:r>
        <w:rPr>
          <w:rFonts w:hint="cs"/>
          <w:rtl/>
        </w:rPr>
        <w:t xml:space="preserve">ويجوز للإدارة إعادة تقديم التخصيص واتباع الإجراء الكامل للمادة </w:t>
      </w:r>
      <w:r>
        <w:t>4</w:t>
      </w:r>
      <w:r>
        <w:rPr>
          <w:rFonts w:hint="cs"/>
          <w:rtl/>
          <w:lang w:bidi="ar-EG"/>
        </w:rPr>
        <w:t xml:space="preserve"> من الاتفاق </w:t>
      </w:r>
      <w:r w:rsidRPr="00097313">
        <w:rPr>
          <w:rtl/>
        </w:rPr>
        <w:t xml:space="preserve">ويعتبر تاريخ استلام المكتب </w:t>
      </w:r>
      <w:r>
        <w:rPr>
          <w:rFonts w:hint="cs"/>
          <w:rtl/>
        </w:rPr>
        <w:t xml:space="preserve">لبطاقة التبليغ المعاد تقديمها </w:t>
      </w:r>
      <w:r w:rsidRPr="00097313">
        <w:rPr>
          <w:rtl/>
        </w:rPr>
        <w:t>هو التاريخ الجديد لاستلام التعديل المقترح.</w:t>
      </w:r>
    </w:p>
    <w:p w:rsidR="00A13969" w:rsidRPr="0074389B" w:rsidRDefault="0016113A" w:rsidP="00CC2891">
      <w:pPr>
        <w:spacing w:before="600"/>
        <w:jc w:val="center"/>
        <w:rPr>
          <w:rtl/>
        </w:rPr>
      </w:pPr>
      <w:r>
        <w:rPr>
          <w:rFonts w:hint="cs"/>
          <w:rtl/>
        </w:rPr>
        <w:t>_______________</w:t>
      </w:r>
    </w:p>
    <w:p w:rsidR="008A4F80" w:rsidRDefault="008A4F80" w:rsidP="008A4F80">
      <w:pPr>
        <w:tabs>
          <w:tab w:val="clear" w:pos="794"/>
          <w:tab w:val="clear" w:pos="1191"/>
          <w:tab w:val="clear" w:pos="1588"/>
          <w:tab w:val="clear" w:pos="1985"/>
        </w:tabs>
        <w:spacing w:before="400"/>
        <w:rPr>
          <w:lang w:val="en-US"/>
        </w:rPr>
      </w:pPr>
    </w:p>
    <w:p w:rsidR="00244E10" w:rsidRDefault="00244E10" w:rsidP="008A4F80">
      <w:pPr>
        <w:tabs>
          <w:tab w:val="clear" w:pos="794"/>
          <w:tab w:val="clear" w:pos="1191"/>
          <w:tab w:val="clear" w:pos="1588"/>
          <w:tab w:val="clear" w:pos="1985"/>
        </w:tabs>
        <w:spacing w:before="400"/>
        <w:rPr>
          <w:lang w:val="en-US"/>
        </w:rPr>
      </w:pPr>
    </w:p>
    <w:p w:rsidR="00244E10" w:rsidRPr="002B00C1" w:rsidRDefault="00244E10" w:rsidP="008A4F80">
      <w:pPr>
        <w:tabs>
          <w:tab w:val="clear" w:pos="794"/>
          <w:tab w:val="clear" w:pos="1191"/>
          <w:tab w:val="clear" w:pos="1588"/>
          <w:tab w:val="clear" w:pos="1985"/>
        </w:tabs>
        <w:spacing w:before="400"/>
        <w:rPr>
          <w:rtl/>
          <w:lang w:val="en-US"/>
        </w:rPr>
      </w:pPr>
    </w:p>
    <w:sectPr w:rsidR="00244E10" w:rsidRPr="002B00C1" w:rsidSect="00244E10">
      <w:headerReference w:type="even" r:id="rId7"/>
      <w:headerReference w:type="default" r:id="rId8"/>
      <w:footerReference w:type="first" r:id="rId9"/>
      <w:pgSz w:w="11907" w:h="16834" w:code="9"/>
      <w:pgMar w:top="1701" w:right="1701" w:bottom="1134" w:left="102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AF0" w:rsidRDefault="009D5AF0">
      <w:r>
        <w:separator/>
      </w:r>
    </w:p>
  </w:endnote>
  <w:endnote w:type="continuationSeparator" w:id="0">
    <w:p w:rsidR="009D5AF0" w:rsidRDefault="009D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AF0" w:rsidRDefault="00C27DC2">
    <w:pPr>
      <w:pStyle w:val="Footer"/>
    </w:pPr>
    <w:fldSimple w:instr=" FILENAME \p \* MERGEFORMAT ">
      <w:r w:rsidR="00D63196">
        <w:t>M:\COMP_PROD\ITU-R\2019\Publications\Regl_proc\Publication_Edition_2017_Rev04_Ed-2017_19-00477\Individuel\word\A\26-A2-ST61-A.docx</w:t>
      </w:r>
    </w:fldSimple>
    <w:r w:rsidR="009D5AF0">
      <w:tab/>
    </w:r>
    <w:r w:rsidR="009D5AF0">
      <w:fldChar w:fldCharType="begin"/>
    </w:r>
    <w:r w:rsidR="009D5AF0">
      <w:instrText xml:space="preserve"> savedate \@ dd.MM.yy </w:instrText>
    </w:r>
    <w:r w:rsidR="009D5AF0">
      <w:fldChar w:fldCharType="separate"/>
    </w:r>
    <w:r w:rsidR="00D63196">
      <w:t>26.07.19</w:t>
    </w:r>
    <w:r w:rsidR="009D5AF0">
      <w:fldChar w:fldCharType="end"/>
    </w:r>
    <w:r w:rsidR="009D5AF0">
      <w:tab/>
    </w:r>
    <w:r w:rsidR="009D5AF0">
      <w:fldChar w:fldCharType="begin"/>
    </w:r>
    <w:r w:rsidR="009D5AF0">
      <w:instrText xml:space="preserve"> printdate \@ dd.MM.yy </w:instrText>
    </w:r>
    <w:r w:rsidR="009D5AF0">
      <w:fldChar w:fldCharType="separate"/>
    </w:r>
    <w:r w:rsidR="00D63196">
      <w:t>26.07.19</w:t>
    </w:r>
    <w:r w:rsidR="009D5A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AF0" w:rsidRDefault="009D5AF0">
      <w:r>
        <w:t>____________________</w:t>
      </w:r>
    </w:p>
  </w:footnote>
  <w:footnote w:type="continuationSeparator" w:id="0">
    <w:p w:rsidR="009D5AF0" w:rsidRDefault="009D5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tblLook w:val="01E0" w:firstRow="1" w:lastRow="1" w:firstColumn="1" w:lastColumn="1" w:noHBand="0" w:noVBand="0"/>
    </w:tblPr>
    <w:tblGrid>
      <w:gridCol w:w="1701"/>
      <w:gridCol w:w="1701"/>
      <w:gridCol w:w="1701"/>
      <w:gridCol w:w="1701"/>
    </w:tblGrid>
    <w:tr w:rsidR="009D5AF0" w:rsidRPr="000F2A0B">
      <w:tc>
        <w:tcPr>
          <w:tcW w:w="1701" w:type="dxa"/>
        </w:tcPr>
        <w:p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63196">
            <w:rPr>
              <w:rStyle w:val="PageNumber"/>
              <w:noProof/>
              <w:sz w:val="21"/>
              <w:szCs w:val="21"/>
              <w:rtl/>
            </w:rPr>
            <w:t>2</w:t>
          </w:r>
          <w:r w:rsidRPr="000F2A0B">
            <w:rPr>
              <w:rStyle w:val="PageNumber"/>
              <w:sz w:val="21"/>
              <w:szCs w:val="21"/>
            </w:rPr>
            <w:fldChar w:fldCharType="end"/>
          </w:r>
        </w:p>
      </w:tc>
      <w:tc>
        <w:tcPr>
          <w:tcW w:w="1701" w:type="dxa"/>
        </w:tcPr>
        <w:p w:rsidR="009D5AF0" w:rsidRPr="004031BD" w:rsidRDefault="009D5AF0" w:rsidP="00F47D3A">
          <w:pPr>
            <w:pStyle w:val="Header"/>
            <w:spacing w:before="40" w:after="40" w:line="280" w:lineRule="exact"/>
            <w:jc w:val="left"/>
            <w:rPr>
              <w:sz w:val="21"/>
              <w:szCs w:val="28"/>
              <w:rtl/>
              <w:lang w:val="en-US" w:bidi="ar-EG"/>
            </w:rPr>
          </w:pPr>
          <w:r w:rsidRPr="000F2A0B">
            <w:rPr>
              <w:rFonts w:hint="cs"/>
              <w:sz w:val="21"/>
              <w:szCs w:val="28"/>
              <w:rtl/>
            </w:rPr>
            <w:t xml:space="preserve">المراجعة </w:t>
          </w:r>
          <w:r w:rsidR="00F47D3A">
            <w:rPr>
              <w:sz w:val="21"/>
              <w:szCs w:val="28"/>
            </w:rPr>
            <w:t>4</w:t>
          </w:r>
        </w:p>
      </w:tc>
    </w:tr>
  </w:tbl>
  <w:p w:rsidR="009D5AF0" w:rsidRPr="007358FA" w:rsidRDefault="009D5AF0"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bidiVisual/>
      <w:tblW w:w="0" w:type="auto"/>
      <w:jc w:val="right"/>
      <w:tblLook w:val="01E0" w:firstRow="1" w:lastRow="1" w:firstColumn="1" w:lastColumn="1" w:noHBand="0" w:noVBand="0"/>
    </w:tblPr>
    <w:tblGrid>
      <w:gridCol w:w="1701"/>
      <w:gridCol w:w="1701"/>
      <w:gridCol w:w="1701"/>
      <w:gridCol w:w="1701"/>
    </w:tblGrid>
    <w:tr w:rsidR="009D5AF0" w:rsidRPr="000F2A0B">
      <w:trPr>
        <w:jc w:val="right"/>
      </w:trPr>
      <w:tc>
        <w:tcPr>
          <w:tcW w:w="1701" w:type="dxa"/>
        </w:tcPr>
        <w:p w:rsidR="009D5AF0" w:rsidRPr="00913BF7" w:rsidRDefault="009D5AF0" w:rsidP="007F7C8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2A</w:t>
          </w:r>
        </w:p>
      </w:tc>
      <w:tc>
        <w:tcPr>
          <w:tcW w:w="1701" w:type="dxa"/>
        </w:tcPr>
        <w:p w:rsidR="009D5AF0" w:rsidRPr="00433E7A" w:rsidRDefault="009D5AF0" w:rsidP="007F7C8D">
          <w:pPr>
            <w:pStyle w:val="Header"/>
            <w:spacing w:before="40" w:after="40" w:line="280" w:lineRule="exact"/>
            <w:jc w:val="left"/>
            <w:rPr>
              <w:sz w:val="21"/>
              <w:szCs w:val="28"/>
              <w:lang w:val="en-US" w:bidi="ar-EG"/>
            </w:rPr>
          </w:pPr>
          <w:r>
            <w:rPr>
              <w:sz w:val="21"/>
              <w:szCs w:val="28"/>
              <w:lang w:val="en-US" w:bidi="ar-EG"/>
            </w:rPr>
            <w:t>ST61</w:t>
          </w:r>
        </w:p>
      </w:tc>
      <w:tc>
        <w:tcPr>
          <w:tcW w:w="1701" w:type="dxa"/>
        </w:tcPr>
        <w:p w:rsidR="009D5AF0" w:rsidRPr="000F2A0B" w:rsidRDefault="009D5AF0" w:rsidP="007F7C8D">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63196">
            <w:rPr>
              <w:rStyle w:val="PageNumber"/>
              <w:noProof/>
              <w:sz w:val="21"/>
              <w:szCs w:val="21"/>
              <w:rtl/>
            </w:rPr>
            <w:t>1</w:t>
          </w:r>
          <w:r w:rsidRPr="000F2A0B">
            <w:rPr>
              <w:rStyle w:val="PageNumber"/>
              <w:sz w:val="21"/>
              <w:szCs w:val="21"/>
            </w:rPr>
            <w:fldChar w:fldCharType="end"/>
          </w:r>
        </w:p>
      </w:tc>
      <w:tc>
        <w:tcPr>
          <w:tcW w:w="1701" w:type="dxa"/>
        </w:tcPr>
        <w:p w:rsidR="009D5AF0" w:rsidRPr="004031BD" w:rsidRDefault="009D5AF0" w:rsidP="007F7C8D">
          <w:pPr>
            <w:pStyle w:val="Header"/>
            <w:spacing w:before="40" w:after="40" w:line="280" w:lineRule="exact"/>
            <w:jc w:val="left"/>
            <w:rPr>
              <w:sz w:val="21"/>
              <w:szCs w:val="28"/>
              <w:lang w:val="en-US"/>
            </w:rPr>
          </w:pPr>
          <w:r w:rsidRPr="000F2A0B">
            <w:rPr>
              <w:rFonts w:hint="cs"/>
              <w:sz w:val="21"/>
              <w:szCs w:val="28"/>
              <w:rtl/>
            </w:rPr>
            <w:t>المراجعة -</w:t>
          </w:r>
        </w:p>
      </w:tc>
    </w:tr>
  </w:tbl>
  <w:p w:rsidR="009D5AF0" w:rsidRPr="007358FA" w:rsidRDefault="009D5AF0">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10436"/>
    <w:rsid w:val="00041E07"/>
    <w:rsid w:val="000F2A0B"/>
    <w:rsid w:val="00105401"/>
    <w:rsid w:val="001139B6"/>
    <w:rsid w:val="001147B6"/>
    <w:rsid w:val="00130C60"/>
    <w:rsid w:val="0016113A"/>
    <w:rsid w:val="0020710C"/>
    <w:rsid w:val="002301AE"/>
    <w:rsid w:val="00244E10"/>
    <w:rsid w:val="002466FF"/>
    <w:rsid w:val="00254902"/>
    <w:rsid w:val="002631B1"/>
    <w:rsid w:val="002B00C1"/>
    <w:rsid w:val="002B114A"/>
    <w:rsid w:val="002B499D"/>
    <w:rsid w:val="002C0904"/>
    <w:rsid w:val="002C55F4"/>
    <w:rsid w:val="002D6D41"/>
    <w:rsid w:val="002F0D7D"/>
    <w:rsid w:val="00360881"/>
    <w:rsid w:val="003838BA"/>
    <w:rsid w:val="003F5E24"/>
    <w:rsid w:val="004031BD"/>
    <w:rsid w:val="004036A6"/>
    <w:rsid w:val="00433E7A"/>
    <w:rsid w:val="0044702B"/>
    <w:rsid w:val="00463414"/>
    <w:rsid w:val="004816E9"/>
    <w:rsid w:val="0055056E"/>
    <w:rsid w:val="005B3C25"/>
    <w:rsid w:val="005E0930"/>
    <w:rsid w:val="0066056C"/>
    <w:rsid w:val="00672915"/>
    <w:rsid w:val="006A69F5"/>
    <w:rsid w:val="006B3E33"/>
    <w:rsid w:val="006B42DC"/>
    <w:rsid w:val="006B5D10"/>
    <w:rsid w:val="006C1EF7"/>
    <w:rsid w:val="006C69CB"/>
    <w:rsid w:val="00730B91"/>
    <w:rsid w:val="007358FA"/>
    <w:rsid w:val="007460F7"/>
    <w:rsid w:val="00770B96"/>
    <w:rsid w:val="0077758A"/>
    <w:rsid w:val="0078123B"/>
    <w:rsid w:val="007839EA"/>
    <w:rsid w:val="007F7C8D"/>
    <w:rsid w:val="00867AB1"/>
    <w:rsid w:val="00885EC1"/>
    <w:rsid w:val="008A4F80"/>
    <w:rsid w:val="008B0B84"/>
    <w:rsid w:val="008B631A"/>
    <w:rsid w:val="00913BF7"/>
    <w:rsid w:val="009158D2"/>
    <w:rsid w:val="00985793"/>
    <w:rsid w:val="00993C1C"/>
    <w:rsid w:val="009C5739"/>
    <w:rsid w:val="009D5AF0"/>
    <w:rsid w:val="009F171D"/>
    <w:rsid w:val="00A0604B"/>
    <w:rsid w:val="00A13969"/>
    <w:rsid w:val="00A3759F"/>
    <w:rsid w:val="00A64B91"/>
    <w:rsid w:val="00A7482F"/>
    <w:rsid w:val="00A85CA0"/>
    <w:rsid w:val="00AC41A3"/>
    <w:rsid w:val="00AD269C"/>
    <w:rsid w:val="00AE4A3A"/>
    <w:rsid w:val="00AF44BC"/>
    <w:rsid w:val="00B0263D"/>
    <w:rsid w:val="00B10079"/>
    <w:rsid w:val="00B765E7"/>
    <w:rsid w:val="00B91128"/>
    <w:rsid w:val="00B954BB"/>
    <w:rsid w:val="00BE07F9"/>
    <w:rsid w:val="00BE0D0E"/>
    <w:rsid w:val="00BF3BC8"/>
    <w:rsid w:val="00C05EF2"/>
    <w:rsid w:val="00C1352E"/>
    <w:rsid w:val="00C17733"/>
    <w:rsid w:val="00C27DC2"/>
    <w:rsid w:val="00C34454"/>
    <w:rsid w:val="00C61737"/>
    <w:rsid w:val="00CA31BF"/>
    <w:rsid w:val="00CA453D"/>
    <w:rsid w:val="00CA4B7C"/>
    <w:rsid w:val="00CC2891"/>
    <w:rsid w:val="00CD2902"/>
    <w:rsid w:val="00D63196"/>
    <w:rsid w:val="00DE0BF6"/>
    <w:rsid w:val="00DE33A7"/>
    <w:rsid w:val="00DE51A6"/>
    <w:rsid w:val="00DE66AC"/>
    <w:rsid w:val="00DE6CD7"/>
    <w:rsid w:val="00DF5487"/>
    <w:rsid w:val="00E003AC"/>
    <w:rsid w:val="00E03822"/>
    <w:rsid w:val="00E26479"/>
    <w:rsid w:val="00E40169"/>
    <w:rsid w:val="00E552DE"/>
    <w:rsid w:val="00E668B6"/>
    <w:rsid w:val="00E7261D"/>
    <w:rsid w:val="00EB4871"/>
    <w:rsid w:val="00EB7F8D"/>
    <w:rsid w:val="00EC59CD"/>
    <w:rsid w:val="00F419C1"/>
    <w:rsid w:val="00F47D3A"/>
    <w:rsid w:val="00F6061F"/>
    <w:rsid w:val="00F97E7F"/>
    <w:rsid w:val="00FA0849"/>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084D7-6C7B-4180-98BC-D9DCFC7D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3759F"/>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C17733"/>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11</TotalTime>
  <Pages>2</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14</cp:revision>
  <cp:lastPrinted>2019-07-26T14:46:00Z</cp:lastPrinted>
  <dcterms:created xsi:type="dcterms:W3CDTF">2012-09-07T12:32:00Z</dcterms:created>
  <dcterms:modified xsi:type="dcterms:W3CDTF">2019-07-26T14:47:00Z</dcterms:modified>
</cp:coreProperties>
</file>