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7FBA" w:rsidRPr="00D3267E" w:rsidRDefault="00857FBA" w:rsidP="00857FBA">
      <w:pPr>
        <w:pStyle w:val="Heading1"/>
        <w:spacing w:before="240"/>
        <w:jc w:val="center"/>
        <w:rPr>
          <w:b w:val="0"/>
          <w:szCs w:val="24"/>
          <w:lang w:val="es-ES"/>
        </w:rPr>
      </w:pPr>
      <w:r w:rsidRPr="00D3267E">
        <w:rPr>
          <w:szCs w:val="24"/>
          <w:lang w:val="es-ES"/>
        </w:rPr>
        <w:t xml:space="preserve">Reglas relativas al </w:t>
      </w:r>
    </w:p>
    <w:p w:rsidR="00857FBA" w:rsidRPr="00DB387B" w:rsidRDefault="00857FBA" w:rsidP="00857FBA">
      <w:pPr>
        <w:pStyle w:val="Heading2"/>
        <w:spacing w:before="360"/>
        <w:jc w:val="center"/>
        <w:rPr>
          <w:color w:val="000000"/>
          <w:lang w:val="es-ES_tradnl"/>
        </w:rPr>
      </w:pPr>
      <w:r w:rsidRPr="00DB387B">
        <w:rPr>
          <w:color w:val="000000"/>
          <w:lang w:val="es-ES_tradnl"/>
        </w:rPr>
        <w:t>ARTÍCULO 11 del RR</w:t>
      </w:r>
    </w:p>
    <w:p w:rsidR="00857FBA" w:rsidRPr="00D3267E" w:rsidRDefault="00857FBA" w:rsidP="00857FBA">
      <w:pPr>
        <w:keepNext/>
        <w:spacing w:before="240" w:after="60"/>
        <w:jc w:val="center"/>
        <w:outlineLvl w:val="0"/>
        <w:rPr>
          <w:rFonts w:eastAsia="SimSun"/>
          <w:b/>
          <w:bCs/>
          <w:kern w:val="32"/>
          <w:szCs w:val="24"/>
          <w:lang w:val="es-ES"/>
        </w:rPr>
      </w:pPr>
      <w:r w:rsidRPr="00DB387B">
        <w:rPr>
          <w:rFonts w:eastAsia="SimSun"/>
          <w:b/>
          <w:sz w:val="28"/>
          <w:lang w:val="es-ES_tradnl" w:eastAsia="zh-CN"/>
        </w:rPr>
        <w:t>Consolidación de asignaciones de frecuencias de diferentes redes OSG presentadas por una administración en la misma posición orbital, en asignaciones de frecuencias de una única red de satélites</w:t>
      </w:r>
    </w:p>
    <w:p w:rsidR="00857FBA" w:rsidRPr="00D3267E" w:rsidRDefault="00857FBA" w:rsidP="00857FBA">
      <w:pPr>
        <w:pStyle w:val="Heading1"/>
        <w:spacing w:before="360"/>
        <w:rPr>
          <w:rFonts w:eastAsia="SimSun"/>
          <w:lang w:val="es-ES"/>
        </w:rPr>
      </w:pPr>
      <w:r w:rsidRPr="00D3267E">
        <w:rPr>
          <w:rFonts w:eastAsia="SimSun"/>
          <w:lang w:val="es-ES"/>
        </w:rPr>
        <w:t>1</w:t>
      </w:r>
      <w:r w:rsidRPr="00D3267E">
        <w:rPr>
          <w:rFonts w:eastAsia="SimSun"/>
          <w:lang w:val="es-ES"/>
        </w:rPr>
        <w:tab/>
        <w:t>Introducción</w:t>
      </w:r>
    </w:p>
    <w:p w:rsidR="00857FBA" w:rsidRPr="00D3267E" w:rsidRDefault="00857FBA" w:rsidP="00857FBA">
      <w:pPr>
        <w:rPr>
          <w:rFonts w:eastAsia="SimSun"/>
          <w:lang w:val="es-ES"/>
        </w:rPr>
      </w:pPr>
      <w:r w:rsidRPr="00D3267E">
        <w:rPr>
          <w:rFonts w:eastAsia="SimSun"/>
          <w:lang w:val="es-ES"/>
        </w:rPr>
        <w:t>La Junta tomó nota de que la CMR-12 necesita una descripción detallada de las medidas adoptadas por la Oficina de Radiocomunicaciones con respecto a la consolidación de las asignaciones de frecuencias de diferentes redes de la órbita de satélites geoestacionarios (OSG) presentadas por una administración en la misma posición orbital, en asignaciones de frecuencias de una única red de satélites.</w:t>
      </w:r>
    </w:p>
    <w:p w:rsidR="00857FBA" w:rsidRPr="00D3267E" w:rsidRDefault="00857FBA" w:rsidP="00857FBA">
      <w:pPr>
        <w:spacing w:before="120"/>
        <w:rPr>
          <w:rFonts w:eastAsia="SimSun"/>
          <w:lang w:val="es-ES"/>
        </w:rPr>
      </w:pPr>
      <w:r w:rsidRPr="00D3267E">
        <w:rPr>
          <w:rFonts w:eastAsia="SimSun"/>
          <w:lang w:val="es-ES"/>
        </w:rPr>
        <w:t>En este sentido, la Junta entiende que la consolidación de las asignaciones de frecuencias de redes OSG será posible únicamente para las asignaciones inscriptas en el Registro, asociadas con redes de satélites situadas exactamente en la misma posición orbital, a petición de la administración (o la administración que actúa en nombre de un grupo de administraciones nominadas) que notifica las asignaciones. Se aplicarán los siguientes principios.</w:t>
      </w:r>
    </w:p>
    <w:p w:rsidR="00857FBA" w:rsidRPr="00D3267E" w:rsidRDefault="00857FBA" w:rsidP="00857FBA">
      <w:pPr>
        <w:pStyle w:val="Heading1"/>
        <w:spacing w:before="360"/>
        <w:rPr>
          <w:rFonts w:eastAsia="SimSun"/>
          <w:lang w:val="es-ES"/>
        </w:rPr>
      </w:pPr>
      <w:r w:rsidRPr="00D3267E">
        <w:rPr>
          <w:rFonts w:eastAsia="SimSun"/>
          <w:lang w:val="es-ES"/>
        </w:rPr>
        <w:t>2</w:t>
      </w:r>
      <w:r w:rsidRPr="00D3267E">
        <w:rPr>
          <w:rFonts w:eastAsia="SimSun"/>
          <w:lang w:val="es-ES"/>
        </w:rPr>
        <w:tab/>
        <w:t xml:space="preserve">Estructura de la notificación </w:t>
      </w:r>
    </w:p>
    <w:p w:rsidR="00857FBA" w:rsidRPr="00D3267E" w:rsidRDefault="00857FBA" w:rsidP="00857FBA">
      <w:pPr>
        <w:rPr>
          <w:rFonts w:eastAsia="SimSun"/>
          <w:lang w:val="es-ES"/>
        </w:rPr>
      </w:pPr>
      <w:r w:rsidRPr="00D3267E">
        <w:rPr>
          <w:rFonts w:eastAsia="SimSun"/>
          <w:lang w:val="es-ES"/>
        </w:rPr>
        <w:t>La consolidación de las asignaciones de frecuencias inscritas de varias redes de satélites en una única red consistirá en combinar todos los datos alfanuméricos relativos a las asignaciones de frecuencias de las redes OSG correspondientes que figuran en la base de datos de los sistemas de redes espaciales de la Oficina de Radiocomunicaciones y los datos gráficos asociados contenidos en la base de datos de referencia del programa informático del sistema gráfico de gestión de interferencias (GIMS).</w:t>
      </w:r>
    </w:p>
    <w:p w:rsidR="00857FBA" w:rsidRPr="00D3267E" w:rsidRDefault="00857FBA" w:rsidP="00857FBA">
      <w:pPr>
        <w:pStyle w:val="Heading2"/>
        <w:spacing w:before="360"/>
        <w:rPr>
          <w:rFonts w:eastAsia="SimSun"/>
          <w:lang w:val="es-ES"/>
        </w:rPr>
      </w:pPr>
      <w:r w:rsidRPr="00D3267E">
        <w:rPr>
          <w:rFonts w:eastAsia="SimSun"/>
          <w:lang w:val="es-ES"/>
        </w:rPr>
        <w:t>2.1</w:t>
      </w:r>
      <w:r w:rsidRPr="00D3267E">
        <w:rPr>
          <w:rFonts w:eastAsia="SimSun"/>
          <w:lang w:val="es-ES"/>
        </w:rPr>
        <w:tab/>
        <w:t>Identidad de la red de satélites (Apéndice 4, Anexo 2, A1)</w:t>
      </w:r>
    </w:p>
    <w:p w:rsidR="00857FBA" w:rsidRPr="00D3267E" w:rsidRDefault="00857FBA" w:rsidP="00857FBA">
      <w:pPr>
        <w:rPr>
          <w:rFonts w:eastAsia="SimSun"/>
          <w:lang w:val="es-ES"/>
        </w:rPr>
      </w:pPr>
      <w:r w:rsidRPr="00D3267E">
        <w:rPr>
          <w:rFonts w:eastAsia="SimSun"/>
          <w:lang w:val="es-ES"/>
        </w:rPr>
        <w:t>Se clasificarán para la consolidación únicamente las redes de satélites con idéntica información relativa a la administración notificante:</w:t>
      </w:r>
    </w:p>
    <w:p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 xml:space="preserve">A.1.f.1 </w:t>
      </w:r>
      <w:r w:rsidRPr="00D3267E">
        <w:rPr>
          <w:rFonts w:eastAsia="SimSun"/>
          <w:lang w:val="es-ES"/>
        </w:rPr>
        <w:tab/>
        <w:t xml:space="preserve">Administración notificante </w:t>
      </w:r>
    </w:p>
    <w:p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 xml:space="preserve">A.1.f.2 </w:t>
      </w:r>
      <w:r w:rsidRPr="00D3267E">
        <w:rPr>
          <w:rFonts w:eastAsia="SimSun"/>
          <w:lang w:val="es-ES"/>
        </w:rPr>
        <w:tab/>
        <w:t xml:space="preserve">Grupo de Administraciones </w:t>
      </w:r>
    </w:p>
    <w:p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A.1.f.3</w:t>
      </w:r>
      <w:r w:rsidRPr="00D3267E">
        <w:rPr>
          <w:rFonts w:eastAsia="SimSun"/>
          <w:lang w:val="es-ES"/>
        </w:rPr>
        <w:tab/>
      </w:r>
      <w:r>
        <w:rPr>
          <w:rFonts w:eastAsia="SimSun"/>
          <w:lang w:val="es-ES"/>
        </w:rPr>
        <w:tab/>
      </w:r>
      <w:r w:rsidRPr="00D3267E">
        <w:rPr>
          <w:rFonts w:eastAsia="SimSun"/>
          <w:lang w:val="es-ES"/>
        </w:rPr>
        <w:t xml:space="preserve">Organización intergubernamental de satélites </w:t>
      </w:r>
    </w:p>
    <w:p w:rsidR="00857FBA" w:rsidRPr="00D3267E" w:rsidRDefault="00857FBA" w:rsidP="00857FBA">
      <w:pPr>
        <w:pStyle w:val="Heading2"/>
        <w:spacing w:before="360"/>
        <w:rPr>
          <w:rFonts w:eastAsia="SimSun"/>
          <w:lang w:val="es-ES"/>
        </w:rPr>
      </w:pPr>
      <w:r w:rsidRPr="00D3267E">
        <w:rPr>
          <w:rFonts w:eastAsia="SimSun"/>
          <w:lang w:val="es-ES"/>
        </w:rPr>
        <w:t>2.2</w:t>
      </w:r>
      <w:r w:rsidRPr="00D3267E">
        <w:rPr>
          <w:rFonts w:eastAsia="SimSun"/>
          <w:lang w:val="es-ES"/>
        </w:rPr>
        <w:tab/>
        <w:t>Información orbital (Apéndice 4, Anexo 2, A4)</w:t>
      </w:r>
    </w:p>
    <w:p w:rsidR="00857FBA" w:rsidRPr="00D3267E" w:rsidRDefault="00857FBA" w:rsidP="00857FBA">
      <w:pPr>
        <w:rPr>
          <w:rFonts w:eastAsia="SimSun"/>
          <w:szCs w:val="24"/>
          <w:lang w:val="es-ES"/>
        </w:rPr>
      </w:pPr>
      <w:r w:rsidRPr="00D3267E">
        <w:rPr>
          <w:rFonts w:eastAsia="SimSun"/>
          <w:szCs w:val="24"/>
          <w:lang w:val="es-ES"/>
        </w:rPr>
        <w:t>Las redes de satélites que se consolidarán tendrán la misma posición orbital (A.4.a.1).</w:t>
      </w:r>
    </w:p>
    <w:p w:rsidR="00857FBA" w:rsidRPr="00D3267E" w:rsidRDefault="00857FBA" w:rsidP="00857FBA">
      <w:pPr>
        <w:rPr>
          <w:rFonts w:eastAsia="SimSun"/>
          <w:lang w:val="es-ES"/>
        </w:rPr>
      </w:pPr>
      <w:r w:rsidRPr="00D3267E">
        <w:rPr>
          <w:rFonts w:eastAsia="SimSun"/>
          <w:lang w:val="es-ES"/>
        </w:rPr>
        <w:t>En caso de diferentes valores para la tolerancia longitudinal (A.4.a.2.a.b) y/o excursión de inclinación (A.4.a.2.c), se utilizarán los valores más pequeños de una red consolidada. Queda entendido que las operaciones de las redes de satélites consolidadas corresponderán al valor más pequeño de la tolerancia longitudinal y/o excursión de inclinación.</w:t>
      </w:r>
    </w:p>
    <w:p w:rsidR="00857FBA" w:rsidRPr="00D3267E" w:rsidRDefault="00857FBA" w:rsidP="00857FBA">
      <w:pPr>
        <w:pStyle w:val="Heading2"/>
        <w:rPr>
          <w:rFonts w:eastAsia="SimSun"/>
          <w:lang w:val="es-ES"/>
        </w:rPr>
      </w:pPr>
      <w:r w:rsidRPr="00D3267E">
        <w:rPr>
          <w:rFonts w:eastAsia="SimSun"/>
          <w:lang w:val="es-ES"/>
        </w:rPr>
        <w:lastRenderedPageBreak/>
        <w:t>2.3</w:t>
      </w:r>
      <w:r w:rsidRPr="00D3267E">
        <w:rPr>
          <w:rFonts w:eastAsia="SimSun"/>
          <w:lang w:val="es-ES"/>
        </w:rPr>
        <w:tab/>
        <w:t xml:space="preserve">Características del haz de antena y del Grupo de asignaciones de frecuencias (Apéndice 4, Anexo 2, B y C) </w:t>
      </w:r>
    </w:p>
    <w:p w:rsidR="00857FBA" w:rsidRPr="00D3267E" w:rsidRDefault="00857FBA" w:rsidP="00857FBA">
      <w:pPr>
        <w:rPr>
          <w:rFonts w:eastAsia="SimSun"/>
          <w:szCs w:val="24"/>
          <w:lang w:val="es-ES"/>
        </w:rPr>
      </w:pPr>
      <w:r w:rsidRPr="00D3267E">
        <w:rPr>
          <w:rFonts w:eastAsia="SimSun"/>
          <w:szCs w:val="24"/>
          <w:lang w:val="es-ES"/>
        </w:rPr>
        <w:t>La designación del haz de antena de satélite y las características individuales asociadas (diagramas de ganancia y de contorno de ganancia, diagramas de radiación de antena y diagramas de ganancia de la antena en la dirección de las partes de la órbita de satélites geoestacionarios que no están obstruidas por la Tierra, zona de servicio) se mantendrán sin cambios como haces separados en la única notificación de las redes de satélites consolidadas, a menos que la administración notificante solicite otra cosa.</w:t>
      </w:r>
    </w:p>
    <w:p w:rsidR="00857FBA" w:rsidRPr="00D3267E" w:rsidRDefault="00857FBA" w:rsidP="00857FBA">
      <w:pPr>
        <w:rPr>
          <w:rFonts w:eastAsia="SimSun"/>
          <w:szCs w:val="24"/>
          <w:lang w:val="es-ES"/>
        </w:rPr>
      </w:pPr>
      <w:r w:rsidRPr="00D3267E">
        <w:rPr>
          <w:rFonts w:eastAsia="SimSun"/>
          <w:szCs w:val="24"/>
          <w:lang w:val="es-ES"/>
        </w:rPr>
        <w:t xml:space="preserve">Las características de cada grupo de asignaciones de frecuencias para un haz de antena de satélite, incluida la fecha de recepción de la información completa con arreglo al número </w:t>
      </w:r>
      <w:r w:rsidRPr="00D3267E">
        <w:rPr>
          <w:rFonts w:eastAsia="SimSun"/>
          <w:b/>
          <w:bCs/>
          <w:szCs w:val="24"/>
          <w:lang w:val="es-ES"/>
        </w:rPr>
        <w:t>9.34</w:t>
      </w:r>
      <w:r w:rsidRPr="00D3267E">
        <w:rPr>
          <w:rFonts w:eastAsia="SimSun"/>
          <w:szCs w:val="24"/>
          <w:lang w:val="es-ES"/>
        </w:rPr>
        <w:t xml:space="preserve"> y todas las observaciones en el Registro, se mantendrán sin cambios y separadas, independientemente de sus características.</w:t>
      </w:r>
    </w:p>
    <w:p w:rsidR="00857FBA" w:rsidRPr="00D3267E" w:rsidRDefault="00857FBA" w:rsidP="00857FBA">
      <w:pPr>
        <w:rPr>
          <w:rFonts w:eastAsia="SimSun"/>
          <w:szCs w:val="24"/>
          <w:lang w:val="es-ES"/>
        </w:rPr>
      </w:pPr>
      <w:r w:rsidRPr="00D3267E">
        <w:rPr>
          <w:rFonts w:eastAsia="SimSun"/>
          <w:szCs w:val="24"/>
          <w:lang w:val="es-ES"/>
        </w:rPr>
        <w:t>Para la consolidación de notificaciones de redes de satélites que incluyen cuadros de conexión de haces y nominación de haces cuando el nombre del haz aparece en más de una de las redes objeto de consolidación, se realizarán estudios específicos caso por caso.</w:t>
      </w:r>
    </w:p>
    <w:p w:rsidR="00857FBA" w:rsidRPr="00D3267E" w:rsidRDefault="00857FBA" w:rsidP="00857FBA">
      <w:pPr>
        <w:pStyle w:val="Heading2"/>
        <w:rPr>
          <w:rFonts w:eastAsia="SimSun"/>
          <w:lang w:val="es-ES"/>
        </w:rPr>
      </w:pPr>
      <w:r w:rsidRPr="00D3267E">
        <w:rPr>
          <w:rFonts w:eastAsia="SimSun"/>
          <w:lang w:val="es-ES"/>
        </w:rPr>
        <w:t>2.4</w:t>
      </w:r>
      <w:r w:rsidRPr="00D3267E">
        <w:rPr>
          <w:rFonts w:eastAsia="SimSun"/>
          <w:lang w:val="es-ES"/>
        </w:rPr>
        <w:tab/>
        <w:t xml:space="preserve">Identificador de la notificación y los grupos </w:t>
      </w:r>
    </w:p>
    <w:p w:rsidR="00857FBA" w:rsidRPr="00D3267E" w:rsidRDefault="00857FBA" w:rsidP="00857FBA">
      <w:pPr>
        <w:rPr>
          <w:rFonts w:eastAsia="SimSun"/>
          <w:szCs w:val="24"/>
          <w:lang w:val="es-ES"/>
        </w:rPr>
      </w:pPr>
      <w:r w:rsidRPr="00D3267E">
        <w:rPr>
          <w:rFonts w:eastAsia="SimSun"/>
          <w:szCs w:val="24"/>
          <w:lang w:val="es-ES"/>
        </w:rPr>
        <w:t xml:space="preserve">Se mantendrá un sólo identificador para la notificación consolidada (ID de notificación); los ID de notificación de las demás redes implicadas inscritas en el Registro se eliminarán del sistema. Se mantendrá el identificador original único de los grupos de asignaciones de frecuencias (ID de grupo), incluida la situación de coordinación. </w:t>
      </w:r>
    </w:p>
    <w:p w:rsidR="00857FBA" w:rsidRPr="00D3267E" w:rsidRDefault="00857FBA" w:rsidP="00857FBA">
      <w:pPr>
        <w:pStyle w:val="Heading1"/>
        <w:rPr>
          <w:rFonts w:eastAsia="SimSun"/>
          <w:lang w:val="es-ES"/>
        </w:rPr>
      </w:pPr>
      <w:r w:rsidRPr="00D3267E">
        <w:rPr>
          <w:rFonts w:eastAsia="SimSun"/>
          <w:lang w:val="es-ES"/>
        </w:rPr>
        <w:t>3</w:t>
      </w:r>
      <w:r w:rsidRPr="00D3267E">
        <w:rPr>
          <w:rFonts w:eastAsia="SimSun"/>
          <w:lang w:val="es-ES"/>
        </w:rPr>
        <w:tab/>
        <w:t>BR IFIC (Servicios espaciales) y Anexo a la BR IFIC</w:t>
      </w:r>
    </w:p>
    <w:p w:rsidR="00857FBA" w:rsidRPr="00D3267E" w:rsidRDefault="00857FBA" w:rsidP="00857FBA">
      <w:pPr>
        <w:pStyle w:val="Heading2"/>
        <w:rPr>
          <w:rFonts w:eastAsia="SimSun"/>
          <w:lang w:val="es-ES"/>
        </w:rPr>
      </w:pPr>
      <w:r w:rsidRPr="00D3267E">
        <w:rPr>
          <w:rFonts w:eastAsia="SimSun"/>
          <w:lang w:val="es-ES"/>
        </w:rPr>
        <w:t>3.1</w:t>
      </w:r>
      <w:r w:rsidRPr="00D3267E">
        <w:rPr>
          <w:rFonts w:eastAsia="SimSun"/>
          <w:lang w:val="es-ES"/>
        </w:rPr>
        <w:tab/>
        <w:t xml:space="preserve">Parte I-S </w:t>
      </w:r>
    </w:p>
    <w:p w:rsidR="00857FBA" w:rsidRPr="00D3267E" w:rsidRDefault="00857FBA" w:rsidP="00857FBA">
      <w:pPr>
        <w:rPr>
          <w:rFonts w:eastAsia="SimSun"/>
          <w:lang w:val="es-ES"/>
        </w:rPr>
      </w:pPr>
      <w:r w:rsidRPr="00D3267E">
        <w:rPr>
          <w:rFonts w:eastAsia="SimSun"/>
          <w:lang w:val="es-ES"/>
        </w:rPr>
        <w:t xml:space="preserve">La información en la red consolidada, incluidas referencias a las redes de satélites implicadas, será publicada en la Parte I-S de la BR IFIC (Servicios Espaciales) y se distribuirá con las respectivas bases de datos (SRS, SPS, AP30B, GIMS, SNL) en el DVD de la BR IFIC sobre servicios espaciales. </w:t>
      </w:r>
    </w:p>
    <w:p w:rsidR="00857FBA" w:rsidRPr="00D3267E" w:rsidRDefault="00857FBA" w:rsidP="00857FBA">
      <w:pPr>
        <w:pStyle w:val="Heading2"/>
        <w:rPr>
          <w:rFonts w:eastAsia="SimSun"/>
          <w:lang w:val="es-ES"/>
        </w:rPr>
      </w:pPr>
      <w:r w:rsidRPr="00D3267E">
        <w:rPr>
          <w:rFonts w:eastAsia="SimSun"/>
          <w:lang w:val="es-ES"/>
        </w:rPr>
        <w:t>3.2</w:t>
      </w:r>
      <w:r w:rsidRPr="00D3267E">
        <w:rPr>
          <w:rFonts w:eastAsia="SimSun"/>
          <w:lang w:val="es-ES"/>
        </w:rPr>
        <w:tab/>
        <w:t xml:space="preserve">Secciones especiales </w:t>
      </w:r>
    </w:p>
    <w:p w:rsidR="00857FBA" w:rsidRDefault="00857FBA" w:rsidP="00857FBA">
      <w:pPr>
        <w:rPr>
          <w:rFonts w:eastAsia="SimSun"/>
          <w:szCs w:val="24"/>
          <w:lang w:val="es-ES"/>
        </w:rPr>
      </w:pPr>
      <w:r w:rsidRPr="00D3267E">
        <w:rPr>
          <w:rFonts w:eastAsia="SimSun"/>
          <w:szCs w:val="24"/>
          <w:lang w:val="es-ES"/>
        </w:rPr>
        <w:t>No será necesaria una nueva publicación de las secciones especiales (API/A, CR/C, CR/D, AP30/E, AP30A/E, AP30-30A/E/, AP30B/</w:t>
      </w:r>
      <w:proofErr w:type="gramStart"/>
      <w:r w:rsidRPr="00D3267E">
        <w:rPr>
          <w:rFonts w:eastAsia="SimSun"/>
          <w:szCs w:val="24"/>
          <w:lang w:val="es-ES"/>
        </w:rPr>
        <w:t>A6B ...</w:t>
      </w:r>
      <w:proofErr w:type="gramEnd"/>
      <w:r w:rsidRPr="00D3267E">
        <w:rPr>
          <w:rFonts w:eastAsia="SimSun"/>
          <w:szCs w:val="24"/>
          <w:lang w:val="es-ES"/>
        </w:rPr>
        <w:t>) de las diferentes redes de satélites mencionadas en la red de satélites consolidada inscrita en el Registro. La información relativa a las secciones especiales asociadas y la Parte I-S de las redes de satélites consolidadas se indicará en el Artículo A.13 del Apéndice 4 (Referencia a las secciones especiales publicadas de la BR IFIC).</w:t>
      </w:r>
    </w:p>
    <w:p w:rsidR="009C3798" w:rsidRDefault="009C3798" w:rsidP="00857FBA">
      <w:pPr>
        <w:rPr>
          <w:rFonts w:eastAsia="SimSun"/>
          <w:szCs w:val="24"/>
          <w:lang w:val="es-ES"/>
        </w:rPr>
      </w:pPr>
      <w:r>
        <w:rPr>
          <w:rFonts w:eastAsia="SimSun"/>
          <w:szCs w:val="24"/>
          <w:lang w:val="es-ES"/>
        </w:rPr>
        <w:br w:type="page"/>
      </w:r>
    </w:p>
    <w:p w:rsidR="00A60C28" w:rsidRPr="003667EC" w:rsidRDefault="00A60C28">
      <w:pPr>
        <w:pStyle w:val="Heading8"/>
        <w:rPr>
          <w:color w:val="000000"/>
          <w:lang w:val="es-ES_tradnl"/>
        </w:rPr>
      </w:pPr>
      <w:r w:rsidRPr="003667EC">
        <w:rPr>
          <w:rStyle w:val="href2"/>
          <w:color w:val="000000"/>
          <w:lang w:val="es-ES_tradnl"/>
        </w:rPr>
        <w:lastRenderedPageBreak/>
        <w:t>11</w:t>
      </w:r>
      <w:r w:rsidRPr="003667EC">
        <w:rPr>
          <w:color w:val="000000"/>
          <w:lang w:val="es-ES_tradnl"/>
        </w:rPr>
        <w:t>.13</w:t>
      </w:r>
    </w:p>
    <w:p w:rsidR="00676B57" w:rsidRPr="003667EC" w:rsidRDefault="00676B57" w:rsidP="003667EC">
      <w:pPr>
        <w:rPr>
          <w:color w:val="000000"/>
          <w:lang w:val="es-ES_tradnl"/>
        </w:rPr>
      </w:pPr>
      <w:r w:rsidRPr="003667EC">
        <w:rPr>
          <w:color w:val="000000"/>
          <w:lang w:val="es-ES_tradnl"/>
        </w:rPr>
        <w:t>1</w:t>
      </w:r>
      <w:r w:rsidRPr="003667EC">
        <w:rPr>
          <w:color w:val="000000"/>
          <w:lang w:val="es-ES_tradnl"/>
        </w:rPr>
        <w:tab/>
        <w:t>Esta disposición estipula que no se notificarán las frecuencias que se prescriben para uso común de las estaciones de un servicio determinado. Conforme a esta disposición, la Oficina estableció una lista de las frecuencias que entran en esta categoría. Dicha lista se actualiza regularmente y se publica en el Prefacio de la Lista Internacional de Frecuencias (LIF) en orden de frecuencias (Capítulo</w:t>
      </w:r>
      <w:r w:rsidR="003667EC">
        <w:rPr>
          <w:color w:val="000000"/>
          <w:lang w:val="es-ES_tradnl"/>
        </w:rPr>
        <w:t xml:space="preserve"> </w:t>
      </w:r>
      <w:r w:rsidRPr="003667EC">
        <w:rPr>
          <w:color w:val="000000"/>
          <w:lang w:val="es-ES_tradnl"/>
        </w:rPr>
        <w:t>VI del Prefacio). Las frecuencias de uso común figuran en el Registro Internacional de Frecuencias (Registro) y en la LIF.</w:t>
      </w:r>
    </w:p>
    <w:p w:rsidR="00676B57" w:rsidRPr="003667EC" w:rsidRDefault="00676B57" w:rsidP="00676B57">
      <w:pPr>
        <w:rPr>
          <w:color w:val="000000"/>
          <w:lang w:val="es-ES_tradnl"/>
        </w:rPr>
      </w:pPr>
      <w:r w:rsidRPr="003667EC">
        <w:rPr>
          <w:lang w:val="es-ES_tradnl"/>
        </w:rPr>
        <w:t>2</w:t>
      </w:r>
      <w:r w:rsidRPr="003667EC">
        <w:rPr>
          <w:lang w:val="es-ES_tradnl"/>
        </w:rPr>
        <w:tab/>
        <w:t>A continuación se ofrece un resumen de las frecuencias/bandas de frecuencias que se prescriben para uso común:</w:t>
      </w:r>
    </w:p>
    <w:p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para socorro y llamadas de seguridad del SMSSM que utilizan técnicas de llamada selectiva digital (2</w:t>
      </w:r>
      <w:r w:rsidRPr="003667EC">
        <w:rPr>
          <w:rFonts w:ascii="Tms Rmn" w:hAnsi="Tms Rmn"/>
          <w:color w:val="000000"/>
          <w:sz w:val="12"/>
          <w:lang w:val="es-ES_tradnl"/>
        </w:rPr>
        <w:t> </w:t>
      </w:r>
      <w:r w:rsidRPr="003667EC">
        <w:rPr>
          <w:color w:val="000000"/>
          <w:lang w:val="es-ES_tradnl"/>
        </w:rPr>
        <w:t>187,5 kHz, 4</w:t>
      </w:r>
      <w:r w:rsidRPr="003667EC">
        <w:rPr>
          <w:rFonts w:ascii="Tms Rmn" w:hAnsi="Tms Rmn"/>
          <w:color w:val="000000"/>
          <w:sz w:val="12"/>
          <w:lang w:val="es-ES_tradnl"/>
        </w:rPr>
        <w:t> </w:t>
      </w:r>
      <w:r w:rsidRPr="003667EC">
        <w:rPr>
          <w:color w:val="000000"/>
          <w:lang w:val="es-ES_tradnl"/>
        </w:rPr>
        <w:t>207,5 kHz, 6</w:t>
      </w:r>
      <w:r w:rsidRPr="003667EC">
        <w:rPr>
          <w:rFonts w:ascii="Tms Rmn" w:hAnsi="Tms Rmn"/>
          <w:color w:val="000000"/>
          <w:sz w:val="12"/>
          <w:lang w:val="es-ES_tradnl"/>
        </w:rPr>
        <w:t> </w:t>
      </w:r>
      <w:r w:rsidRPr="003667EC">
        <w:rPr>
          <w:color w:val="000000"/>
          <w:lang w:val="es-ES_tradnl"/>
        </w:rPr>
        <w:t>312 kHz, 8</w:t>
      </w:r>
      <w:r w:rsidRPr="003667EC">
        <w:rPr>
          <w:rFonts w:ascii="Tms Rmn" w:hAnsi="Tms Rmn"/>
          <w:color w:val="000000"/>
          <w:sz w:val="12"/>
          <w:lang w:val="es-ES_tradnl"/>
        </w:rPr>
        <w:t> </w:t>
      </w:r>
      <w:r w:rsidRPr="003667EC">
        <w:rPr>
          <w:color w:val="000000"/>
          <w:lang w:val="es-ES_tradnl"/>
        </w:rPr>
        <w:t>414,5 kHz, 12</w:t>
      </w:r>
      <w:r w:rsidRPr="003667EC">
        <w:rPr>
          <w:rFonts w:ascii="Tms Rmn" w:hAnsi="Tms Rmn"/>
          <w:color w:val="000000"/>
          <w:sz w:val="12"/>
          <w:lang w:val="es-ES_tradnl"/>
        </w:rPr>
        <w:t> </w:t>
      </w:r>
      <w:r w:rsidRPr="003667EC">
        <w:rPr>
          <w:color w:val="000000"/>
          <w:lang w:val="es-ES_tradnl"/>
        </w:rPr>
        <w:t>577 kHz, 16</w:t>
      </w:r>
      <w:r w:rsidRPr="003667EC">
        <w:rPr>
          <w:rFonts w:ascii="Tms Rmn" w:hAnsi="Tms Rmn"/>
          <w:color w:val="000000"/>
          <w:sz w:val="12"/>
          <w:lang w:val="es-ES_tradnl"/>
        </w:rPr>
        <w:t> </w:t>
      </w:r>
      <w:r w:rsidRPr="003667EC">
        <w:rPr>
          <w:color w:val="000000"/>
          <w:lang w:val="es-ES_tradnl"/>
        </w:rPr>
        <w:t>804,5 kHz y 156,525 MHz).</w:t>
      </w:r>
    </w:p>
    <w:p w:rsidR="00676B57" w:rsidRPr="003667EC" w:rsidRDefault="00676B57" w:rsidP="00285A0D">
      <w:pPr>
        <w:pStyle w:val="enumlev1"/>
        <w:rPr>
          <w:color w:val="000000"/>
          <w:lang w:val="es-ES_tradnl"/>
        </w:rPr>
      </w:pPr>
      <w:r w:rsidRPr="003667EC">
        <w:rPr>
          <w:color w:val="000000"/>
          <w:lang w:val="es-ES_tradnl"/>
        </w:rPr>
        <w:t>–</w:t>
      </w:r>
      <w:r w:rsidRPr="003667EC">
        <w:rPr>
          <w:color w:val="000000"/>
          <w:lang w:val="es-ES_tradnl"/>
        </w:rPr>
        <w:tab/>
        <w:t>Frecuencias para socorro y tráfico de seguridad del SMSSM mediante telegrafía de impresión directa en banda estrecha (2</w:t>
      </w:r>
      <w:r w:rsidRPr="003667EC">
        <w:rPr>
          <w:rFonts w:ascii="Tms Rmn" w:hAnsi="Tms Rmn"/>
          <w:color w:val="000000"/>
          <w:sz w:val="12"/>
          <w:lang w:val="es-ES_tradnl"/>
        </w:rPr>
        <w:t> </w:t>
      </w:r>
      <w:r w:rsidRPr="003667EC">
        <w:rPr>
          <w:color w:val="000000"/>
          <w:lang w:val="es-ES_tradnl"/>
        </w:rPr>
        <w:t>174,5, 4</w:t>
      </w:r>
      <w:r w:rsidRPr="003667EC">
        <w:rPr>
          <w:rFonts w:ascii="Tms Rmn" w:hAnsi="Tms Rmn"/>
          <w:color w:val="000000"/>
          <w:sz w:val="12"/>
          <w:lang w:val="es-ES_tradnl"/>
        </w:rPr>
        <w:t> </w:t>
      </w:r>
      <w:r w:rsidRPr="003667EC">
        <w:rPr>
          <w:color w:val="000000"/>
          <w:lang w:val="es-ES_tradnl"/>
        </w:rPr>
        <w:t>177,5, 6</w:t>
      </w:r>
      <w:r w:rsidRPr="003667EC">
        <w:rPr>
          <w:rFonts w:ascii="Tms Rmn" w:hAnsi="Tms Rmn"/>
          <w:color w:val="000000"/>
          <w:sz w:val="12"/>
          <w:lang w:val="es-ES_tradnl"/>
        </w:rPr>
        <w:t> </w:t>
      </w:r>
      <w:r w:rsidRPr="003667EC">
        <w:rPr>
          <w:color w:val="000000"/>
          <w:lang w:val="es-ES_tradnl"/>
        </w:rPr>
        <w:t>268, 8</w:t>
      </w:r>
      <w:r w:rsidRPr="003667EC">
        <w:rPr>
          <w:rFonts w:ascii="Tms Rmn" w:hAnsi="Tms Rmn"/>
          <w:color w:val="000000"/>
          <w:sz w:val="12"/>
          <w:lang w:val="es-ES_tradnl"/>
        </w:rPr>
        <w:t> </w:t>
      </w:r>
      <w:r w:rsidRPr="003667EC">
        <w:rPr>
          <w:color w:val="000000"/>
          <w:lang w:val="es-ES_tradnl"/>
        </w:rPr>
        <w:t>376,5, 12</w:t>
      </w:r>
      <w:r w:rsidRPr="003667EC">
        <w:rPr>
          <w:rFonts w:ascii="Tms Rmn" w:hAnsi="Tms Rmn"/>
          <w:color w:val="000000"/>
          <w:sz w:val="12"/>
          <w:lang w:val="es-ES_tradnl"/>
        </w:rPr>
        <w:t> </w:t>
      </w:r>
      <w:r w:rsidRPr="003667EC">
        <w:rPr>
          <w:color w:val="000000"/>
          <w:lang w:val="es-ES_tradnl"/>
        </w:rPr>
        <w:t>520 y 16</w:t>
      </w:r>
      <w:r w:rsidRPr="003667EC">
        <w:rPr>
          <w:rFonts w:ascii="Tms Rmn" w:hAnsi="Tms Rmn"/>
          <w:color w:val="000000"/>
          <w:sz w:val="12"/>
          <w:lang w:val="es-ES_tradnl"/>
        </w:rPr>
        <w:t> </w:t>
      </w:r>
      <w:r w:rsidRPr="003667EC">
        <w:rPr>
          <w:color w:val="000000"/>
          <w:lang w:val="es-ES_tradnl"/>
        </w:rPr>
        <w:t>695 kHz).</w:t>
      </w:r>
    </w:p>
    <w:p w:rsidR="00676B57" w:rsidRPr="003667EC" w:rsidRDefault="00676B57" w:rsidP="007E3FFE">
      <w:pPr>
        <w:pStyle w:val="enumlev1"/>
        <w:rPr>
          <w:color w:val="000000"/>
          <w:lang w:val="es-ES_tradnl"/>
        </w:rPr>
      </w:pPr>
      <w:r w:rsidRPr="003667EC">
        <w:rPr>
          <w:color w:val="000000"/>
          <w:lang w:val="es-ES_tradnl"/>
        </w:rPr>
        <w:t>–</w:t>
      </w:r>
      <w:r w:rsidRPr="003667EC">
        <w:rPr>
          <w:color w:val="000000"/>
          <w:lang w:val="es-ES_tradnl"/>
        </w:rPr>
        <w:tab/>
        <w:t>Frecuencias para socorro y tráfico de seguridad del SMSSM mediante radiotelefonía (2</w:t>
      </w:r>
      <w:r w:rsidRPr="003667EC">
        <w:rPr>
          <w:rFonts w:ascii="Tms Rmn" w:hAnsi="Tms Rmn"/>
          <w:color w:val="000000"/>
          <w:sz w:val="12"/>
          <w:lang w:val="es-ES_tradnl"/>
        </w:rPr>
        <w:t> </w:t>
      </w:r>
      <w:r w:rsidRPr="003667EC">
        <w:rPr>
          <w:color w:val="000000"/>
          <w:lang w:val="es-ES_tradnl"/>
        </w:rPr>
        <w:t>182</w:t>
      </w:r>
      <w:r w:rsidR="007E3FFE" w:rsidRPr="003667EC">
        <w:rPr>
          <w:color w:val="000000"/>
          <w:lang w:val="es-ES_tradnl"/>
        </w:rPr>
        <w:t> </w:t>
      </w:r>
      <w:r w:rsidRPr="003667EC">
        <w:rPr>
          <w:color w:val="000000"/>
          <w:lang w:val="es-ES_tradnl"/>
        </w:rPr>
        <w:t>kHz, 4</w:t>
      </w:r>
      <w:r w:rsidRPr="003667EC">
        <w:rPr>
          <w:rFonts w:ascii="Tms Rmn" w:hAnsi="Tms Rmn"/>
          <w:color w:val="000000"/>
          <w:sz w:val="12"/>
          <w:lang w:val="es-ES_tradnl"/>
        </w:rPr>
        <w:t> </w:t>
      </w:r>
      <w:r w:rsidRPr="003667EC">
        <w:rPr>
          <w:color w:val="000000"/>
          <w:lang w:val="es-ES_tradnl"/>
        </w:rPr>
        <w:t>125 kHz, 6</w:t>
      </w:r>
      <w:r w:rsidRPr="003667EC">
        <w:rPr>
          <w:rFonts w:ascii="Tms Rmn" w:hAnsi="Tms Rmn"/>
          <w:color w:val="000000"/>
          <w:sz w:val="12"/>
          <w:lang w:val="es-ES_tradnl"/>
        </w:rPr>
        <w:t> </w:t>
      </w:r>
      <w:r w:rsidRPr="003667EC">
        <w:rPr>
          <w:color w:val="000000"/>
          <w:lang w:val="es-ES_tradnl"/>
        </w:rPr>
        <w:t>215 kHz, 8</w:t>
      </w:r>
      <w:r w:rsidRPr="003667EC">
        <w:rPr>
          <w:rFonts w:ascii="Tms Rmn" w:hAnsi="Tms Rmn"/>
          <w:color w:val="000000"/>
          <w:sz w:val="12"/>
          <w:lang w:val="es-ES_tradnl"/>
        </w:rPr>
        <w:t> </w:t>
      </w:r>
      <w:r w:rsidRPr="003667EC">
        <w:rPr>
          <w:color w:val="000000"/>
          <w:lang w:val="es-ES_tradnl"/>
        </w:rPr>
        <w:t>291 kHz, 12</w:t>
      </w:r>
      <w:r w:rsidRPr="003667EC">
        <w:rPr>
          <w:rFonts w:ascii="Tms Rmn" w:hAnsi="Tms Rmn"/>
          <w:color w:val="000000"/>
          <w:sz w:val="12"/>
          <w:lang w:val="es-ES_tradnl"/>
        </w:rPr>
        <w:t> </w:t>
      </w:r>
      <w:r w:rsidRPr="003667EC">
        <w:rPr>
          <w:color w:val="000000"/>
          <w:lang w:val="es-ES_tradnl"/>
        </w:rPr>
        <w:t>290 kHz, 16</w:t>
      </w:r>
      <w:r w:rsidRPr="003667EC">
        <w:rPr>
          <w:rFonts w:ascii="Tms Rmn" w:hAnsi="Tms Rmn"/>
          <w:color w:val="000000"/>
          <w:sz w:val="12"/>
          <w:lang w:val="es-ES_tradnl"/>
        </w:rPr>
        <w:t> </w:t>
      </w:r>
      <w:r w:rsidRPr="003667EC">
        <w:rPr>
          <w:color w:val="000000"/>
          <w:lang w:val="es-ES_tradnl"/>
        </w:rPr>
        <w:t>420 kHz y 156,8</w:t>
      </w:r>
      <w:r w:rsidR="007E3FFE" w:rsidRPr="003667EC">
        <w:rPr>
          <w:color w:val="000000"/>
          <w:lang w:val="es-ES_tradnl"/>
        </w:rPr>
        <w:t> </w:t>
      </w:r>
      <w:r w:rsidRPr="003667EC">
        <w:rPr>
          <w:color w:val="000000"/>
          <w:lang w:val="es-ES_tradnl"/>
        </w:rPr>
        <w:t>MHz).</w:t>
      </w:r>
    </w:p>
    <w:p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operaciones de búsqueda y salvamento (2</w:t>
      </w:r>
      <w:r w:rsidRPr="003667EC">
        <w:rPr>
          <w:color w:val="000000"/>
          <w:sz w:val="12"/>
          <w:lang w:val="es-ES_tradnl"/>
        </w:rPr>
        <w:t> </w:t>
      </w:r>
      <w:r w:rsidRPr="003667EC">
        <w:rPr>
          <w:color w:val="000000"/>
          <w:lang w:val="es-ES_tradnl"/>
        </w:rPr>
        <w:t>182 kHz, 3</w:t>
      </w:r>
      <w:r w:rsidRPr="003667EC">
        <w:rPr>
          <w:color w:val="000000"/>
          <w:sz w:val="12"/>
          <w:lang w:val="es-ES_tradnl"/>
        </w:rPr>
        <w:t> </w:t>
      </w:r>
      <w:r w:rsidRPr="003667EC">
        <w:rPr>
          <w:color w:val="000000"/>
          <w:lang w:val="es-ES_tradnl"/>
        </w:rPr>
        <w:t>023 kHz, 5</w:t>
      </w:r>
      <w:r w:rsidRPr="003667EC">
        <w:rPr>
          <w:color w:val="000000"/>
          <w:sz w:val="12"/>
          <w:lang w:val="es-ES_tradnl"/>
        </w:rPr>
        <w:t> </w:t>
      </w:r>
      <w:r w:rsidRPr="003667EC">
        <w:rPr>
          <w:color w:val="000000"/>
          <w:lang w:val="es-ES_tradnl"/>
        </w:rPr>
        <w:t>680 kHz, 8</w:t>
      </w:r>
      <w:r w:rsidRPr="003667EC">
        <w:rPr>
          <w:color w:val="000000"/>
          <w:sz w:val="12"/>
          <w:lang w:val="es-ES_tradnl"/>
        </w:rPr>
        <w:t> </w:t>
      </w:r>
      <w:r w:rsidRPr="003667EC">
        <w:rPr>
          <w:color w:val="000000"/>
          <w:lang w:val="es-ES_tradnl"/>
        </w:rPr>
        <w:t>364 kHz, 10</w:t>
      </w:r>
      <w:r w:rsidRPr="003667EC">
        <w:rPr>
          <w:color w:val="000000"/>
          <w:sz w:val="12"/>
          <w:lang w:val="es-ES_tradnl"/>
        </w:rPr>
        <w:t> </w:t>
      </w:r>
      <w:r w:rsidRPr="003667EC">
        <w:rPr>
          <w:color w:val="000000"/>
          <w:lang w:val="es-ES_tradnl"/>
        </w:rPr>
        <w:t>003 kHz, 14</w:t>
      </w:r>
      <w:r w:rsidRPr="003667EC">
        <w:rPr>
          <w:color w:val="000000"/>
          <w:sz w:val="12"/>
          <w:lang w:val="es-ES_tradnl"/>
        </w:rPr>
        <w:t> </w:t>
      </w:r>
      <w:r w:rsidRPr="003667EC">
        <w:rPr>
          <w:color w:val="000000"/>
          <w:lang w:val="es-ES_tradnl"/>
        </w:rPr>
        <w:t>993 kHz, 19</w:t>
      </w:r>
      <w:r w:rsidRPr="003667EC">
        <w:rPr>
          <w:color w:val="000000"/>
          <w:sz w:val="12"/>
          <w:lang w:val="es-ES_tradnl"/>
        </w:rPr>
        <w:t> </w:t>
      </w:r>
      <w:r w:rsidRPr="003667EC">
        <w:rPr>
          <w:color w:val="000000"/>
          <w:lang w:val="es-ES_tradnl"/>
        </w:rPr>
        <w:t>993 kHz, 121,5 MHz, 123,1 MHz, 156,3</w:t>
      </w:r>
      <w:r w:rsidRPr="003667EC">
        <w:rPr>
          <w:color w:val="000000"/>
          <w:sz w:val="12"/>
          <w:lang w:val="es-ES_tradnl"/>
        </w:rPr>
        <w:t> </w:t>
      </w:r>
      <w:r w:rsidRPr="003667EC">
        <w:rPr>
          <w:color w:val="000000"/>
          <w:lang w:val="es-ES_tradnl"/>
        </w:rPr>
        <w:t>MHz, 156,8 MHz</w:t>
      </w:r>
      <w:r w:rsidR="007F700A" w:rsidRPr="003667EC">
        <w:rPr>
          <w:color w:val="000000"/>
          <w:lang w:val="es-ES_tradnl"/>
        </w:rPr>
        <w:t xml:space="preserve">, 161,975 MHz, </w:t>
      </w:r>
      <w:r w:rsidR="002400F2" w:rsidRPr="003667EC">
        <w:rPr>
          <w:color w:val="000000"/>
          <w:lang w:val="es-ES_tradnl"/>
        </w:rPr>
        <w:t>1</w:t>
      </w:r>
      <w:r w:rsidR="007F700A" w:rsidRPr="003667EC">
        <w:rPr>
          <w:color w:val="000000"/>
          <w:lang w:val="es-ES_tradnl"/>
        </w:rPr>
        <w:t>62,025 MHz</w:t>
      </w:r>
      <w:r w:rsidRPr="003667EC">
        <w:rPr>
          <w:color w:val="000000"/>
          <w:lang w:val="es-ES_tradnl"/>
        </w:rPr>
        <w:t xml:space="preserve"> y 243 MHz).</w:t>
      </w:r>
    </w:p>
    <w:p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llamada selectiva digital con fines distintos de los de socorro y seguridad (455,5, 458,5, 2</w:t>
      </w:r>
      <w:r w:rsidRPr="003667EC">
        <w:rPr>
          <w:color w:val="000000"/>
          <w:sz w:val="12"/>
          <w:lang w:val="es-ES_tradnl"/>
        </w:rPr>
        <w:t> </w:t>
      </w:r>
      <w:r w:rsidRPr="003667EC">
        <w:rPr>
          <w:color w:val="000000"/>
          <w:lang w:val="es-ES_tradnl"/>
        </w:rPr>
        <w:t>177, 2</w:t>
      </w:r>
      <w:r w:rsidRPr="003667EC">
        <w:rPr>
          <w:color w:val="000000"/>
          <w:sz w:val="12"/>
          <w:lang w:val="es-ES_tradnl"/>
        </w:rPr>
        <w:t> </w:t>
      </w:r>
      <w:r w:rsidRPr="003667EC">
        <w:rPr>
          <w:color w:val="000000"/>
          <w:lang w:val="es-ES_tradnl"/>
        </w:rPr>
        <w:t>189,5, 4</w:t>
      </w:r>
      <w:r w:rsidRPr="003667EC">
        <w:rPr>
          <w:color w:val="000000"/>
          <w:sz w:val="12"/>
          <w:lang w:val="es-ES_tradnl"/>
        </w:rPr>
        <w:t> </w:t>
      </w:r>
      <w:r w:rsidRPr="003667EC">
        <w:rPr>
          <w:color w:val="000000"/>
          <w:lang w:val="es-ES_tradnl"/>
        </w:rPr>
        <w:t>208, 4</w:t>
      </w:r>
      <w:r w:rsidRPr="003667EC">
        <w:rPr>
          <w:color w:val="000000"/>
          <w:sz w:val="12"/>
          <w:lang w:val="es-ES_tradnl"/>
        </w:rPr>
        <w:t> </w:t>
      </w:r>
      <w:r w:rsidRPr="003667EC">
        <w:rPr>
          <w:color w:val="000000"/>
          <w:lang w:val="es-ES_tradnl"/>
        </w:rPr>
        <w:t>208,5, 4</w:t>
      </w:r>
      <w:r w:rsidRPr="003667EC">
        <w:rPr>
          <w:color w:val="000000"/>
          <w:sz w:val="12"/>
          <w:lang w:val="es-ES_tradnl"/>
        </w:rPr>
        <w:t> </w:t>
      </w:r>
      <w:r w:rsidRPr="003667EC">
        <w:rPr>
          <w:color w:val="000000"/>
          <w:lang w:val="es-ES_tradnl"/>
        </w:rPr>
        <w:t>209, 4</w:t>
      </w:r>
      <w:r w:rsidRPr="003667EC">
        <w:rPr>
          <w:color w:val="000000"/>
          <w:sz w:val="12"/>
          <w:lang w:val="es-ES_tradnl"/>
        </w:rPr>
        <w:t> </w:t>
      </w:r>
      <w:r w:rsidRPr="003667EC">
        <w:rPr>
          <w:color w:val="000000"/>
          <w:lang w:val="es-ES_tradnl"/>
        </w:rPr>
        <w:t>219,5, 4</w:t>
      </w:r>
      <w:r w:rsidRPr="003667EC">
        <w:rPr>
          <w:color w:val="000000"/>
          <w:sz w:val="12"/>
          <w:lang w:val="es-ES_tradnl"/>
        </w:rPr>
        <w:t> </w:t>
      </w:r>
      <w:r w:rsidRPr="003667EC">
        <w:rPr>
          <w:color w:val="000000"/>
          <w:lang w:val="es-ES_tradnl"/>
        </w:rPr>
        <w:t>220, 4</w:t>
      </w:r>
      <w:r w:rsidRPr="003667EC">
        <w:rPr>
          <w:color w:val="000000"/>
          <w:sz w:val="12"/>
          <w:lang w:val="es-ES_tradnl"/>
        </w:rPr>
        <w:t> </w:t>
      </w:r>
      <w:r w:rsidRPr="003667EC">
        <w:rPr>
          <w:color w:val="000000"/>
          <w:lang w:val="es-ES_tradnl"/>
        </w:rPr>
        <w:t>220,5, 6</w:t>
      </w:r>
      <w:r w:rsidRPr="003667EC">
        <w:rPr>
          <w:color w:val="000000"/>
          <w:sz w:val="12"/>
          <w:lang w:val="es-ES_tradnl"/>
        </w:rPr>
        <w:t> </w:t>
      </w:r>
      <w:r w:rsidRPr="003667EC">
        <w:rPr>
          <w:color w:val="000000"/>
          <w:lang w:val="es-ES_tradnl"/>
        </w:rPr>
        <w:t>312,5, 6</w:t>
      </w:r>
      <w:r w:rsidRPr="003667EC">
        <w:rPr>
          <w:color w:val="000000"/>
          <w:sz w:val="12"/>
          <w:lang w:val="es-ES_tradnl"/>
        </w:rPr>
        <w:t> </w:t>
      </w:r>
      <w:r w:rsidRPr="003667EC">
        <w:rPr>
          <w:color w:val="000000"/>
          <w:lang w:val="es-ES_tradnl"/>
        </w:rPr>
        <w:t>313, 6</w:t>
      </w:r>
      <w:r w:rsidRPr="003667EC">
        <w:rPr>
          <w:color w:val="000000"/>
          <w:sz w:val="12"/>
          <w:lang w:val="es-ES_tradnl"/>
        </w:rPr>
        <w:t> </w:t>
      </w:r>
      <w:r w:rsidRPr="003667EC">
        <w:rPr>
          <w:color w:val="000000"/>
          <w:lang w:val="es-ES_tradnl"/>
        </w:rPr>
        <w:t>313,5, 6</w:t>
      </w:r>
      <w:r w:rsidRPr="003667EC">
        <w:rPr>
          <w:color w:val="000000"/>
          <w:sz w:val="12"/>
          <w:lang w:val="es-ES_tradnl"/>
        </w:rPr>
        <w:t> </w:t>
      </w:r>
      <w:r w:rsidRPr="003667EC">
        <w:rPr>
          <w:color w:val="000000"/>
          <w:lang w:val="es-ES_tradnl"/>
        </w:rPr>
        <w:t>331, 6</w:t>
      </w:r>
      <w:r w:rsidRPr="003667EC">
        <w:rPr>
          <w:color w:val="000000"/>
          <w:sz w:val="12"/>
          <w:lang w:val="es-ES_tradnl"/>
        </w:rPr>
        <w:t> </w:t>
      </w:r>
      <w:r w:rsidRPr="003667EC">
        <w:rPr>
          <w:color w:val="000000"/>
          <w:lang w:val="es-ES_tradnl"/>
        </w:rPr>
        <w:t>331,5, 6</w:t>
      </w:r>
      <w:r w:rsidRPr="003667EC">
        <w:rPr>
          <w:color w:val="000000"/>
          <w:sz w:val="12"/>
          <w:lang w:val="es-ES_tradnl"/>
        </w:rPr>
        <w:t> </w:t>
      </w:r>
      <w:r w:rsidRPr="003667EC">
        <w:rPr>
          <w:color w:val="000000"/>
          <w:lang w:val="es-ES_tradnl"/>
        </w:rPr>
        <w:t>332, 8</w:t>
      </w:r>
      <w:r w:rsidRPr="003667EC">
        <w:rPr>
          <w:color w:val="000000"/>
          <w:sz w:val="12"/>
          <w:lang w:val="es-ES_tradnl"/>
        </w:rPr>
        <w:t> </w:t>
      </w:r>
      <w:r w:rsidRPr="003667EC">
        <w:rPr>
          <w:color w:val="000000"/>
          <w:lang w:val="es-ES_tradnl"/>
        </w:rPr>
        <w:t>415, 8</w:t>
      </w:r>
      <w:r w:rsidRPr="003667EC">
        <w:rPr>
          <w:color w:val="000000"/>
          <w:sz w:val="12"/>
          <w:lang w:val="es-ES_tradnl"/>
        </w:rPr>
        <w:t> </w:t>
      </w:r>
      <w:r w:rsidRPr="003667EC">
        <w:rPr>
          <w:color w:val="000000"/>
          <w:lang w:val="es-ES_tradnl"/>
        </w:rPr>
        <w:t>415,5, 8</w:t>
      </w:r>
      <w:r w:rsidRPr="003667EC">
        <w:rPr>
          <w:color w:val="000000"/>
          <w:sz w:val="12"/>
          <w:lang w:val="es-ES_tradnl"/>
        </w:rPr>
        <w:t> </w:t>
      </w:r>
      <w:r w:rsidRPr="003667EC">
        <w:rPr>
          <w:color w:val="000000"/>
          <w:lang w:val="es-ES_tradnl"/>
        </w:rPr>
        <w:t>416, 8</w:t>
      </w:r>
      <w:r w:rsidRPr="003667EC">
        <w:rPr>
          <w:color w:val="000000"/>
          <w:sz w:val="12"/>
          <w:lang w:val="es-ES_tradnl"/>
        </w:rPr>
        <w:t> </w:t>
      </w:r>
      <w:r w:rsidRPr="003667EC">
        <w:rPr>
          <w:color w:val="000000"/>
          <w:lang w:val="es-ES_tradnl"/>
        </w:rPr>
        <w:t>436,5, 8</w:t>
      </w:r>
      <w:r w:rsidRPr="003667EC">
        <w:rPr>
          <w:color w:val="000000"/>
          <w:sz w:val="12"/>
          <w:lang w:val="es-ES_tradnl"/>
        </w:rPr>
        <w:t> </w:t>
      </w:r>
      <w:r w:rsidRPr="003667EC">
        <w:rPr>
          <w:color w:val="000000"/>
          <w:lang w:val="es-ES_tradnl"/>
        </w:rPr>
        <w:t>437, 8</w:t>
      </w:r>
      <w:r w:rsidRPr="003667EC">
        <w:rPr>
          <w:color w:val="000000"/>
          <w:sz w:val="12"/>
          <w:lang w:val="es-ES_tradnl"/>
        </w:rPr>
        <w:t> </w:t>
      </w:r>
      <w:r w:rsidRPr="003667EC">
        <w:rPr>
          <w:color w:val="000000"/>
          <w:lang w:val="es-ES_tradnl"/>
        </w:rPr>
        <w:t>437,5, 12</w:t>
      </w:r>
      <w:r w:rsidRPr="003667EC">
        <w:rPr>
          <w:color w:val="000000"/>
          <w:sz w:val="12"/>
          <w:lang w:val="es-ES_tradnl"/>
        </w:rPr>
        <w:t> </w:t>
      </w:r>
      <w:r w:rsidRPr="003667EC">
        <w:rPr>
          <w:color w:val="000000"/>
          <w:lang w:val="es-ES_tradnl"/>
        </w:rPr>
        <w:t>577,5, 12</w:t>
      </w:r>
      <w:r w:rsidRPr="003667EC">
        <w:rPr>
          <w:color w:val="000000"/>
          <w:sz w:val="12"/>
          <w:lang w:val="es-ES_tradnl"/>
        </w:rPr>
        <w:t> </w:t>
      </w:r>
      <w:r w:rsidRPr="003667EC">
        <w:rPr>
          <w:color w:val="000000"/>
          <w:lang w:val="es-ES_tradnl"/>
        </w:rPr>
        <w:t>578, 12</w:t>
      </w:r>
      <w:r w:rsidRPr="003667EC">
        <w:rPr>
          <w:color w:val="000000"/>
          <w:sz w:val="12"/>
          <w:lang w:val="es-ES_tradnl"/>
        </w:rPr>
        <w:t> </w:t>
      </w:r>
      <w:r w:rsidRPr="003667EC">
        <w:rPr>
          <w:color w:val="000000"/>
          <w:lang w:val="es-ES_tradnl"/>
        </w:rPr>
        <w:t>578,5, 12</w:t>
      </w:r>
      <w:r w:rsidRPr="003667EC">
        <w:rPr>
          <w:color w:val="000000"/>
          <w:sz w:val="12"/>
          <w:lang w:val="es-ES_tradnl"/>
        </w:rPr>
        <w:t> </w:t>
      </w:r>
      <w:r w:rsidRPr="003667EC">
        <w:rPr>
          <w:color w:val="000000"/>
          <w:lang w:val="es-ES_tradnl"/>
        </w:rPr>
        <w:t>657, 12</w:t>
      </w:r>
      <w:r w:rsidRPr="003667EC">
        <w:rPr>
          <w:color w:val="000000"/>
          <w:sz w:val="12"/>
          <w:lang w:val="es-ES_tradnl"/>
        </w:rPr>
        <w:t> </w:t>
      </w:r>
      <w:r w:rsidRPr="003667EC">
        <w:rPr>
          <w:color w:val="000000"/>
          <w:lang w:val="es-ES_tradnl"/>
        </w:rPr>
        <w:t>657,5, 12</w:t>
      </w:r>
      <w:r w:rsidRPr="003667EC">
        <w:rPr>
          <w:color w:val="000000"/>
          <w:sz w:val="12"/>
          <w:lang w:val="es-ES_tradnl"/>
        </w:rPr>
        <w:t> </w:t>
      </w:r>
      <w:r w:rsidRPr="003667EC">
        <w:rPr>
          <w:color w:val="000000"/>
          <w:lang w:val="es-ES_tradnl"/>
        </w:rPr>
        <w:t>658, 16</w:t>
      </w:r>
      <w:r w:rsidRPr="003667EC">
        <w:rPr>
          <w:color w:val="000000"/>
          <w:sz w:val="12"/>
          <w:lang w:val="es-ES_tradnl"/>
        </w:rPr>
        <w:t> </w:t>
      </w:r>
      <w:r w:rsidRPr="003667EC">
        <w:rPr>
          <w:color w:val="000000"/>
          <w:lang w:val="es-ES_tradnl"/>
        </w:rPr>
        <w:t>805, 16</w:t>
      </w:r>
      <w:r w:rsidRPr="003667EC">
        <w:rPr>
          <w:color w:val="000000"/>
          <w:sz w:val="12"/>
          <w:lang w:val="es-ES_tradnl"/>
        </w:rPr>
        <w:t> </w:t>
      </w:r>
      <w:r w:rsidRPr="003667EC">
        <w:rPr>
          <w:color w:val="000000"/>
          <w:lang w:val="es-ES_tradnl"/>
        </w:rPr>
        <w:t>805,5, 16</w:t>
      </w:r>
      <w:r w:rsidRPr="003667EC">
        <w:rPr>
          <w:color w:val="000000"/>
          <w:sz w:val="12"/>
          <w:lang w:val="es-ES_tradnl"/>
        </w:rPr>
        <w:t> </w:t>
      </w:r>
      <w:r w:rsidRPr="003667EC">
        <w:rPr>
          <w:color w:val="000000"/>
          <w:lang w:val="es-ES_tradnl"/>
        </w:rPr>
        <w:t>806, 16</w:t>
      </w:r>
      <w:r w:rsidRPr="003667EC">
        <w:rPr>
          <w:color w:val="000000"/>
          <w:sz w:val="12"/>
          <w:lang w:val="es-ES_tradnl"/>
        </w:rPr>
        <w:t> </w:t>
      </w:r>
      <w:r w:rsidRPr="003667EC">
        <w:rPr>
          <w:color w:val="000000"/>
          <w:lang w:val="es-ES_tradnl"/>
        </w:rPr>
        <w:t>903, 16</w:t>
      </w:r>
      <w:r w:rsidRPr="003667EC">
        <w:rPr>
          <w:color w:val="000000"/>
          <w:sz w:val="12"/>
          <w:lang w:val="es-ES_tradnl"/>
        </w:rPr>
        <w:t> </w:t>
      </w:r>
      <w:r w:rsidRPr="003667EC">
        <w:rPr>
          <w:color w:val="000000"/>
          <w:lang w:val="es-ES_tradnl"/>
        </w:rPr>
        <w:t>903,5, 16</w:t>
      </w:r>
      <w:r w:rsidRPr="003667EC">
        <w:rPr>
          <w:color w:val="000000"/>
          <w:sz w:val="12"/>
          <w:lang w:val="es-ES_tradnl"/>
        </w:rPr>
        <w:t> </w:t>
      </w:r>
      <w:r w:rsidRPr="003667EC">
        <w:rPr>
          <w:color w:val="000000"/>
          <w:lang w:val="es-ES_tradnl"/>
        </w:rPr>
        <w:t>904, 18</w:t>
      </w:r>
      <w:r w:rsidRPr="003667EC">
        <w:rPr>
          <w:color w:val="000000"/>
          <w:sz w:val="12"/>
          <w:lang w:val="es-ES_tradnl"/>
        </w:rPr>
        <w:t> </w:t>
      </w:r>
      <w:r w:rsidRPr="003667EC">
        <w:rPr>
          <w:color w:val="000000"/>
          <w:lang w:val="es-ES_tradnl"/>
        </w:rPr>
        <w:t>898,5, 18</w:t>
      </w:r>
      <w:r w:rsidRPr="003667EC">
        <w:rPr>
          <w:color w:val="000000"/>
          <w:sz w:val="12"/>
          <w:lang w:val="es-ES_tradnl"/>
        </w:rPr>
        <w:t> </w:t>
      </w:r>
      <w:r w:rsidRPr="003667EC">
        <w:rPr>
          <w:color w:val="000000"/>
          <w:lang w:val="es-ES_tradnl"/>
        </w:rPr>
        <w:t>899, 18</w:t>
      </w:r>
      <w:r w:rsidRPr="003667EC">
        <w:rPr>
          <w:color w:val="000000"/>
          <w:sz w:val="12"/>
          <w:lang w:val="es-ES_tradnl"/>
        </w:rPr>
        <w:t> </w:t>
      </w:r>
      <w:r w:rsidRPr="003667EC">
        <w:rPr>
          <w:color w:val="000000"/>
          <w:lang w:val="es-ES_tradnl"/>
        </w:rPr>
        <w:t>899,5, 19</w:t>
      </w:r>
      <w:r w:rsidRPr="003667EC">
        <w:rPr>
          <w:color w:val="000000"/>
          <w:sz w:val="12"/>
          <w:lang w:val="es-ES_tradnl"/>
        </w:rPr>
        <w:t> </w:t>
      </w:r>
      <w:r w:rsidRPr="003667EC">
        <w:rPr>
          <w:color w:val="000000"/>
          <w:lang w:val="es-ES_tradnl"/>
        </w:rPr>
        <w:t>703,5, 19</w:t>
      </w:r>
      <w:r w:rsidRPr="003667EC">
        <w:rPr>
          <w:color w:val="000000"/>
          <w:sz w:val="12"/>
          <w:lang w:val="es-ES_tradnl"/>
        </w:rPr>
        <w:t> </w:t>
      </w:r>
      <w:r w:rsidRPr="003667EC">
        <w:rPr>
          <w:color w:val="000000"/>
          <w:lang w:val="es-ES_tradnl"/>
        </w:rPr>
        <w:t>704, 19</w:t>
      </w:r>
      <w:r w:rsidRPr="003667EC">
        <w:rPr>
          <w:color w:val="000000"/>
          <w:sz w:val="12"/>
          <w:lang w:val="es-ES_tradnl"/>
        </w:rPr>
        <w:t> </w:t>
      </w:r>
      <w:r w:rsidRPr="003667EC">
        <w:rPr>
          <w:color w:val="000000"/>
          <w:lang w:val="es-ES_tradnl"/>
        </w:rPr>
        <w:t>704,5, 22</w:t>
      </w:r>
      <w:r w:rsidRPr="003667EC">
        <w:rPr>
          <w:color w:val="000000"/>
          <w:sz w:val="12"/>
          <w:lang w:val="es-ES_tradnl"/>
        </w:rPr>
        <w:t> </w:t>
      </w:r>
      <w:r w:rsidRPr="003667EC">
        <w:rPr>
          <w:color w:val="000000"/>
          <w:lang w:val="es-ES_tradnl"/>
        </w:rPr>
        <w:t>374,5, 22</w:t>
      </w:r>
      <w:r w:rsidRPr="003667EC">
        <w:rPr>
          <w:color w:val="000000"/>
          <w:sz w:val="12"/>
          <w:lang w:val="es-ES_tradnl"/>
        </w:rPr>
        <w:t> </w:t>
      </w:r>
      <w:r w:rsidRPr="003667EC">
        <w:rPr>
          <w:color w:val="000000"/>
          <w:lang w:val="es-ES_tradnl"/>
        </w:rPr>
        <w:t>375, 22</w:t>
      </w:r>
      <w:r w:rsidRPr="003667EC">
        <w:rPr>
          <w:color w:val="000000"/>
          <w:sz w:val="12"/>
          <w:lang w:val="es-ES_tradnl"/>
        </w:rPr>
        <w:t> </w:t>
      </w:r>
      <w:r w:rsidRPr="003667EC">
        <w:rPr>
          <w:color w:val="000000"/>
          <w:lang w:val="es-ES_tradnl"/>
        </w:rPr>
        <w:t>375,5, 22</w:t>
      </w:r>
      <w:r w:rsidRPr="003667EC">
        <w:rPr>
          <w:color w:val="000000"/>
          <w:sz w:val="12"/>
          <w:lang w:val="es-ES_tradnl"/>
        </w:rPr>
        <w:t> </w:t>
      </w:r>
      <w:r w:rsidRPr="003667EC">
        <w:rPr>
          <w:color w:val="000000"/>
          <w:lang w:val="es-ES_tradnl"/>
        </w:rPr>
        <w:t>444, 22</w:t>
      </w:r>
      <w:r w:rsidRPr="003667EC">
        <w:rPr>
          <w:color w:val="000000"/>
          <w:sz w:val="12"/>
          <w:lang w:val="es-ES_tradnl"/>
        </w:rPr>
        <w:t> </w:t>
      </w:r>
      <w:r w:rsidRPr="003667EC">
        <w:rPr>
          <w:color w:val="000000"/>
          <w:lang w:val="es-ES_tradnl"/>
        </w:rPr>
        <w:t>444,5, 22</w:t>
      </w:r>
      <w:r w:rsidRPr="003667EC">
        <w:rPr>
          <w:color w:val="000000"/>
          <w:sz w:val="12"/>
          <w:lang w:val="es-ES_tradnl"/>
        </w:rPr>
        <w:t> </w:t>
      </w:r>
      <w:r w:rsidRPr="003667EC">
        <w:rPr>
          <w:color w:val="000000"/>
          <w:lang w:val="es-ES_tradnl"/>
        </w:rPr>
        <w:t>445, 25</w:t>
      </w:r>
      <w:r w:rsidRPr="003667EC">
        <w:rPr>
          <w:color w:val="000000"/>
          <w:sz w:val="12"/>
          <w:lang w:val="es-ES_tradnl"/>
        </w:rPr>
        <w:t> </w:t>
      </w:r>
      <w:r w:rsidRPr="003667EC">
        <w:rPr>
          <w:color w:val="000000"/>
          <w:lang w:val="es-ES_tradnl"/>
        </w:rPr>
        <w:t>208,5, 25</w:t>
      </w:r>
      <w:r w:rsidRPr="003667EC">
        <w:rPr>
          <w:color w:val="000000"/>
          <w:sz w:val="12"/>
          <w:lang w:val="es-ES_tradnl"/>
        </w:rPr>
        <w:t> </w:t>
      </w:r>
      <w:r w:rsidRPr="003667EC">
        <w:rPr>
          <w:color w:val="000000"/>
          <w:lang w:val="es-ES_tradnl"/>
        </w:rPr>
        <w:t>209, 25</w:t>
      </w:r>
      <w:r w:rsidRPr="003667EC">
        <w:rPr>
          <w:color w:val="000000"/>
          <w:sz w:val="12"/>
          <w:lang w:val="es-ES_tradnl"/>
        </w:rPr>
        <w:t> </w:t>
      </w:r>
      <w:r w:rsidRPr="003667EC">
        <w:rPr>
          <w:color w:val="000000"/>
          <w:lang w:val="es-ES_tradnl"/>
        </w:rPr>
        <w:t>209,5, 26</w:t>
      </w:r>
      <w:r w:rsidRPr="003667EC">
        <w:rPr>
          <w:color w:val="000000"/>
          <w:sz w:val="12"/>
          <w:lang w:val="es-ES_tradnl"/>
        </w:rPr>
        <w:t> </w:t>
      </w:r>
      <w:r w:rsidRPr="003667EC">
        <w:rPr>
          <w:color w:val="000000"/>
          <w:lang w:val="es-ES_tradnl"/>
        </w:rPr>
        <w:t>121, 26</w:t>
      </w:r>
      <w:r w:rsidRPr="003667EC">
        <w:rPr>
          <w:color w:val="000000"/>
          <w:sz w:val="12"/>
          <w:lang w:val="es-ES_tradnl"/>
        </w:rPr>
        <w:t> </w:t>
      </w:r>
      <w:r w:rsidRPr="003667EC">
        <w:rPr>
          <w:color w:val="000000"/>
          <w:lang w:val="es-ES_tradnl"/>
        </w:rPr>
        <w:t>121,5 y 26</w:t>
      </w:r>
      <w:r w:rsidRPr="003667EC">
        <w:rPr>
          <w:color w:val="000000"/>
          <w:sz w:val="12"/>
          <w:lang w:val="es-ES_tradnl"/>
        </w:rPr>
        <w:t> </w:t>
      </w:r>
      <w:r w:rsidRPr="003667EC">
        <w:rPr>
          <w:color w:val="000000"/>
          <w:lang w:val="es-ES_tradnl"/>
        </w:rPr>
        <w:t>122 kHz).</w:t>
      </w:r>
    </w:p>
    <w:p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llamada selectiva que utiliza el sistema de código secuencial de una sola frecuencia (2</w:t>
      </w:r>
      <w:r w:rsidRPr="003667EC">
        <w:rPr>
          <w:color w:val="000000"/>
          <w:sz w:val="12"/>
          <w:lang w:val="es-ES_tradnl"/>
        </w:rPr>
        <w:t> </w:t>
      </w:r>
      <w:r w:rsidRPr="003667EC">
        <w:rPr>
          <w:color w:val="000000"/>
          <w:lang w:val="es-ES_tradnl"/>
        </w:rPr>
        <w:t>170,5, 4</w:t>
      </w:r>
      <w:r w:rsidRPr="003667EC">
        <w:rPr>
          <w:color w:val="000000"/>
          <w:sz w:val="12"/>
          <w:lang w:val="es-ES_tradnl"/>
        </w:rPr>
        <w:t> </w:t>
      </w:r>
      <w:r w:rsidRPr="003667EC">
        <w:rPr>
          <w:color w:val="000000"/>
          <w:lang w:val="es-ES_tradnl"/>
        </w:rPr>
        <w:t>125, 4</w:t>
      </w:r>
      <w:r w:rsidRPr="003667EC">
        <w:rPr>
          <w:color w:val="000000"/>
          <w:sz w:val="12"/>
          <w:lang w:val="es-ES_tradnl"/>
        </w:rPr>
        <w:t> </w:t>
      </w:r>
      <w:r w:rsidRPr="003667EC">
        <w:rPr>
          <w:color w:val="000000"/>
          <w:lang w:val="es-ES_tradnl"/>
        </w:rPr>
        <w:t>417, 6</w:t>
      </w:r>
      <w:r w:rsidRPr="003667EC">
        <w:rPr>
          <w:color w:val="000000"/>
          <w:sz w:val="12"/>
          <w:lang w:val="es-ES_tradnl"/>
        </w:rPr>
        <w:t> </w:t>
      </w:r>
      <w:r w:rsidRPr="003667EC">
        <w:rPr>
          <w:color w:val="000000"/>
          <w:lang w:val="es-ES_tradnl"/>
        </w:rPr>
        <w:t>516, 8</w:t>
      </w:r>
      <w:r w:rsidRPr="003667EC">
        <w:rPr>
          <w:color w:val="000000"/>
          <w:sz w:val="12"/>
          <w:lang w:val="es-ES_tradnl"/>
        </w:rPr>
        <w:t> </w:t>
      </w:r>
      <w:r w:rsidRPr="003667EC">
        <w:rPr>
          <w:color w:val="000000"/>
          <w:lang w:val="es-ES_tradnl"/>
        </w:rPr>
        <w:t>779, 13</w:t>
      </w:r>
      <w:r w:rsidRPr="003667EC">
        <w:rPr>
          <w:color w:val="000000"/>
          <w:sz w:val="12"/>
          <w:lang w:val="es-ES_tradnl"/>
        </w:rPr>
        <w:t> </w:t>
      </w:r>
      <w:r w:rsidRPr="003667EC">
        <w:rPr>
          <w:color w:val="000000"/>
          <w:lang w:val="es-ES_tradnl"/>
        </w:rPr>
        <w:t>137, 17</w:t>
      </w:r>
      <w:r w:rsidRPr="003667EC">
        <w:rPr>
          <w:color w:val="000000"/>
          <w:sz w:val="12"/>
          <w:lang w:val="es-ES_tradnl"/>
        </w:rPr>
        <w:t> </w:t>
      </w:r>
      <w:r w:rsidRPr="003667EC">
        <w:rPr>
          <w:color w:val="000000"/>
          <w:lang w:val="es-ES_tradnl"/>
        </w:rPr>
        <w:t>302, 19</w:t>
      </w:r>
      <w:r w:rsidRPr="003667EC">
        <w:rPr>
          <w:color w:val="000000"/>
          <w:sz w:val="12"/>
          <w:lang w:val="es-ES_tradnl"/>
        </w:rPr>
        <w:t> </w:t>
      </w:r>
      <w:r w:rsidRPr="003667EC">
        <w:rPr>
          <w:color w:val="000000"/>
          <w:lang w:val="es-ES_tradnl"/>
        </w:rPr>
        <w:t>770, 22</w:t>
      </w:r>
      <w:r w:rsidRPr="003667EC">
        <w:rPr>
          <w:color w:val="000000"/>
          <w:sz w:val="12"/>
          <w:lang w:val="es-ES_tradnl"/>
        </w:rPr>
        <w:t> </w:t>
      </w:r>
      <w:r w:rsidRPr="003667EC">
        <w:rPr>
          <w:color w:val="000000"/>
          <w:lang w:val="es-ES_tradnl"/>
        </w:rPr>
        <w:t>756 y 26</w:t>
      </w:r>
      <w:r w:rsidRPr="003667EC">
        <w:rPr>
          <w:color w:val="000000"/>
          <w:sz w:val="12"/>
          <w:lang w:val="es-ES_tradnl"/>
        </w:rPr>
        <w:t> </w:t>
      </w:r>
      <w:r w:rsidRPr="003667EC">
        <w:rPr>
          <w:color w:val="000000"/>
          <w:lang w:val="es-ES_tradnl"/>
        </w:rPr>
        <w:t>172 kHz).</w:t>
      </w:r>
    </w:p>
    <w:p w:rsidR="00676B57" w:rsidRPr="003667EC" w:rsidRDefault="00676B57" w:rsidP="007F700A">
      <w:pPr>
        <w:pStyle w:val="enumlev1"/>
        <w:rPr>
          <w:color w:val="000000"/>
          <w:lang w:val="es-ES_tradnl"/>
        </w:rPr>
      </w:pPr>
      <w:r w:rsidRPr="003667EC">
        <w:rPr>
          <w:color w:val="000000"/>
          <w:lang w:val="es-ES_tradnl"/>
        </w:rPr>
        <w:t>–</w:t>
      </w:r>
      <w:r w:rsidRPr="003667EC">
        <w:rPr>
          <w:color w:val="000000"/>
          <w:lang w:val="es-ES_tradnl"/>
        </w:rPr>
        <w:tab/>
        <w:t>Frecuencias internacionales para llamada radiotelefónica (4</w:t>
      </w:r>
      <w:r w:rsidR="007F700A" w:rsidRPr="003667EC">
        <w:rPr>
          <w:color w:val="000000"/>
          <w:sz w:val="12"/>
          <w:lang w:val="es-ES_tradnl"/>
        </w:rPr>
        <w:t> </w:t>
      </w:r>
      <w:r w:rsidRPr="003667EC">
        <w:rPr>
          <w:color w:val="000000"/>
          <w:lang w:val="es-ES_tradnl"/>
        </w:rPr>
        <w:t>125, 4</w:t>
      </w:r>
      <w:r w:rsidRPr="003667EC">
        <w:rPr>
          <w:color w:val="000000"/>
          <w:sz w:val="12"/>
          <w:lang w:val="es-ES_tradnl"/>
        </w:rPr>
        <w:t> </w:t>
      </w:r>
      <w:r w:rsidRPr="003667EC">
        <w:rPr>
          <w:color w:val="000000"/>
          <w:lang w:val="es-ES_tradnl"/>
        </w:rPr>
        <w:t>417, 6</w:t>
      </w:r>
      <w:r w:rsidRPr="003667EC">
        <w:rPr>
          <w:color w:val="000000"/>
          <w:sz w:val="12"/>
          <w:lang w:val="es-ES_tradnl"/>
        </w:rPr>
        <w:t> </w:t>
      </w:r>
      <w:r w:rsidRPr="003667EC">
        <w:rPr>
          <w:color w:val="000000"/>
          <w:lang w:val="es-ES_tradnl"/>
        </w:rPr>
        <w:t>215, 6</w:t>
      </w:r>
      <w:r w:rsidRPr="003667EC">
        <w:rPr>
          <w:color w:val="000000"/>
          <w:sz w:val="12"/>
          <w:lang w:val="es-ES_tradnl"/>
        </w:rPr>
        <w:t> </w:t>
      </w:r>
      <w:r w:rsidRPr="003667EC">
        <w:rPr>
          <w:color w:val="000000"/>
          <w:lang w:val="es-ES_tradnl"/>
        </w:rPr>
        <w:t>516, 8</w:t>
      </w:r>
      <w:r w:rsidRPr="003667EC">
        <w:rPr>
          <w:color w:val="000000"/>
          <w:sz w:val="12"/>
          <w:lang w:val="es-ES_tradnl"/>
        </w:rPr>
        <w:t> </w:t>
      </w:r>
      <w:r w:rsidRPr="003667EC">
        <w:rPr>
          <w:color w:val="000000"/>
          <w:lang w:val="es-ES_tradnl"/>
        </w:rPr>
        <w:t>255, 8</w:t>
      </w:r>
      <w:r w:rsidRPr="003667EC">
        <w:rPr>
          <w:color w:val="000000"/>
          <w:sz w:val="12"/>
          <w:lang w:val="es-ES_tradnl"/>
        </w:rPr>
        <w:t> </w:t>
      </w:r>
      <w:r w:rsidRPr="003667EC">
        <w:rPr>
          <w:color w:val="000000"/>
          <w:lang w:val="es-ES_tradnl"/>
        </w:rPr>
        <w:t>779, 12</w:t>
      </w:r>
      <w:r w:rsidRPr="003667EC">
        <w:rPr>
          <w:color w:val="000000"/>
          <w:sz w:val="12"/>
          <w:lang w:val="es-ES_tradnl"/>
        </w:rPr>
        <w:t> </w:t>
      </w:r>
      <w:r w:rsidRPr="003667EC">
        <w:rPr>
          <w:color w:val="000000"/>
          <w:lang w:val="es-ES_tradnl"/>
        </w:rPr>
        <w:t>290, 12</w:t>
      </w:r>
      <w:r w:rsidRPr="003667EC">
        <w:rPr>
          <w:rFonts w:ascii="Tms Rmn" w:hAnsi="Tms Rmn"/>
          <w:color w:val="000000"/>
          <w:sz w:val="12"/>
          <w:lang w:val="es-ES_tradnl"/>
        </w:rPr>
        <w:t> </w:t>
      </w:r>
      <w:r w:rsidRPr="003667EC">
        <w:rPr>
          <w:color w:val="000000"/>
          <w:lang w:val="es-ES_tradnl"/>
        </w:rPr>
        <w:t>359, 13</w:t>
      </w:r>
      <w:r w:rsidRPr="003667EC">
        <w:rPr>
          <w:color w:val="000000"/>
          <w:sz w:val="12"/>
          <w:lang w:val="es-ES_tradnl"/>
        </w:rPr>
        <w:t> </w:t>
      </w:r>
      <w:r w:rsidRPr="003667EC">
        <w:rPr>
          <w:color w:val="000000"/>
          <w:lang w:val="es-ES_tradnl"/>
        </w:rPr>
        <w:t>137, 16</w:t>
      </w:r>
      <w:r w:rsidRPr="003667EC">
        <w:rPr>
          <w:color w:val="000000"/>
          <w:sz w:val="12"/>
          <w:lang w:val="es-ES_tradnl"/>
        </w:rPr>
        <w:t> </w:t>
      </w:r>
      <w:r w:rsidRPr="003667EC">
        <w:rPr>
          <w:color w:val="000000"/>
          <w:lang w:val="es-ES_tradnl"/>
        </w:rPr>
        <w:t>420, 16</w:t>
      </w:r>
      <w:r w:rsidRPr="003667EC">
        <w:rPr>
          <w:rFonts w:ascii="Tms Rmn" w:hAnsi="Tms Rmn"/>
          <w:color w:val="000000"/>
          <w:sz w:val="12"/>
          <w:lang w:val="es-ES_tradnl"/>
        </w:rPr>
        <w:t> </w:t>
      </w:r>
      <w:r w:rsidRPr="003667EC">
        <w:rPr>
          <w:color w:val="000000"/>
          <w:lang w:val="es-ES_tradnl"/>
        </w:rPr>
        <w:t>537, 17</w:t>
      </w:r>
      <w:r w:rsidRPr="003667EC">
        <w:rPr>
          <w:color w:val="000000"/>
          <w:sz w:val="12"/>
          <w:lang w:val="es-ES_tradnl"/>
        </w:rPr>
        <w:t> </w:t>
      </w:r>
      <w:r w:rsidRPr="003667EC">
        <w:rPr>
          <w:color w:val="000000"/>
          <w:lang w:val="es-ES_tradnl"/>
        </w:rPr>
        <w:t>302, 18</w:t>
      </w:r>
      <w:r w:rsidRPr="003667EC">
        <w:rPr>
          <w:color w:val="000000"/>
          <w:sz w:val="12"/>
          <w:lang w:val="es-ES_tradnl"/>
        </w:rPr>
        <w:t> </w:t>
      </w:r>
      <w:r w:rsidRPr="003667EC">
        <w:rPr>
          <w:color w:val="000000"/>
          <w:lang w:val="es-ES_tradnl"/>
        </w:rPr>
        <w:t>795, 19</w:t>
      </w:r>
      <w:r w:rsidRPr="003667EC">
        <w:rPr>
          <w:color w:val="000000"/>
          <w:sz w:val="12"/>
          <w:lang w:val="es-ES_tradnl"/>
        </w:rPr>
        <w:t> </w:t>
      </w:r>
      <w:r w:rsidRPr="003667EC">
        <w:rPr>
          <w:color w:val="000000"/>
          <w:lang w:val="es-ES_tradnl"/>
        </w:rPr>
        <w:t>770, 22</w:t>
      </w:r>
      <w:r w:rsidRPr="003667EC">
        <w:rPr>
          <w:color w:val="000000"/>
          <w:sz w:val="12"/>
          <w:lang w:val="es-ES_tradnl"/>
        </w:rPr>
        <w:t> </w:t>
      </w:r>
      <w:r w:rsidRPr="003667EC">
        <w:rPr>
          <w:color w:val="000000"/>
          <w:lang w:val="es-ES_tradnl"/>
        </w:rPr>
        <w:t>060, 22</w:t>
      </w:r>
      <w:r w:rsidRPr="003667EC">
        <w:rPr>
          <w:color w:val="000000"/>
          <w:sz w:val="12"/>
          <w:lang w:val="es-ES_tradnl"/>
        </w:rPr>
        <w:t> </w:t>
      </w:r>
      <w:r w:rsidRPr="003667EC">
        <w:rPr>
          <w:color w:val="000000"/>
          <w:lang w:val="es-ES_tradnl"/>
        </w:rPr>
        <w:t>756, 25</w:t>
      </w:r>
      <w:r w:rsidRPr="003667EC">
        <w:rPr>
          <w:color w:val="000000"/>
          <w:sz w:val="12"/>
          <w:lang w:val="es-ES_tradnl"/>
        </w:rPr>
        <w:t> </w:t>
      </w:r>
      <w:r w:rsidRPr="003667EC">
        <w:rPr>
          <w:color w:val="000000"/>
          <w:lang w:val="es-ES_tradnl"/>
        </w:rPr>
        <w:t>097 y 26</w:t>
      </w:r>
      <w:r w:rsidRPr="003667EC">
        <w:rPr>
          <w:color w:val="000000"/>
          <w:sz w:val="12"/>
          <w:lang w:val="es-ES_tradnl"/>
        </w:rPr>
        <w:t> </w:t>
      </w:r>
      <w:r w:rsidRPr="003667EC">
        <w:rPr>
          <w:color w:val="000000"/>
          <w:lang w:val="es-ES_tradnl"/>
        </w:rPr>
        <w:t>172 kHz).</w:t>
      </w:r>
    </w:p>
    <w:p w:rsidR="009C3798" w:rsidRDefault="00676B57" w:rsidP="009C3798">
      <w:pPr>
        <w:pStyle w:val="enumlev1"/>
        <w:rPr>
          <w:color w:val="000000"/>
          <w:lang w:val="es-ES_tradnl"/>
        </w:rPr>
      </w:pPr>
      <w:r w:rsidRPr="003667EC">
        <w:rPr>
          <w:color w:val="000000"/>
          <w:lang w:val="es-ES_tradnl"/>
        </w:rPr>
        <w:t>–</w:t>
      </w:r>
      <w:r w:rsidRPr="003667EC">
        <w:rPr>
          <w:color w:val="000000"/>
          <w:lang w:val="es-ES_tradnl"/>
        </w:rPr>
        <w:tab/>
        <w:t>Frecuencias internacionales para funcionamiento barco-costera o entre barcos (2</w:t>
      </w:r>
      <w:r w:rsidRPr="003667EC">
        <w:rPr>
          <w:color w:val="000000"/>
          <w:sz w:val="12"/>
          <w:lang w:val="es-ES_tradnl"/>
        </w:rPr>
        <w:t> </w:t>
      </w:r>
      <w:r w:rsidRPr="003667EC">
        <w:rPr>
          <w:color w:val="000000"/>
          <w:lang w:val="es-ES_tradnl"/>
        </w:rPr>
        <w:t>045, 2</w:t>
      </w:r>
      <w:r w:rsidRPr="003667EC">
        <w:rPr>
          <w:color w:val="000000"/>
          <w:sz w:val="12"/>
          <w:lang w:val="es-ES_tradnl"/>
        </w:rPr>
        <w:t> </w:t>
      </w:r>
      <w:r w:rsidRPr="003667EC">
        <w:rPr>
          <w:color w:val="000000"/>
          <w:lang w:val="es-ES_tradnl"/>
        </w:rPr>
        <w:t>048, 2</w:t>
      </w:r>
      <w:r w:rsidRPr="003667EC">
        <w:rPr>
          <w:color w:val="000000"/>
          <w:sz w:val="12"/>
          <w:lang w:val="es-ES_tradnl"/>
        </w:rPr>
        <w:t> </w:t>
      </w:r>
      <w:r w:rsidRPr="003667EC">
        <w:rPr>
          <w:color w:val="000000"/>
          <w:lang w:val="es-ES_tradnl"/>
        </w:rPr>
        <w:t>635 y 2</w:t>
      </w:r>
      <w:r w:rsidRPr="003667EC">
        <w:rPr>
          <w:color w:val="000000"/>
          <w:sz w:val="12"/>
          <w:lang w:val="es-ES_tradnl"/>
        </w:rPr>
        <w:t> </w:t>
      </w:r>
      <w:r w:rsidRPr="003667EC">
        <w:rPr>
          <w:color w:val="000000"/>
          <w:lang w:val="es-ES_tradnl"/>
        </w:rPr>
        <w:t>638 kHz).</w:t>
      </w:r>
    </w:p>
    <w:p w:rsidR="00B97C02" w:rsidRDefault="00B97C02" w:rsidP="009C3798">
      <w:pPr>
        <w:pStyle w:val="enumlev1"/>
        <w:rPr>
          <w:color w:val="000000"/>
          <w:lang w:val="es-ES_tradnl"/>
        </w:rPr>
        <w:sectPr w:rsidR="00B97C02" w:rsidSect="00E41FDD">
          <w:headerReference w:type="even" r:id="rId7"/>
          <w:headerReference w:type="default" r:id="rId8"/>
          <w:footnotePr>
            <w:pos w:val="beneathText"/>
            <w:numFmt w:val="chicago"/>
          </w:footnotePr>
          <w:pgSz w:w="11907" w:h="16840" w:code="9"/>
          <w:pgMar w:top="1701" w:right="851" w:bottom="1134" w:left="1985" w:header="720" w:footer="482" w:gutter="0"/>
          <w:cols w:space="720"/>
          <w:vAlign w:val="both"/>
        </w:sectPr>
      </w:pPr>
    </w:p>
    <w:p w:rsidR="00676B57" w:rsidRPr="003667EC" w:rsidRDefault="00676B57" w:rsidP="009C3798">
      <w:pPr>
        <w:pStyle w:val="enumlev1"/>
        <w:rPr>
          <w:color w:val="000000"/>
          <w:lang w:val="es-ES_tradnl"/>
        </w:rPr>
      </w:pPr>
      <w:r w:rsidRPr="003667EC">
        <w:rPr>
          <w:color w:val="000000"/>
          <w:lang w:val="es-ES_tradnl"/>
        </w:rPr>
        <w:lastRenderedPageBreak/>
        <w:t>–</w:t>
      </w:r>
      <w:r w:rsidRPr="003667EC">
        <w:rPr>
          <w:color w:val="000000"/>
          <w:lang w:val="es-ES_tradnl"/>
        </w:rPr>
        <w:tab/>
        <w:t>410 kHz, frecuencia mundial para los radiogoniómetros de los servicios de radionave</w:t>
      </w:r>
      <w:r w:rsidRPr="003667EC">
        <w:rPr>
          <w:color w:val="000000"/>
          <w:lang w:val="es-ES_tradnl"/>
        </w:rPr>
        <w:softHyphen/>
        <w:t>gación marítima.</w:t>
      </w:r>
    </w:p>
    <w:p w:rsidR="00676B57" w:rsidRPr="003667EC" w:rsidRDefault="00676B57" w:rsidP="007E3FFE">
      <w:pPr>
        <w:pStyle w:val="enumlev1"/>
        <w:rPr>
          <w:color w:val="000000"/>
          <w:lang w:val="es-ES_tradnl"/>
        </w:rPr>
      </w:pPr>
      <w:r w:rsidRPr="003667EC">
        <w:rPr>
          <w:color w:val="000000"/>
          <w:lang w:val="es-ES_tradnl"/>
        </w:rPr>
        <w:t>–</w:t>
      </w:r>
      <w:r w:rsidRPr="003667EC">
        <w:rPr>
          <w:color w:val="000000"/>
          <w:lang w:val="es-ES_tradnl"/>
        </w:rPr>
        <w:tab/>
        <w:t>75 MHz, frecuencia mundial asignada a las radiobalizas.</w:t>
      </w:r>
    </w:p>
    <w:p w:rsidR="00676B57" w:rsidRPr="003667EC" w:rsidRDefault="00676B57" w:rsidP="007E3FFE">
      <w:pPr>
        <w:rPr>
          <w:color w:val="000000"/>
          <w:lang w:val="es-ES_tradnl"/>
        </w:rPr>
      </w:pPr>
      <w:r w:rsidRPr="003667EC">
        <w:rPr>
          <w:color w:val="000000"/>
          <w:lang w:val="es-ES_tradnl"/>
        </w:rPr>
        <w:t>3</w:t>
      </w:r>
      <w:r w:rsidRPr="003667EC">
        <w:rPr>
          <w:color w:val="000000"/>
          <w:lang w:val="es-ES_tradnl"/>
        </w:rPr>
        <w:tab/>
        <w:t>Si esas frecuencias son utilizadas por otros servicios y/o con fines distintos de los especificados en el Reglamento de Radiocomunicaciones, deberían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rsidR="00A60C28" w:rsidRPr="003667EC" w:rsidRDefault="00A60C28" w:rsidP="007E3FFE">
      <w:pPr>
        <w:pStyle w:val="Heading8"/>
        <w:rPr>
          <w:color w:val="000000"/>
          <w:lang w:val="es-ES_tradnl"/>
        </w:rPr>
      </w:pPr>
      <w:r w:rsidRPr="003667EC">
        <w:rPr>
          <w:color w:val="000000"/>
          <w:lang w:val="es-ES_tradnl"/>
        </w:rPr>
        <w:t>11.14</w:t>
      </w:r>
    </w:p>
    <w:p w:rsidR="00676B57" w:rsidRPr="003667EC" w:rsidRDefault="00676B57" w:rsidP="007E3FFE">
      <w:pPr>
        <w:rPr>
          <w:color w:val="000000"/>
          <w:lang w:val="es-ES_tradnl"/>
        </w:rPr>
      </w:pPr>
      <w:r w:rsidRPr="003667EC">
        <w:rPr>
          <w:color w:val="000000"/>
          <w:lang w:val="es-ES_tradnl"/>
        </w:rPr>
        <w:t>1</w:t>
      </w:r>
      <w:r w:rsidRPr="003667EC">
        <w:rPr>
          <w:color w:val="000000"/>
          <w:lang w:val="es-ES_tradnl"/>
        </w:rPr>
        <w:tab/>
        <w:t>Esta disposición estipula, entre otras cosas, que las asignaciones de frecuencia a estaciones de barco y a estaciones móviles de otros servicios no se notificarán conforme al Artículo </w:t>
      </w:r>
      <w:r w:rsidRPr="003667EC">
        <w:rPr>
          <w:rStyle w:val="Artref"/>
          <w:b/>
          <w:color w:val="000000"/>
          <w:lang w:val="es-ES_tradnl"/>
        </w:rPr>
        <w:t>11</w:t>
      </w:r>
      <w:r w:rsidRPr="003667EC">
        <w:rPr>
          <w:color w:val="000000"/>
          <w:lang w:val="es-ES_tradnl"/>
        </w:rPr>
        <w:t>. Por otra parte, las disposiciones del número</w:t>
      </w:r>
      <w:r w:rsidR="007E3FFE" w:rsidRPr="003667EC">
        <w:rPr>
          <w:color w:val="000000"/>
          <w:lang w:val="es-ES_tradnl"/>
        </w:rPr>
        <w:t xml:space="preserve"> </w:t>
      </w:r>
      <w:r w:rsidRPr="003667EC">
        <w:rPr>
          <w:rStyle w:val="Artref"/>
          <w:b/>
          <w:color w:val="000000"/>
          <w:lang w:val="es-ES_tradnl"/>
        </w:rPr>
        <w:t>11.2</w:t>
      </w:r>
      <w:r w:rsidRPr="003667EC">
        <w:rPr>
          <w:color w:val="000000"/>
          <w:lang w:val="es-ES_tradnl"/>
        </w:rPr>
        <w:t xml:space="preserve"> estipulan las condiciones bajo las que las estaciones receptoras tienen que ser notificadas a la Oficina. Igualmente, las disposiciones del número</w:t>
      </w:r>
      <w:r w:rsidR="007E3FFE" w:rsidRPr="003667EC">
        <w:rPr>
          <w:color w:val="000000"/>
          <w:lang w:val="es-ES_tradnl"/>
        </w:rPr>
        <w:t xml:space="preserve"> </w:t>
      </w:r>
      <w:r w:rsidRPr="003667EC">
        <w:rPr>
          <w:rStyle w:val="Artref"/>
          <w:b/>
          <w:color w:val="000000"/>
          <w:lang w:val="es-ES_tradnl"/>
        </w:rPr>
        <w:t>11.9</w:t>
      </w:r>
      <w:r w:rsidRPr="003667EC">
        <w:rPr>
          <w:color w:val="000000"/>
          <w:lang w:val="es-ES_tradnl"/>
        </w:rPr>
        <w:t xml:space="preserve"> estipulan las condiciones bajo las cuales una estación terrestre destinada a recibir transmisiones de estaciones móviles tiene que ser notificada a la Oficina. Combinando las condiciones de todas estas disposiciones, la Junta decide que no sean notificadas a la Oficina las siguientes categorías:</w:t>
      </w:r>
    </w:p>
    <w:p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mundiales que utilizan las estaciones radiotelefónicas de banda lateral única de barco y costeras en funcionamiento simple (una sola frecuencia) y para las opera</w:t>
      </w:r>
      <w:r w:rsidRPr="003667EC">
        <w:rPr>
          <w:color w:val="000000"/>
          <w:lang w:val="es-ES_tradnl"/>
        </w:rPr>
        <w:softHyphen/>
        <w:t>ciones interbanda (dos frecuencias) entre barcos (frecuencias indicadas en la Parte B de la Sección I, Sub-sección B del Apéndice </w:t>
      </w:r>
      <w:r w:rsidRPr="003667EC">
        <w:rPr>
          <w:rStyle w:val="Appref"/>
          <w:b/>
          <w:color w:val="000000"/>
          <w:lang w:val="es-ES_tradnl"/>
        </w:rPr>
        <w:t>17</w:t>
      </w:r>
      <w:r w:rsidRPr="003667EC">
        <w:rPr>
          <w:lang w:val="es-ES_tradnl"/>
        </w:rPr>
        <w:t>).</w:t>
      </w:r>
    </w:p>
    <w:p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de trabajo mundiales para las estaciones de barco equipadas con telegrafía de impresión directa en banda estrecha y sistemas de transmisión de datos en funciona</w:t>
      </w:r>
      <w:r w:rsidRPr="003667EC">
        <w:rPr>
          <w:color w:val="000000"/>
          <w:lang w:val="es-ES_tradnl"/>
        </w:rPr>
        <w:softHyphen/>
        <w:t>miento no apareado (frecuencias indicadas en la Parte B, Sección III del Apéndice </w:t>
      </w:r>
      <w:r w:rsidRPr="003667EC">
        <w:rPr>
          <w:rStyle w:val="Appref"/>
          <w:b/>
          <w:color w:val="000000"/>
          <w:lang w:val="es-ES_tradnl"/>
        </w:rPr>
        <w:t>17</w:t>
      </w:r>
      <w:r w:rsidRPr="003667EC">
        <w:rPr>
          <w:lang w:val="es-ES_tradnl"/>
        </w:rPr>
        <w:t>).</w:t>
      </w:r>
    </w:p>
    <w:p w:rsidR="00676B57" w:rsidRPr="003667EC" w:rsidRDefault="00676B57" w:rsidP="00676B57">
      <w:pPr>
        <w:rPr>
          <w:color w:val="000000"/>
          <w:lang w:val="es-ES_tradnl"/>
        </w:rPr>
      </w:pPr>
      <w:r w:rsidRPr="003667EC">
        <w:rPr>
          <w:color w:val="000000"/>
          <w:lang w:val="es-ES_tradnl"/>
        </w:rPr>
        <w:t>2</w:t>
      </w:r>
      <w:r w:rsidRPr="003667EC">
        <w:rPr>
          <w:color w:val="000000"/>
          <w:lang w:val="es-ES_tradnl"/>
        </w:rPr>
        <w:tab/>
        <w:t>Si las frecuencias citadas en el § 1 anterior son utilizadas por otros servicios y/o con fines distintos de los especificados en el Reglamento de Radiocomunicaciones, deben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rsidR="00B97C02" w:rsidRDefault="00B97C02" w:rsidP="007E3FFE">
      <w:pPr>
        <w:rPr>
          <w:color w:val="000000"/>
          <w:lang w:val="es-ES_tradnl"/>
        </w:rPr>
        <w:sectPr w:rsidR="00B97C02" w:rsidSect="00E41FDD">
          <w:headerReference w:type="even" r:id="rId9"/>
          <w:footnotePr>
            <w:pos w:val="beneathText"/>
            <w:numFmt w:val="chicago"/>
          </w:footnotePr>
          <w:pgSz w:w="11907" w:h="16840" w:code="9"/>
          <w:pgMar w:top="1701" w:right="851" w:bottom="1134" w:left="1985" w:header="720" w:footer="482" w:gutter="0"/>
          <w:cols w:space="720"/>
          <w:vAlign w:val="both"/>
        </w:sectPr>
      </w:pPr>
    </w:p>
    <w:p w:rsidR="00676B57" w:rsidRDefault="00676B57" w:rsidP="007E3FFE">
      <w:pPr>
        <w:rPr>
          <w:color w:val="000000"/>
          <w:lang w:val="es-ES_tradnl"/>
        </w:rPr>
      </w:pPr>
      <w:r w:rsidRPr="003667EC">
        <w:rPr>
          <w:color w:val="000000"/>
          <w:lang w:val="es-ES_tradnl"/>
        </w:rPr>
        <w:lastRenderedPageBreak/>
        <w:t>3</w:t>
      </w:r>
      <w:r w:rsidRPr="003667EC">
        <w:rPr>
          <w:color w:val="000000"/>
          <w:lang w:val="es-ES_tradnl"/>
        </w:rPr>
        <w:tab/>
        <w:t>Teniendo en cuenta que todas las comunicaciones en los servicios móvil aero</w:t>
      </w:r>
      <w:r w:rsidR="007E3FFE" w:rsidRPr="003667EC">
        <w:rPr>
          <w:color w:val="000000"/>
          <w:lang w:val="es-ES_tradnl"/>
        </w:rPr>
        <w:softHyphen/>
      </w:r>
      <w:r w:rsidRPr="003667EC">
        <w:rPr>
          <w:color w:val="000000"/>
          <w:lang w:val="es-ES_tradnl"/>
        </w:rPr>
        <w:t>náutico (R) y (OR) en las bandas exclusivas en ondas decamétricas se efectúan en un modo de operación símplex de frecuencia única, la utilización de la frecuencia pertinente queda abarcada adecuadamente mediante la notificación de la estación aeronáutica transmisora y no es necesario la notificación de la estación receptora asociada (para la recepción de las trans</w:t>
      </w:r>
      <w:r w:rsidR="005164F3" w:rsidRPr="003667EC">
        <w:rPr>
          <w:color w:val="000000"/>
          <w:lang w:val="es-ES_tradnl"/>
        </w:rPr>
        <w:softHyphen/>
      </w:r>
      <w:r w:rsidRPr="003667EC">
        <w:rPr>
          <w:color w:val="000000"/>
          <w:lang w:val="es-ES_tradnl"/>
        </w:rPr>
        <w:t>misiones a partir de estaciones en aeronave). Por consiguiente, la Junta dio instrucciones a la Oficina para que no acepte ninguna notificación de asignación de frecuencia relacionada con una estación aeronáutica receptora en las bandas regidas por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w:t>
      </w:r>
    </w:p>
    <w:p w:rsidR="00A60C28" w:rsidRPr="003667EC" w:rsidRDefault="00A60C28" w:rsidP="00BF0573">
      <w:pPr>
        <w:pStyle w:val="Heading8"/>
        <w:spacing w:before="240"/>
        <w:rPr>
          <w:lang w:val="es-ES_tradnl"/>
        </w:rPr>
      </w:pPr>
      <w:r w:rsidRPr="003667EC">
        <w:rPr>
          <w:lang w:val="es-ES_tradnl"/>
        </w:rPr>
        <w:t>11.17</w:t>
      </w:r>
    </w:p>
    <w:p w:rsidR="00A60C28" w:rsidRPr="003667EC" w:rsidRDefault="00A60C28" w:rsidP="00515A02">
      <w:pPr>
        <w:rPr>
          <w:color w:val="000000"/>
          <w:lang w:val="es-ES_tradnl"/>
        </w:rPr>
      </w:pPr>
      <w:r w:rsidRPr="003667EC">
        <w:rPr>
          <w:color w:val="000000"/>
          <w:lang w:val="es-ES_tradnl"/>
        </w:rPr>
        <w:t xml:space="preserve">Esta disposición y las disposiciones de los números </w:t>
      </w:r>
      <w:r w:rsidRPr="003667EC">
        <w:rPr>
          <w:rStyle w:val="Artref"/>
          <w:b/>
          <w:color w:val="000000"/>
          <w:lang w:val="es-ES_tradnl"/>
        </w:rPr>
        <w:t>11.18</w:t>
      </w:r>
      <w:r w:rsidRPr="003667EC">
        <w:rPr>
          <w:color w:val="000000"/>
          <w:lang w:val="es-ES_tradnl"/>
        </w:rPr>
        <w:t xml:space="preserve"> a </w:t>
      </w:r>
      <w:r w:rsidRPr="003667EC">
        <w:rPr>
          <w:rStyle w:val="Artref"/>
          <w:b/>
          <w:color w:val="000000"/>
          <w:lang w:val="es-ES_tradnl"/>
        </w:rPr>
        <w:t>11.21B</w:t>
      </w:r>
      <w:r w:rsidRPr="003667EC">
        <w:rPr>
          <w:color w:val="000000"/>
          <w:lang w:val="es-ES_tradnl"/>
        </w:rPr>
        <w:t xml:space="preserve"> precisan las asignaciones a las estaciones terrenales que deben notificarse individualmente. Todas las demás asigna</w:t>
      </w:r>
      <w:r w:rsidRPr="003667EC">
        <w:rPr>
          <w:color w:val="000000"/>
          <w:lang w:val="es-ES_tradnl"/>
        </w:rPr>
        <w:softHyphen/>
        <w:t>ciones</w:t>
      </w:r>
      <w:r w:rsidRPr="003667EC">
        <w:rPr>
          <w:rStyle w:val="FootnoteReference"/>
          <w:color w:val="000000"/>
          <w:sz w:val="20"/>
          <w:lang w:val="es-ES_tradnl"/>
        </w:rPr>
        <w:footnoteReference w:customMarkFollows="1" w:id="1"/>
        <w:t>1</w:t>
      </w:r>
      <w:proofErr w:type="gramStart"/>
      <w:r w:rsidRPr="003667EC">
        <w:rPr>
          <w:color w:val="000000"/>
          <w:position w:val="6"/>
          <w:sz w:val="20"/>
          <w:lang w:val="es-ES_tradnl"/>
        </w:rPr>
        <w:t>,</w:t>
      </w:r>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2"/>
        <w:t>2</w:t>
      </w:r>
      <w:r w:rsidRPr="003667EC">
        <w:rPr>
          <w:color w:val="000000"/>
          <w:position w:val="6"/>
          <w:sz w:val="20"/>
          <w:lang w:val="es-ES_tradnl"/>
        </w:rPr>
        <w:t>,</w:t>
      </w:r>
      <w:proofErr w:type="gramEnd"/>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3"/>
        <w:t>3</w:t>
      </w:r>
      <w:r w:rsidRPr="003667EC">
        <w:rPr>
          <w:lang w:val="es-ES_tradnl"/>
        </w:rPr>
        <w:t xml:space="preserve"> </w:t>
      </w:r>
      <w:r w:rsidRPr="003667EC">
        <w:rPr>
          <w:color w:val="000000"/>
          <w:lang w:val="es-ES_tradnl"/>
        </w:rPr>
        <w:t>pueden notificarse, ya sea como una estación típica o como estaciones indivi</w:t>
      </w:r>
      <w:r w:rsidRPr="003667EC">
        <w:rPr>
          <w:color w:val="000000"/>
          <w:lang w:val="es-ES_tradnl"/>
        </w:rPr>
        <w:softHyphen/>
        <w:t>duales, según lo estime adecuado la administración interesada. Las asignaciones de frecuencia que se notificarán individualmente, en virtud del procedimiento del Artículo</w:t>
      </w:r>
      <w:r w:rsidR="007E3FFE" w:rsidRPr="003667EC">
        <w:rPr>
          <w:color w:val="000000"/>
          <w:lang w:val="es-ES_tradnl"/>
        </w:rPr>
        <w:t xml:space="preserve"> </w:t>
      </w:r>
      <w:r w:rsidRPr="003667EC">
        <w:rPr>
          <w:rStyle w:val="Artref"/>
          <w:b/>
          <w:color w:val="000000"/>
          <w:lang w:val="es-ES_tradnl"/>
        </w:rPr>
        <w:t>11</w:t>
      </w:r>
      <w:r w:rsidRPr="003667EC">
        <w:rPr>
          <w:color w:val="000000"/>
          <w:lang w:val="es-ES_tradnl"/>
        </w:rPr>
        <w:t>, son las siguientes:</w:t>
      </w:r>
    </w:p>
    <w:p w:rsidR="00A60C28" w:rsidRPr="003667EC" w:rsidRDefault="00A60C28">
      <w:pPr>
        <w:rPr>
          <w:color w:val="000000"/>
          <w:lang w:val="es-ES_tradnl"/>
        </w:rPr>
      </w:pPr>
      <w:r w:rsidRPr="003667EC">
        <w:rPr>
          <w:color w:val="000000"/>
          <w:lang w:val="es-ES_tradnl"/>
        </w:rPr>
        <w:t>1</w:t>
      </w:r>
      <w:r w:rsidRPr="003667EC">
        <w:rPr>
          <w:color w:val="000000"/>
          <w:lang w:val="es-ES_tradnl"/>
        </w:rPr>
        <w:tab/>
        <w:t>Asignaciones a estaciones abarcadas por los Planes de adjudicaciones de los Apéndices </w:t>
      </w:r>
      <w:r w:rsidRPr="003667EC">
        <w:rPr>
          <w:rStyle w:val="Appref"/>
          <w:b/>
          <w:color w:val="000000"/>
          <w:lang w:val="es-ES_tradnl"/>
        </w:rPr>
        <w:t>25</w:t>
      </w:r>
      <w:r w:rsidRPr="003667EC">
        <w:rPr>
          <w:color w:val="000000"/>
          <w:lang w:val="es-ES_tradnl"/>
        </w:rPr>
        <w:t xml:space="preserve">,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(número </w:t>
      </w:r>
      <w:r w:rsidRPr="003667EC">
        <w:rPr>
          <w:rStyle w:val="Artref"/>
          <w:b/>
          <w:color w:val="000000"/>
          <w:lang w:val="es-ES_tradnl"/>
        </w:rPr>
        <w:t>11.18</w:t>
      </w:r>
      <w:r w:rsidRPr="003667EC">
        <w:rPr>
          <w:color w:val="000000"/>
          <w:lang w:val="es-ES_tradnl"/>
        </w:rPr>
        <w:t>) y por cualquier Plan de asignación de frecuencia.</w:t>
      </w:r>
    </w:p>
    <w:p w:rsidR="00A60C28" w:rsidRPr="003667EC" w:rsidRDefault="00A60C28">
      <w:pPr>
        <w:rPr>
          <w:color w:val="000000"/>
          <w:lang w:val="es-ES_tradnl"/>
        </w:rPr>
      </w:pPr>
      <w:r w:rsidRPr="003667EC">
        <w:rPr>
          <w:color w:val="000000"/>
          <w:lang w:val="es-ES_tradnl"/>
        </w:rPr>
        <w:t>2</w:t>
      </w:r>
      <w:r w:rsidRPr="003667EC">
        <w:rPr>
          <w:color w:val="000000"/>
          <w:lang w:val="es-ES_tradnl"/>
        </w:rPr>
        <w:tab/>
        <w:t>Asignaciones a las estaciones del servicio de radiodifusión en cualquier banda (número </w:t>
      </w:r>
      <w:r w:rsidRPr="003667EC">
        <w:rPr>
          <w:rStyle w:val="Artref"/>
          <w:b/>
          <w:color w:val="000000"/>
          <w:lang w:val="es-ES_tradnl"/>
        </w:rPr>
        <w:t>11.19</w:t>
      </w:r>
      <w:r w:rsidRPr="003667EC">
        <w:rPr>
          <w:color w:val="000000"/>
          <w:lang w:val="es-ES_tradnl"/>
        </w:rPr>
        <w:t>).</w:t>
      </w:r>
    </w:p>
    <w:p w:rsidR="00A60C28" w:rsidRPr="003667EC" w:rsidRDefault="00A60C28" w:rsidP="007E3FFE">
      <w:pPr>
        <w:rPr>
          <w:color w:val="000000"/>
          <w:lang w:val="es-ES_tradnl"/>
        </w:rPr>
      </w:pPr>
      <w:r w:rsidRPr="003667EC">
        <w:rPr>
          <w:color w:val="000000"/>
          <w:lang w:val="es-ES_tradnl"/>
        </w:rPr>
        <w:t>3</w:t>
      </w:r>
      <w:r w:rsidRPr="003667EC">
        <w:rPr>
          <w:color w:val="000000"/>
          <w:lang w:val="es-ES_tradnl"/>
        </w:rPr>
        <w:tab/>
        <w:t>Asignaciones a las estaciones de todos los servicios terrenales que se encuentren dentro de la zona de coordinación de una estación terrena (número</w:t>
      </w:r>
      <w:r w:rsidR="007E3FFE" w:rsidRPr="003667EC">
        <w:rPr>
          <w:color w:val="000000"/>
          <w:lang w:val="es-ES_tradnl"/>
        </w:rPr>
        <w:t xml:space="preserve"> </w:t>
      </w:r>
      <w:r w:rsidRPr="003667EC">
        <w:rPr>
          <w:rStyle w:val="Artref"/>
          <w:b/>
          <w:color w:val="000000"/>
          <w:lang w:val="es-ES_tradnl"/>
        </w:rPr>
        <w:t>11.20</w:t>
      </w:r>
      <w:r w:rsidRPr="003667EC">
        <w:rPr>
          <w:color w:val="000000"/>
          <w:lang w:val="es-ES_tradnl"/>
        </w:rPr>
        <w:t>), si la anchura de banda notificada de la estación terrenal está situada total o parcialmente dentro de una banda de frecuencia que está atribuida con igualdad de derechos a los servicios terrenales y espaciales en que se exige coordinación en virtud del Cuadro 5</w:t>
      </w:r>
      <w:r w:rsidRPr="003667EC">
        <w:rPr>
          <w:color w:val="000000"/>
          <w:lang w:val="es-ES_tradnl"/>
        </w:rPr>
        <w:noBreakHyphen/>
        <w:t>1 del Apéndice </w:t>
      </w:r>
      <w:r w:rsidRPr="003667EC">
        <w:rPr>
          <w:rStyle w:val="Appref"/>
          <w:b/>
          <w:color w:val="000000"/>
          <w:lang w:val="es-ES_tradnl"/>
        </w:rPr>
        <w:t>5</w:t>
      </w:r>
      <w:r w:rsidRPr="003667EC">
        <w:rPr>
          <w:color w:val="000000"/>
          <w:lang w:val="es-ES_tradnl"/>
        </w:rPr>
        <w:t>.</w:t>
      </w:r>
    </w:p>
    <w:p w:rsidR="00E41FDD" w:rsidRDefault="00A60C28" w:rsidP="00E41FDD">
      <w:pPr>
        <w:rPr>
          <w:color w:val="000000"/>
          <w:lang w:val="es-ES_tradnl"/>
        </w:rPr>
      </w:pPr>
      <w:r w:rsidRPr="003667EC">
        <w:rPr>
          <w:color w:val="000000"/>
          <w:lang w:val="es-ES_tradnl"/>
        </w:rPr>
        <w:t xml:space="preserve">De conformidad con el número </w:t>
      </w:r>
      <w:r w:rsidRPr="003667EC">
        <w:rPr>
          <w:rStyle w:val="Artref"/>
          <w:b/>
          <w:color w:val="000000"/>
          <w:lang w:val="es-ES_tradnl"/>
        </w:rPr>
        <w:t>11.20</w:t>
      </w:r>
      <w:r w:rsidRPr="003667EC">
        <w:rPr>
          <w:color w:val="000000"/>
          <w:lang w:val="es-ES_tradnl"/>
        </w:rPr>
        <w:t xml:space="preserve">, la notificación de una estación terrenal típica no es admisible si la estación terrenal se encuentra dentro de la zona de coordinación de una estación terrena. Habida cuenta de las dificultades actuales de la Oficina para evaluar, en el momento de recibir la notificación, si la estación terrenal está o no situada dentro de la zona de coordinación de una estación terrena existente o una para la cual ya se haya efectuado o iniciado la coordinación, la Junta encarga a la Oficina que aliente a las administraciones a presentar notificaciones individuales a las estaciones terrenales en todos los casos en que la anchura de banda notificada de la estación terrenal se sitúa total o parcialmente en alguna de las bandas compartidas entre los servicios terrenal y espacial con igualdad de derechos, si la atribución al servicio espacial abarca el sentido espacio-Tierra. </w:t>
      </w:r>
      <w:r w:rsidR="00E41FDD">
        <w:rPr>
          <w:color w:val="000000"/>
          <w:lang w:val="es-ES_tradnl"/>
        </w:rPr>
        <w:br w:type="page"/>
      </w:r>
    </w:p>
    <w:p w:rsidR="00E41FDD" w:rsidRDefault="00A60C28" w:rsidP="00E41FDD">
      <w:pPr>
        <w:rPr>
          <w:color w:val="000000"/>
          <w:lang w:val="es-ES_tradnl"/>
        </w:rPr>
      </w:pPr>
      <w:r w:rsidRPr="003667EC">
        <w:rPr>
          <w:color w:val="000000"/>
          <w:lang w:val="es-ES_tradnl"/>
        </w:rPr>
        <w:lastRenderedPageBreak/>
        <w:t>La Oficina puede también aceptar una notificación a una estación típica en esas bandas, si la administración notificante así lo desea, en la inteligencia de que el formulario de notificación respectivo puede ser devuelto a la administración notificante en una etapa ulterior, si los exámenes de la Oficina confirman que la zona geográfica de servicio de una estación terrenal típica notificada se superpone con la zona de coordinación de una estación terrena. Esta notificación, cuando se publique en la Parte</w:t>
      </w:r>
      <w:r w:rsidR="007E3FFE" w:rsidRPr="003667EC">
        <w:rPr>
          <w:color w:val="000000"/>
          <w:lang w:val="es-ES_tradnl"/>
        </w:rPr>
        <w:t xml:space="preserve"> </w:t>
      </w:r>
      <w:r w:rsidRPr="003667EC">
        <w:rPr>
          <w:color w:val="000000"/>
          <w:lang w:val="es-ES_tradnl"/>
        </w:rPr>
        <w:t>1 de la BR</w:t>
      </w:r>
      <w:r w:rsidR="00437E8C" w:rsidRPr="003667EC">
        <w:rPr>
          <w:color w:val="000000"/>
          <w:lang w:val="es-ES_tradnl"/>
        </w:rPr>
        <w:t> </w:t>
      </w:r>
      <w:r w:rsidRPr="003667EC">
        <w:rPr>
          <w:color w:val="000000"/>
          <w:lang w:val="es-ES_tradnl"/>
        </w:rPr>
        <w:t>IFIC, llevará un símbolo especial en el que se haga referencia a esta Regla de Procedimiento.</w:t>
      </w:r>
    </w:p>
    <w:p w:rsidR="009C3798" w:rsidRDefault="00A60C28" w:rsidP="00E41FDD">
      <w:pPr>
        <w:rPr>
          <w:color w:val="000000"/>
          <w:lang w:val="es-ES_tradnl"/>
        </w:rPr>
      </w:pPr>
      <w:r w:rsidRPr="003667EC">
        <w:rPr>
          <w:color w:val="000000"/>
          <w:lang w:val="es-ES_tradnl"/>
        </w:rPr>
        <w:t>4</w:t>
      </w:r>
      <w:r w:rsidRPr="003667EC">
        <w:rPr>
          <w:color w:val="000000"/>
          <w:lang w:val="es-ES_tradnl"/>
        </w:rPr>
        <w:tab/>
        <w:t>Asignaciones a toda estación terrenal en las bandas compartidas con los servicios espaciales en igualdad de derechos que rebasen los límites de los parámetros de las estaciones terrenales especificados en los Cuadros 8a, 8b, 8c y 8d del Apéndice </w:t>
      </w:r>
      <w:r w:rsidRPr="003667EC">
        <w:rPr>
          <w:rStyle w:val="Appref"/>
          <w:b/>
          <w:color w:val="000000"/>
          <w:lang w:val="es-ES_tradnl"/>
        </w:rPr>
        <w:t>7</w:t>
      </w:r>
      <w:r w:rsidRPr="003667EC">
        <w:rPr>
          <w:color w:val="000000"/>
          <w:lang w:val="es-ES_tradnl"/>
        </w:rPr>
        <w:t xml:space="preserve"> y en el número </w:t>
      </w:r>
      <w:r w:rsidRPr="003667EC">
        <w:rPr>
          <w:rStyle w:val="Artref"/>
          <w:b/>
          <w:color w:val="000000"/>
          <w:lang w:val="es-ES_tradnl"/>
        </w:rPr>
        <w:t>21.3</w:t>
      </w:r>
      <w:r w:rsidRPr="003667EC">
        <w:rPr>
          <w:color w:val="000000"/>
          <w:lang w:val="es-ES_tradnl"/>
        </w:rPr>
        <w:t xml:space="preserve"> (número </w:t>
      </w:r>
      <w:r w:rsidRPr="003667EC">
        <w:rPr>
          <w:rStyle w:val="Artref"/>
          <w:b/>
          <w:color w:val="000000"/>
          <w:lang w:val="es-ES_tradnl"/>
        </w:rPr>
        <w:t>11.21</w:t>
      </w:r>
      <w:r w:rsidRPr="003667EC">
        <w:rPr>
          <w:color w:val="000000"/>
          <w:lang w:val="es-ES_tradnl"/>
        </w:rPr>
        <w:t>).</w:t>
      </w:r>
    </w:p>
    <w:p w:rsidR="00A60C28" w:rsidRPr="003667EC" w:rsidRDefault="00A60C28" w:rsidP="00437E8C">
      <w:pPr>
        <w:rPr>
          <w:color w:val="000000"/>
          <w:lang w:val="es-ES_tradnl"/>
        </w:rPr>
      </w:pPr>
      <w:r w:rsidRPr="003667EC">
        <w:rPr>
          <w:color w:val="000000"/>
          <w:lang w:val="es-ES_tradnl"/>
        </w:rPr>
        <w:t xml:space="preserve">La Junta interpreta que la primera parte de esta disposición tiene por objeto otorgar la protección adecuada a las estaciones terrenas cuando la p.i.r.e. de las estaciones terrenales sea elevada. Teniendo en cuenta la variedad de condiciones especificadas en los citados Cuadros del Apéndice </w:t>
      </w:r>
      <w:r w:rsidRPr="003667EC">
        <w:rPr>
          <w:rStyle w:val="Appref"/>
          <w:b/>
          <w:bCs/>
          <w:color w:val="000000"/>
          <w:lang w:val="es-ES_tradnl"/>
        </w:rPr>
        <w:t>7</w:t>
      </w:r>
      <w:r w:rsidRPr="003667EC">
        <w:rPr>
          <w:color w:val="000000"/>
          <w:lang w:val="es-ES_tradnl"/>
        </w:rPr>
        <w:t>, la Junta decidió que las administraciones deberán presentar notificaciones individuales siempre que el límite de la p.i.r.e. rebase los siguientes valores:</w:t>
      </w:r>
    </w:p>
    <w:p w:rsidR="00A60C28" w:rsidRPr="003667EC" w:rsidRDefault="00A60C28" w:rsidP="00FB6506">
      <w:pPr>
        <w:pStyle w:val="enumlev1"/>
        <w:spacing w:before="60"/>
        <w:rPr>
          <w:color w:val="000000"/>
          <w:lang w:val="es-ES_tradnl"/>
        </w:rPr>
      </w:pPr>
      <w:r w:rsidRPr="003667EC">
        <w:rPr>
          <w:color w:val="000000"/>
          <w:lang w:val="es-ES_tradnl"/>
        </w:rPr>
        <w:tab/>
        <w:t>50 dBW (para modulación analógica) y 37 dBW (para modulación digital), en cualquiera de las bandas de frecuencias por debajo de 3 GHz mencionadas en los Cuadros 8a y 8b;</w:t>
      </w:r>
    </w:p>
    <w:p w:rsidR="00A60C28" w:rsidRPr="003667EC" w:rsidRDefault="00A60C28" w:rsidP="00FB6506">
      <w:pPr>
        <w:pStyle w:val="enumlev1"/>
        <w:spacing w:before="60"/>
        <w:rPr>
          <w:color w:val="000000"/>
          <w:lang w:val="es-ES_tradnl"/>
        </w:rPr>
      </w:pPr>
      <w:r w:rsidRPr="003667EC">
        <w:rPr>
          <w:color w:val="000000"/>
          <w:lang w:val="es-ES_tradnl"/>
        </w:rPr>
        <w:tab/>
        <w:t>55 dBW (para modulación analógica)</w:t>
      </w:r>
      <w:r w:rsidRPr="003667EC">
        <w:rPr>
          <w:rStyle w:val="FootnoteReference"/>
          <w:color w:val="000000"/>
          <w:sz w:val="20"/>
          <w:lang w:val="es-ES_tradnl"/>
        </w:rPr>
        <w:footnoteReference w:customMarkFollows="1" w:id="4"/>
        <w:t>4</w:t>
      </w:r>
      <w:r w:rsidRPr="003667EC">
        <w:rPr>
          <w:color w:val="000000"/>
          <w:lang w:val="es-ES_tradnl"/>
        </w:rPr>
        <w:t xml:space="preserve"> y 42 dBW (para modulación digital), en cualquiera de las bandas de frecuencias entre 3 GHz y 15 GHz mencionadas en los Cuadros 8b y 8c;</w:t>
      </w:r>
    </w:p>
    <w:p w:rsidR="00A60C28" w:rsidRPr="003667EC" w:rsidRDefault="00A60C28" w:rsidP="00FB6506">
      <w:pPr>
        <w:pStyle w:val="enumlev1"/>
        <w:spacing w:before="60"/>
        <w:rPr>
          <w:color w:val="000000"/>
          <w:lang w:val="es-ES_tradnl"/>
        </w:rPr>
      </w:pPr>
      <w:r w:rsidRPr="003667EC">
        <w:rPr>
          <w:color w:val="000000"/>
          <w:lang w:val="es-ES_tradnl"/>
        </w:rPr>
        <w:tab/>
        <w:t>55 dBW (para modulación analógica)</w:t>
      </w:r>
      <w:r w:rsidRPr="003667EC">
        <w:rPr>
          <w:color w:val="000000"/>
          <w:position w:val="6"/>
          <w:sz w:val="20"/>
          <w:lang w:val="es-ES_tradnl"/>
        </w:rPr>
        <w:t>4</w:t>
      </w:r>
      <w:r w:rsidRPr="003667EC">
        <w:rPr>
          <w:color w:val="000000"/>
          <w:lang w:val="es-ES_tradnl"/>
        </w:rPr>
        <w:t xml:space="preserve"> y 40 dBW (para modulación digital), en cualquiera de las bandas de frecuencias por encima de 15 GHz mencionadas en los Cuadros 8c y 8d.</w:t>
      </w:r>
    </w:p>
    <w:p w:rsidR="00A60C28" w:rsidRPr="003667EC" w:rsidRDefault="00A60C28" w:rsidP="00FB6506">
      <w:pPr>
        <w:spacing w:before="120"/>
        <w:rPr>
          <w:color w:val="000000"/>
          <w:lang w:val="es-ES_tradnl"/>
        </w:rPr>
      </w:pPr>
      <w:r w:rsidRPr="003667EC">
        <w:rPr>
          <w:color w:val="000000"/>
          <w:lang w:val="es-ES_tradnl"/>
        </w:rPr>
        <w:t>5</w:t>
      </w:r>
      <w:r w:rsidRPr="003667EC">
        <w:rPr>
          <w:color w:val="000000"/>
          <w:lang w:val="es-ES_tradnl"/>
        </w:rPr>
        <w:tab/>
        <w:t>Asignaciones a estaciones terrenales en las bandas de frecuencias indicadas en el Cuadro </w:t>
      </w:r>
      <w:r w:rsidRPr="003667EC">
        <w:rPr>
          <w:b/>
          <w:bCs/>
          <w:lang w:val="es-ES_tradnl"/>
        </w:rPr>
        <w:t>21-2</w:t>
      </w:r>
      <w:r w:rsidRPr="003667EC">
        <w:rPr>
          <w:color w:val="000000"/>
          <w:lang w:val="es-ES_tradnl"/>
        </w:rPr>
        <w:t xml:space="preserve"> (número </w:t>
      </w:r>
      <w:r w:rsidRPr="003667EC">
        <w:rPr>
          <w:rStyle w:val="Artref"/>
          <w:b/>
          <w:color w:val="000000"/>
          <w:lang w:val="es-ES_tradnl"/>
        </w:rPr>
        <w:t>11.21A</w:t>
      </w:r>
      <w:r w:rsidRPr="003667EC">
        <w:rPr>
          <w:color w:val="000000"/>
          <w:lang w:val="es-ES_tradnl"/>
        </w:rPr>
        <w:t>).</w:t>
      </w:r>
    </w:p>
    <w:p w:rsidR="00A60C28" w:rsidRPr="003667EC" w:rsidRDefault="00A60C28" w:rsidP="00FB6506">
      <w:pPr>
        <w:spacing w:before="120"/>
        <w:rPr>
          <w:lang w:val="es-ES_tradnl"/>
        </w:rPr>
      </w:pPr>
      <w:r w:rsidRPr="003667EC">
        <w:rPr>
          <w:lang w:val="es-ES_tradnl"/>
        </w:rPr>
        <w:t>La Junta interpreta que esta disposición tiene por objeto proteger la OSG y se debe aplicar a todos los servicios terrenales en las bandas citadas anteriormente, independientemente de la categoría de su atribución.</w:t>
      </w:r>
    </w:p>
    <w:p w:rsidR="00A60C28" w:rsidRDefault="00A60C28" w:rsidP="00FB6506">
      <w:pPr>
        <w:spacing w:before="120"/>
        <w:rPr>
          <w:color w:val="000000"/>
          <w:lang w:val="es-ES_tradnl"/>
        </w:rPr>
      </w:pPr>
      <w:r w:rsidRPr="003667EC">
        <w:rPr>
          <w:color w:val="000000"/>
          <w:lang w:val="es-ES_tradnl"/>
        </w:rPr>
        <w:t>6</w:t>
      </w:r>
      <w:r w:rsidRPr="003667EC">
        <w:rPr>
          <w:color w:val="000000"/>
          <w:lang w:val="es-ES_tradnl"/>
        </w:rPr>
        <w:tab/>
        <w:t>Las asignaciones a estaciones terrenales que se rigen por el procedimiento para la búsqueda de un acuerdo según el número </w:t>
      </w:r>
      <w:r w:rsidRPr="003667EC">
        <w:rPr>
          <w:rStyle w:val="Artref"/>
          <w:b/>
          <w:bCs/>
          <w:color w:val="000000"/>
          <w:lang w:val="es-ES_tradnl"/>
        </w:rPr>
        <w:t>9.21</w:t>
      </w:r>
      <w:r w:rsidRPr="003667EC">
        <w:rPr>
          <w:color w:val="000000"/>
          <w:lang w:val="es-ES_tradnl"/>
        </w:rPr>
        <w:t xml:space="preserve"> (número </w:t>
      </w:r>
      <w:r w:rsidRPr="003667EC">
        <w:rPr>
          <w:rStyle w:val="Artref"/>
          <w:b/>
          <w:bCs/>
          <w:color w:val="000000"/>
          <w:lang w:val="es-ES_tradnl"/>
        </w:rPr>
        <w:t>11.21B</w:t>
      </w:r>
      <w:r w:rsidRPr="003667EC">
        <w:rPr>
          <w:color w:val="000000"/>
          <w:lang w:val="es-ES_tradnl"/>
        </w:rPr>
        <w:t>).</w:t>
      </w:r>
    </w:p>
    <w:p w:rsidR="00E41FDD" w:rsidRDefault="00E41FDD" w:rsidP="00FB6506">
      <w:pPr>
        <w:spacing w:before="120"/>
        <w:rPr>
          <w:color w:val="000000"/>
          <w:lang w:val="es-ES_tradnl"/>
        </w:rPr>
      </w:pPr>
      <w:r>
        <w:rPr>
          <w:color w:val="000000"/>
          <w:lang w:val="es-ES_tradnl"/>
        </w:rPr>
        <w:br w:type="page"/>
      </w:r>
    </w:p>
    <w:p w:rsidR="00A60C28" w:rsidRPr="003667EC" w:rsidRDefault="00A60C28" w:rsidP="009243FB">
      <w:pPr>
        <w:pStyle w:val="Heading8"/>
        <w:rPr>
          <w:color w:val="000000"/>
          <w:lang w:val="es-ES_tradnl"/>
        </w:rPr>
      </w:pPr>
      <w:r w:rsidRPr="003667EC">
        <w:rPr>
          <w:color w:val="000000"/>
          <w:lang w:val="es-ES_tradnl"/>
        </w:rPr>
        <w:lastRenderedPageBreak/>
        <w:t>11.28</w:t>
      </w:r>
      <w:r w:rsidR="00FB6506">
        <w:rPr>
          <w:color w:val="000000"/>
          <w:lang w:val="es-ES_tradnl"/>
        </w:rPr>
        <w:tab/>
      </w:r>
      <w:r w:rsidR="00FB6506">
        <w:rPr>
          <w:color w:val="000000"/>
          <w:lang w:val="es-ES_tradnl"/>
        </w:rPr>
        <w:tab/>
      </w:r>
    </w:p>
    <w:p w:rsidR="00FB6506" w:rsidRPr="00FB6506" w:rsidRDefault="00FB6506" w:rsidP="00FB6506">
      <w:pPr>
        <w:pStyle w:val="Headingb0"/>
        <w:rPr>
          <w:u w:val="single"/>
          <w:lang w:val="es-ES_tradnl"/>
        </w:rPr>
      </w:pPr>
      <w:r w:rsidRPr="00FB6506">
        <w:rPr>
          <w:lang w:val="es-ES_tradnl"/>
        </w:rPr>
        <w:t>Comparación de los datos con los presentados en virtud del Artículo </w:t>
      </w:r>
      <w:r w:rsidRPr="00FB6506">
        <w:rPr>
          <w:rStyle w:val="Artref"/>
          <w:color w:val="000000"/>
          <w:lang w:val="es-ES_tradnl"/>
        </w:rPr>
        <w:t>9</w:t>
      </w:r>
    </w:p>
    <w:p w:rsidR="00FB6506" w:rsidRPr="00FB6506" w:rsidRDefault="00FB6506" w:rsidP="00FB6506">
      <w:pPr>
        <w:rPr>
          <w:lang w:val="es-ES_tradnl"/>
        </w:rPr>
      </w:pPr>
      <w:r w:rsidRPr="00FB6506">
        <w:rPr>
          <w:lang w:val="es-ES_tradnl"/>
        </w:rPr>
        <w:t>El número </w:t>
      </w:r>
      <w:r w:rsidRPr="00FB6506">
        <w:rPr>
          <w:rStyle w:val="Artref"/>
          <w:b/>
          <w:color w:val="000000"/>
          <w:lang w:val="es-ES_tradnl"/>
        </w:rPr>
        <w:t>11.28</w:t>
      </w:r>
      <w:r w:rsidRPr="00FB6506">
        <w:rPr>
          <w:lang w:val="es-ES_tradnl"/>
        </w:rPr>
        <w:t xml:space="preserve"> no hace referencia a la necesidad de comparar las características notificadas con las publicadas en las Secciones especiales para publicación anticipada, para coordinación y para los resultados o el estado de la coordinación. Una notificación de frecuencia presentada en virtud de los números </w:t>
      </w:r>
      <w:r w:rsidRPr="00FB6506">
        <w:rPr>
          <w:rStyle w:val="Artref"/>
          <w:b/>
          <w:color w:val="000000"/>
          <w:lang w:val="es-ES_tradnl"/>
        </w:rPr>
        <w:t>11.2</w:t>
      </w:r>
      <w:r w:rsidRPr="00FB6506">
        <w:rPr>
          <w:lang w:val="es-ES_tradnl"/>
        </w:rPr>
        <w:t xml:space="preserve"> u </w:t>
      </w:r>
      <w:r w:rsidRPr="00FB6506">
        <w:rPr>
          <w:rStyle w:val="Artref"/>
          <w:b/>
          <w:color w:val="000000"/>
          <w:lang w:val="es-ES_tradnl"/>
        </w:rPr>
        <w:t>11.9</w:t>
      </w:r>
      <w:r w:rsidRPr="00FB6506">
        <w:rPr>
          <w:lang w:val="es-ES_tradnl"/>
        </w:rPr>
        <w:t xml:space="preserve"> cuyas características difieren de las publicadas en una Sección especial necesariamente requiere un examen de la Oficina, para la adopción de las medidas adecuadas. Se adoptarán las siguientes medidas:</w:t>
      </w:r>
    </w:p>
    <w:p w:rsidR="00FB6506" w:rsidRPr="00FB6506" w:rsidRDefault="00FB6506" w:rsidP="000D5CB8">
      <w:pPr>
        <w:pStyle w:val="enumlev1"/>
        <w:keepNext/>
        <w:keepLines/>
        <w:rPr>
          <w:color w:val="000000"/>
          <w:lang w:val="es-ES_tradnl"/>
        </w:rPr>
      </w:pPr>
      <w:r w:rsidRPr="00FB6506">
        <w:rPr>
          <w:color w:val="000000"/>
          <w:lang w:val="es-ES_tradnl"/>
        </w:rPr>
        <w:t>1)</w:t>
      </w:r>
      <w:r w:rsidRPr="00FB6506">
        <w:rPr>
          <w:color w:val="000000"/>
          <w:lang w:val="es-ES_tradnl"/>
        </w:rPr>
        <w:tab/>
      </w:r>
      <w:r w:rsidRPr="00FB6506">
        <w:rPr>
          <w:lang w:val="es-ES_tradnl"/>
        </w:rPr>
        <w:t>Se cotejará la fecha de puesta en servicio de las asignaciones de frecuencias a una estación espacial con la fecha de recepción de la información completa pertinente con arreglo al número</w:t>
      </w:r>
      <w:r w:rsidRPr="00FB6506">
        <w:rPr>
          <w:szCs w:val="22"/>
          <w:lang w:val="es-ES_tradnl"/>
        </w:rPr>
        <w:t xml:space="preserve"> </w:t>
      </w:r>
      <w:r w:rsidRPr="00FB6506">
        <w:rPr>
          <w:b/>
          <w:bCs/>
          <w:szCs w:val="22"/>
          <w:lang w:val="es-ES_tradnl"/>
        </w:rPr>
        <w:t>9.1</w:t>
      </w:r>
      <w:r w:rsidRPr="00FB6506">
        <w:rPr>
          <w:szCs w:val="22"/>
          <w:lang w:val="es-ES_tradnl"/>
        </w:rPr>
        <w:t xml:space="preserve"> </w:t>
      </w:r>
      <w:r w:rsidRPr="00FB6506">
        <w:rPr>
          <w:lang w:val="es-ES_tradnl"/>
        </w:rPr>
        <w:t>ó</w:t>
      </w:r>
      <w:r w:rsidRPr="00FB6506">
        <w:rPr>
          <w:szCs w:val="22"/>
          <w:lang w:val="es-ES_tradnl"/>
        </w:rPr>
        <w:t xml:space="preserve"> </w:t>
      </w:r>
      <w:r w:rsidRPr="00FB6506">
        <w:rPr>
          <w:b/>
          <w:bCs/>
          <w:szCs w:val="22"/>
          <w:lang w:val="es-ES_tradnl"/>
        </w:rPr>
        <w:t>9.2</w:t>
      </w:r>
      <w:r w:rsidRPr="00FB6506">
        <w:rPr>
          <w:szCs w:val="22"/>
          <w:lang w:val="es-ES_tradnl"/>
        </w:rPr>
        <w:t xml:space="preserve"> </w:t>
      </w:r>
      <w:r w:rsidRPr="00FB6506">
        <w:rPr>
          <w:lang w:val="es-ES_tradnl"/>
        </w:rPr>
        <w:t xml:space="preserve">en el caso de las redes o sistemas de satélites no sujetos a la Sección </w:t>
      </w:r>
      <w:r w:rsidRPr="00FB6506">
        <w:rPr>
          <w:szCs w:val="22"/>
          <w:lang w:val="es-ES_tradnl"/>
        </w:rPr>
        <w:t xml:space="preserve">II </w:t>
      </w:r>
      <w:r w:rsidRPr="00FB6506">
        <w:rPr>
          <w:lang w:val="es-ES_tradnl"/>
        </w:rPr>
        <w:t xml:space="preserve">del Artículo </w:t>
      </w:r>
      <w:r w:rsidRPr="00FB6506">
        <w:rPr>
          <w:b/>
          <w:bCs/>
          <w:szCs w:val="22"/>
          <w:lang w:val="es-ES_tradnl"/>
        </w:rPr>
        <w:t>9</w:t>
      </w:r>
      <w:r w:rsidRPr="00FB6506">
        <w:rPr>
          <w:szCs w:val="22"/>
          <w:lang w:val="es-ES_tradnl"/>
        </w:rPr>
        <w:t xml:space="preserve"> o </w:t>
      </w:r>
      <w:r w:rsidRPr="00FB6506">
        <w:rPr>
          <w:lang w:val="es-ES_tradnl"/>
        </w:rPr>
        <w:t>con arreglo al número </w:t>
      </w:r>
      <w:r w:rsidRPr="00FB6506">
        <w:rPr>
          <w:b/>
          <w:bCs/>
          <w:szCs w:val="22"/>
          <w:lang w:val="es-ES_tradnl"/>
        </w:rPr>
        <w:t>9.1A</w:t>
      </w:r>
      <w:r w:rsidRPr="00FB6506">
        <w:rPr>
          <w:szCs w:val="22"/>
          <w:lang w:val="es-ES_tradnl"/>
        </w:rPr>
        <w:t xml:space="preserve"> </w:t>
      </w:r>
      <w:r w:rsidRPr="00FB6506">
        <w:rPr>
          <w:lang w:val="es-ES_tradnl"/>
        </w:rPr>
        <w:t xml:space="preserve">en el caso de las redes o sistemas de satélites sujetos a la Sección </w:t>
      </w:r>
      <w:r w:rsidRPr="00FB6506">
        <w:rPr>
          <w:szCs w:val="22"/>
          <w:lang w:val="es-ES_tradnl"/>
        </w:rPr>
        <w:t xml:space="preserve">II </w:t>
      </w:r>
      <w:r w:rsidRPr="00FB6506">
        <w:rPr>
          <w:lang w:val="es-ES_tradnl"/>
        </w:rPr>
        <w:t>del Artículo </w:t>
      </w:r>
      <w:r w:rsidRPr="00FB6506">
        <w:rPr>
          <w:b/>
          <w:bCs/>
          <w:szCs w:val="22"/>
          <w:lang w:val="es-ES_tradnl"/>
        </w:rPr>
        <w:t>9</w:t>
      </w:r>
      <w:r w:rsidRPr="00FB6506">
        <w:rPr>
          <w:lang w:val="es-ES_tradnl"/>
        </w:rPr>
        <w:t>. En el caso en que este periodo supere siete años, la notificación se devuelve a la Administración notificante, con la recomendación de iniciar nuevamente el procedimiento del Artículo </w:t>
      </w:r>
      <w:r w:rsidRPr="00FB6506">
        <w:rPr>
          <w:rStyle w:val="Artref"/>
          <w:rFonts w:asciiTheme="majorBidi" w:hAnsiTheme="majorBidi" w:cstheme="majorBidi"/>
          <w:b/>
          <w:bCs/>
          <w:color w:val="auto"/>
          <w:lang w:val="es-ES_tradnl"/>
        </w:rPr>
        <w:t>9</w:t>
      </w:r>
      <w:r w:rsidRPr="00FB6506">
        <w:rPr>
          <w:color w:val="000000"/>
          <w:lang w:val="es-ES_tradnl"/>
        </w:rPr>
        <w:t>.</w:t>
      </w:r>
    </w:p>
    <w:p w:rsidR="00BF0573" w:rsidRDefault="00FB6506" w:rsidP="0095388D">
      <w:pPr>
        <w:pStyle w:val="enumlev1"/>
        <w:rPr>
          <w:lang w:val="es-ES_tradnl"/>
        </w:rPr>
      </w:pPr>
      <w:r w:rsidRPr="00FB6506">
        <w:rPr>
          <w:color w:val="000000"/>
          <w:lang w:val="es-ES_tradnl"/>
        </w:rPr>
        <w:t>2)</w:t>
      </w:r>
      <w:r w:rsidRPr="00FB6506">
        <w:rPr>
          <w:color w:val="000000"/>
          <w:lang w:val="es-ES_tradnl"/>
        </w:rPr>
        <w:tab/>
      </w:r>
      <w:r w:rsidRPr="00FB6506">
        <w:rPr>
          <w:lang w:val="es-ES_tradnl"/>
        </w:rPr>
        <w:t>Cuando las características notificadas son diferentes de las publicadas en la Sección espec</w:t>
      </w:r>
      <w:r w:rsidRPr="001859EF">
        <w:rPr>
          <w:rFonts w:asciiTheme="majorBidi" w:hAnsiTheme="majorBidi" w:cstheme="majorBidi"/>
          <w:lang w:val="es-ES_tradnl"/>
        </w:rPr>
        <w:t xml:space="preserve">ial en relación con </w:t>
      </w:r>
      <w:r w:rsidRPr="00FB6506">
        <w:rPr>
          <w:rFonts w:asciiTheme="majorBidi" w:hAnsiTheme="majorBidi" w:cstheme="majorBidi"/>
          <w:color w:val="000000"/>
          <w:lang w:val="es-ES_tradnl"/>
        </w:rPr>
        <w:t>la publicación anticipada presentada por una administración o generada automáticamente por la Oficina, se sopesará la necesidad de volver a aplicar el procedimiento del Artículo</w:t>
      </w:r>
      <w:r w:rsidRPr="00FB6506">
        <w:rPr>
          <w:rFonts w:asciiTheme="majorBidi" w:hAnsiTheme="majorBidi" w:cstheme="majorBidi"/>
          <w:b/>
          <w:bCs/>
          <w:color w:val="000000"/>
          <w:lang w:val="es-ES_tradnl"/>
        </w:rPr>
        <w:t xml:space="preserve"> 9</w:t>
      </w:r>
      <w:r w:rsidRPr="00FB6506">
        <w:rPr>
          <w:rFonts w:asciiTheme="majorBidi" w:hAnsiTheme="majorBidi" w:cstheme="majorBidi"/>
          <w:color w:val="000000"/>
          <w:lang w:val="es-ES_tradnl"/>
        </w:rPr>
        <w:t xml:space="preserve"> con arreglo al número </w:t>
      </w:r>
      <w:r w:rsidRPr="00FB6506">
        <w:rPr>
          <w:rFonts w:asciiTheme="majorBidi" w:hAnsiTheme="majorBidi" w:cstheme="majorBidi"/>
          <w:b/>
          <w:bCs/>
          <w:color w:val="000000"/>
          <w:lang w:val="es-ES_tradnl"/>
        </w:rPr>
        <w:t>9.2</w:t>
      </w:r>
      <w:r w:rsidRPr="00FB6506">
        <w:rPr>
          <w:rFonts w:asciiTheme="majorBidi" w:hAnsiTheme="majorBidi" w:cstheme="majorBidi"/>
          <w:color w:val="000000"/>
          <w:lang w:val="es-ES_tradnl"/>
        </w:rPr>
        <w:t xml:space="preserve">. En su caso, la notificación se devuelve a la Administración notificante, con la recomendación de iniciar nuevamente el procedimiento del Artículo </w:t>
      </w:r>
      <w:r w:rsidRPr="00FB6506">
        <w:rPr>
          <w:rFonts w:asciiTheme="majorBidi" w:hAnsiTheme="majorBidi" w:cstheme="majorBidi"/>
          <w:b/>
          <w:bCs/>
          <w:color w:val="000000"/>
          <w:lang w:val="es-ES_tradnl"/>
        </w:rPr>
        <w:t>9</w:t>
      </w:r>
      <w:r w:rsidRPr="00FB6506">
        <w:rPr>
          <w:rFonts w:asciiTheme="majorBidi" w:hAnsiTheme="majorBidi" w:cstheme="majorBidi"/>
          <w:color w:val="000000"/>
          <w:lang w:val="es-ES_tradnl"/>
        </w:rPr>
        <w:t>.</w:t>
      </w:r>
    </w:p>
    <w:p w:rsidR="00FB6506" w:rsidRPr="00FB6506" w:rsidRDefault="00FB6506" w:rsidP="00FB6506">
      <w:pPr>
        <w:pStyle w:val="enumlev1"/>
        <w:keepNext/>
        <w:keepLines/>
        <w:rPr>
          <w:lang w:val="es-ES_tradnl"/>
        </w:rPr>
      </w:pPr>
      <w:r w:rsidRPr="001859EF">
        <w:rPr>
          <w:color w:val="000000"/>
          <w:lang w:val="es-ES_tradnl"/>
        </w:rPr>
        <w:t>3)</w:t>
      </w:r>
      <w:r w:rsidRPr="001859EF">
        <w:rPr>
          <w:color w:val="000000"/>
          <w:lang w:val="es-ES_tradnl"/>
        </w:rPr>
        <w:tab/>
      </w:r>
      <w:r w:rsidRPr="00FB6506">
        <w:rPr>
          <w:lang w:val="es-ES_tradnl"/>
        </w:rPr>
        <w:t>Cuando las características notificadas son diferentes de las publicadas en la Sección especial en relación con la publicación anticipada de la solicitud de coordinación, según proceda, se asume que dichas diferencias son fruto de la coordinación.</w:t>
      </w:r>
    </w:p>
    <w:p w:rsidR="00F064A9" w:rsidRDefault="00FB6506" w:rsidP="00FB6506">
      <w:pPr>
        <w:pStyle w:val="enumlev1"/>
        <w:rPr>
          <w:rFonts w:asciiTheme="minorHAnsi" w:hAnsiTheme="minorHAnsi"/>
          <w:color w:val="000000"/>
          <w:lang w:val="es-ES_tradnl"/>
        </w:rPr>
      </w:pPr>
      <w:r w:rsidRPr="00FB6506">
        <w:rPr>
          <w:color w:val="000000"/>
          <w:lang w:val="es-ES_tradnl"/>
        </w:rPr>
        <w:t>4)</w:t>
      </w:r>
      <w:r w:rsidRPr="00FB6506">
        <w:rPr>
          <w:color w:val="000000"/>
          <w:lang w:val="es-ES_tradnl"/>
        </w:rPr>
        <w:tab/>
      </w:r>
      <w:r w:rsidRPr="00FB6506">
        <w:rPr>
          <w:lang w:val="es-ES_tradnl"/>
        </w:rPr>
        <w:t>Por motivos prácticos, la Oficina no puede llevar a cabo sistemáticamente la compa</w:t>
      </w:r>
      <w:r w:rsidRPr="00FB6506">
        <w:rPr>
          <w:lang w:val="es-ES_tradnl"/>
        </w:rPr>
        <w:softHyphen/>
        <w:t xml:space="preserve">ración de la información sobre coordinación contenida en el formulario de notificación presentado en virtud de los números </w:t>
      </w:r>
      <w:r w:rsidRPr="00FB6506">
        <w:rPr>
          <w:rStyle w:val="Artref"/>
          <w:b/>
          <w:bCs/>
          <w:color w:val="auto"/>
          <w:lang w:val="es-ES_tradnl"/>
        </w:rPr>
        <w:t>11.2</w:t>
      </w:r>
      <w:r w:rsidRPr="00FB6506">
        <w:rPr>
          <w:lang w:val="es-ES_tradnl"/>
        </w:rPr>
        <w:t xml:space="preserve"> u </w:t>
      </w:r>
      <w:r w:rsidRPr="00FB6506">
        <w:rPr>
          <w:rStyle w:val="Artref"/>
          <w:b/>
          <w:bCs/>
          <w:color w:val="auto"/>
          <w:lang w:val="es-ES_tradnl"/>
        </w:rPr>
        <w:t>11.9</w:t>
      </w:r>
      <w:r w:rsidRPr="00FB6506">
        <w:rPr>
          <w:lang w:val="es-ES_tradnl"/>
        </w:rPr>
        <w:t xml:space="preserve"> y la que se desprende de la voluminosa correspondencia de la fase de coordinación. Así pues, la Junta decidió que los exámenes de la Oficina en aplicación del número </w:t>
      </w:r>
      <w:r w:rsidRPr="00FB6506">
        <w:rPr>
          <w:rStyle w:val="Artref"/>
          <w:b/>
          <w:bCs/>
          <w:color w:val="auto"/>
          <w:lang w:val="es-ES_tradnl"/>
        </w:rPr>
        <w:t>11.32</w:t>
      </w:r>
      <w:r w:rsidRPr="00FB6506">
        <w:rPr>
          <w:lang w:val="es-ES_tradnl"/>
        </w:rPr>
        <w:t xml:space="preserve"> se basen en la información sobre coordi</w:t>
      </w:r>
      <w:r w:rsidRPr="00FB6506">
        <w:rPr>
          <w:lang w:val="es-ES_tradnl"/>
        </w:rPr>
        <w:softHyphen/>
        <w:t>nación disponible a partir de los formularios de notificación (casillas A5/A6). Como esta información es la más actualizada para el caso sometido a examen, la Oficina considerará que los datos notificados de la red sometidos en el formulario de notificación están coordinados con los países mencionados en las casillas A5/A6</w:t>
      </w:r>
      <w:r w:rsidRPr="00FB6506">
        <w:rPr>
          <w:rFonts w:asciiTheme="minorHAnsi" w:hAnsiTheme="minorHAnsi"/>
          <w:color w:val="000000"/>
          <w:lang w:val="es-ES_tradnl"/>
        </w:rPr>
        <w:t>.</w:t>
      </w:r>
    </w:p>
    <w:p w:rsidR="00E41FDD" w:rsidRDefault="00E41FDD" w:rsidP="00FB6506">
      <w:pPr>
        <w:pStyle w:val="enumlev1"/>
        <w:rPr>
          <w:rFonts w:asciiTheme="minorHAnsi" w:hAnsiTheme="minorHAnsi"/>
          <w:color w:val="000000"/>
          <w:lang w:val="es-ES_tradnl"/>
        </w:rPr>
      </w:pPr>
      <w:r>
        <w:rPr>
          <w:rFonts w:asciiTheme="minorHAnsi" w:hAnsiTheme="minorHAnsi"/>
          <w:color w:val="000000"/>
          <w:lang w:val="es-ES_tradnl"/>
        </w:rPr>
        <w:br w:type="page"/>
      </w:r>
    </w:p>
    <w:p w:rsidR="00A60C28" w:rsidRPr="003667EC" w:rsidRDefault="00A60C28">
      <w:pPr>
        <w:pStyle w:val="Heading8"/>
        <w:rPr>
          <w:color w:val="000000"/>
          <w:lang w:val="es-ES_tradnl"/>
        </w:rPr>
      </w:pPr>
      <w:r w:rsidRPr="003667EC">
        <w:rPr>
          <w:color w:val="000000"/>
          <w:lang w:val="es-ES_tradnl"/>
        </w:rPr>
        <w:lastRenderedPageBreak/>
        <w:t>11.31</w:t>
      </w:r>
    </w:p>
    <w:p w:rsidR="00F064A9" w:rsidRPr="003667EC" w:rsidRDefault="00F064A9" w:rsidP="005164F3">
      <w:pPr>
        <w:rPr>
          <w:color w:val="000000"/>
          <w:lang w:val="es-ES_tradnl"/>
        </w:rPr>
      </w:pPr>
      <w:r w:rsidRPr="003667EC">
        <w:rPr>
          <w:color w:val="000000"/>
          <w:lang w:val="es-ES_tradnl"/>
        </w:rPr>
        <w:t>1</w:t>
      </w:r>
      <w:r w:rsidRPr="003667EC">
        <w:rPr>
          <w:color w:val="000000"/>
          <w:lang w:val="es-ES_tradnl"/>
        </w:rPr>
        <w:tab/>
        <w:t xml:space="preserve">La disposición número </w:t>
      </w:r>
      <w:r w:rsidRPr="003667EC">
        <w:rPr>
          <w:rStyle w:val="Artref"/>
          <w:b/>
          <w:color w:val="000000"/>
          <w:lang w:val="es-ES_tradnl"/>
        </w:rPr>
        <w:t>11.31.2</w:t>
      </w:r>
      <w:r w:rsidRPr="003667EC">
        <w:rPr>
          <w:color w:val="000000"/>
          <w:lang w:val="es-ES_tradnl"/>
        </w:rPr>
        <w:t xml:space="preserve"> estipula que las «demás disposiciones» mencionadas en el número </w:t>
      </w:r>
      <w:r w:rsidRPr="003667EC">
        <w:rPr>
          <w:rStyle w:val="Artref"/>
          <w:b/>
          <w:color w:val="000000"/>
          <w:lang w:val="es-ES_tradnl"/>
        </w:rPr>
        <w:t>11.31</w:t>
      </w:r>
      <w:r w:rsidRPr="003667EC">
        <w:rPr>
          <w:color w:val="000000"/>
          <w:lang w:val="es-ES_tradnl"/>
        </w:rPr>
        <w:t xml:space="preserve"> deberán ser identificadas e incluidas en las Reglas de Procedimiento. Este Capítulo apunta a resolver el problema citado.</w:t>
      </w:r>
    </w:p>
    <w:p w:rsidR="00F064A9" w:rsidRPr="003667EC" w:rsidRDefault="00F064A9" w:rsidP="00F064A9">
      <w:pPr>
        <w:rPr>
          <w:color w:val="000000"/>
          <w:lang w:val="es-ES_tradnl"/>
        </w:rPr>
      </w:pPr>
      <w:r w:rsidRPr="003667EC">
        <w:rPr>
          <w:color w:val="000000"/>
          <w:lang w:val="es-ES_tradnl"/>
        </w:rPr>
        <w:t>El examen reglamentario en virtud del número </w:t>
      </w:r>
      <w:r w:rsidRPr="003667EC">
        <w:rPr>
          <w:rStyle w:val="Artref"/>
          <w:b/>
          <w:bCs/>
          <w:color w:val="000000"/>
          <w:lang w:val="es-ES_tradnl"/>
        </w:rPr>
        <w:t>11.31</w:t>
      </w:r>
      <w:r w:rsidRPr="003667EC">
        <w:rPr>
          <w:color w:val="000000"/>
          <w:lang w:val="es-ES_tradnl"/>
        </w:rPr>
        <w:t xml:space="preserve"> incluye</w:t>
      </w:r>
      <w:r w:rsidRPr="003667EC">
        <w:rPr>
          <w:rStyle w:val="FootnoteReference"/>
          <w:color w:val="000000"/>
          <w:sz w:val="20"/>
          <w:lang w:val="es-ES_tradnl"/>
        </w:rPr>
        <w:footnoteReference w:customMarkFollows="1" w:id="5"/>
        <w:t>5</w:t>
      </w:r>
      <w:r w:rsidRPr="003667EC">
        <w:rPr>
          <w:color w:val="000000"/>
          <w:lang w:val="es-ES_tradnl"/>
        </w:rPr>
        <w:t>:</w:t>
      </w:r>
    </w:p>
    <w:p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conformidad con el Cuadro de atribución de bandas de frecuencias, incluidas sus notas y toda Resolución o Recomendación a que se haga referencia en una nota;</w:t>
      </w:r>
    </w:p>
    <w:p w:rsidR="00F064A9" w:rsidRPr="003667EC" w:rsidRDefault="00F064A9" w:rsidP="00285A0D">
      <w:pPr>
        <w:pStyle w:val="enumlev1"/>
        <w:spacing w:before="40"/>
        <w:rPr>
          <w:color w:val="000000"/>
          <w:lang w:val="es-ES_tradnl"/>
        </w:rPr>
      </w:pPr>
      <w:r w:rsidRPr="003667EC">
        <w:rPr>
          <w:color w:val="000000"/>
          <w:lang w:val="es-ES_tradnl"/>
        </w:rPr>
        <w:t>–</w:t>
      </w:r>
      <w:r w:rsidRPr="003667EC">
        <w:rPr>
          <w:color w:val="000000"/>
          <w:lang w:val="es-ES_tradnl"/>
        </w:rPr>
        <w:tab/>
        <w:t xml:space="preserve">la aplicación satisfactoria del número </w:t>
      </w:r>
      <w:r w:rsidRPr="003667EC">
        <w:rPr>
          <w:rStyle w:val="Artref"/>
          <w:b/>
          <w:color w:val="000000"/>
          <w:lang w:val="es-ES_tradnl"/>
        </w:rPr>
        <w:t>9.21</w:t>
      </w:r>
      <w:r w:rsidRPr="003667EC">
        <w:rPr>
          <w:color w:val="000000"/>
          <w:lang w:val="es-ES_tradnl"/>
        </w:rPr>
        <w:t xml:space="preserve">, cuando se hace mención de esa disposición en una nota (véanse asimismo las Reglas de Procedimiento relativas a los números </w:t>
      </w:r>
      <w:r w:rsidRPr="003667EC">
        <w:rPr>
          <w:rStyle w:val="Artref"/>
          <w:b/>
          <w:color w:val="000000"/>
          <w:lang w:val="es-ES_tradnl"/>
        </w:rPr>
        <w:t>9.21</w:t>
      </w:r>
      <w:r w:rsidRPr="003667EC">
        <w:rPr>
          <w:color w:val="000000"/>
          <w:lang w:val="es-ES_tradnl"/>
        </w:rPr>
        <w:t xml:space="preserve"> y </w:t>
      </w:r>
      <w:r w:rsidRPr="003667EC">
        <w:rPr>
          <w:rStyle w:val="Artref"/>
          <w:b/>
          <w:color w:val="000000"/>
          <w:lang w:val="es-ES_tradnl"/>
        </w:rPr>
        <w:t>11.37</w:t>
      </w:r>
      <w:r w:rsidRPr="003667EC">
        <w:rPr>
          <w:color w:val="000000"/>
          <w:lang w:val="es-ES_tradnl"/>
        </w:rPr>
        <w:t>);</w:t>
      </w:r>
    </w:p>
    <w:p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 xml:space="preserve">todas las «demás disposiciones» obligatorias contenidas en los Artículos </w:t>
      </w:r>
      <w:r w:rsidRPr="003667EC">
        <w:rPr>
          <w:rStyle w:val="Artref"/>
          <w:b/>
          <w:color w:val="000000"/>
          <w:lang w:val="es-ES_tradnl"/>
        </w:rPr>
        <w:t>21</w:t>
      </w:r>
      <w:r w:rsidRPr="003667EC">
        <w:rPr>
          <w:color w:val="000000"/>
          <w:lang w:val="es-ES_tradnl"/>
        </w:rPr>
        <w:t xml:space="preserve"> a </w:t>
      </w:r>
      <w:r w:rsidRPr="003667EC">
        <w:rPr>
          <w:rStyle w:val="Artref"/>
          <w:b/>
          <w:color w:val="000000"/>
          <w:lang w:val="es-ES_tradnl"/>
        </w:rPr>
        <w:t>57</w:t>
      </w:r>
      <w:r w:rsidRPr="003667EC">
        <w:rPr>
          <w:color w:val="000000"/>
          <w:lang w:val="es-ES_tradnl"/>
        </w:rPr>
        <w:t>, en los Apéndices del Reglamento de Radiocomunicaciones y/o en Resoluciones son pertinentes al servicio en la banda de frecuencia en la que funciona una estación de ese servicio.</w:t>
      </w:r>
    </w:p>
    <w:p w:rsidR="00F064A9" w:rsidRPr="003667EC" w:rsidRDefault="00F064A9" w:rsidP="007E3FFE">
      <w:pPr>
        <w:rPr>
          <w:color w:val="000000"/>
          <w:lang w:val="es-ES_tradnl"/>
        </w:rPr>
      </w:pPr>
      <w:r w:rsidRPr="003667EC">
        <w:rPr>
          <w:color w:val="000000"/>
          <w:lang w:val="es-ES_tradnl"/>
        </w:rPr>
        <w:t>2</w:t>
      </w:r>
      <w:r w:rsidRPr="003667EC">
        <w:rPr>
          <w:color w:val="000000"/>
          <w:lang w:val="es-ES_tradnl"/>
        </w:rPr>
        <w:tab/>
        <w:t>A continuación se indica la lista de «las demás disposiciones» citadas en el número </w:t>
      </w:r>
      <w:r w:rsidRPr="003667EC">
        <w:rPr>
          <w:rStyle w:val="Artref"/>
          <w:b/>
          <w:color w:val="000000"/>
          <w:lang w:val="es-ES_tradnl"/>
        </w:rPr>
        <w:t>11.31.2</w:t>
      </w:r>
      <w:r w:rsidRPr="003667EC">
        <w:rPr>
          <w:color w:val="000000"/>
          <w:lang w:val="es-ES_tradnl"/>
        </w:rPr>
        <w:t xml:space="preserve"> respecto a la cual se examinan las notificaciones de las estaciones terrenales (§ 2.1 a 2.5.2) o de los servicios espaciales (§ 2.6 a</w:t>
      </w:r>
      <w:r w:rsidR="007E3FFE" w:rsidRPr="003667EC">
        <w:rPr>
          <w:color w:val="000000"/>
          <w:lang w:val="es-ES_tradnl"/>
        </w:rPr>
        <w:t> </w:t>
      </w:r>
      <w:r w:rsidRPr="003667EC">
        <w:rPr>
          <w:color w:val="000000"/>
          <w:lang w:val="es-ES_tradnl"/>
        </w:rPr>
        <w:t>2.6.6):</w:t>
      </w:r>
    </w:p>
    <w:p w:rsidR="00F064A9" w:rsidRPr="003667EC" w:rsidRDefault="00F064A9" w:rsidP="00871B18">
      <w:pPr>
        <w:spacing w:before="80"/>
        <w:rPr>
          <w:color w:val="000000"/>
          <w:lang w:val="es-ES_tradnl"/>
        </w:rPr>
      </w:pPr>
      <w:r w:rsidRPr="003667EC">
        <w:rPr>
          <w:color w:val="000000"/>
          <w:lang w:val="es-ES_tradnl"/>
        </w:rPr>
        <w:t>2.1</w:t>
      </w:r>
      <w:r w:rsidRPr="003667EC">
        <w:rPr>
          <w:b/>
          <w:color w:val="000000"/>
          <w:lang w:val="es-ES_tradnl"/>
        </w:rPr>
        <w:tab/>
      </w:r>
      <w:r w:rsidRPr="003667EC">
        <w:rPr>
          <w:i/>
          <w:color w:val="000000"/>
          <w:lang w:val="es-ES_tradnl"/>
        </w:rPr>
        <w:t>Servicio de radiodifusión</w:t>
      </w:r>
      <w:r w:rsidRPr="003667EC">
        <w:rPr>
          <w:color w:val="000000"/>
          <w:lang w:val="es-ES_tradnl"/>
        </w:rPr>
        <w:t xml:space="preserve">: las comprendidas en el número </w:t>
      </w:r>
      <w:r w:rsidRPr="003667EC">
        <w:rPr>
          <w:rStyle w:val="Artref"/>
          <w:b/>
          <w:color w:val="000000"/>
          <w:lang w:val="es-ES_tradnl"/>
        </w:rPr>
        <w:t>23.7</w:t>
      </w:r>
      <w:r w:rsidRPr="003667EC">
        <w:rPr>
          <w:color w:val="000000"/>
          <w:lang w:val="es-ES_tradnl"/>
        </w:rPr>
        <w:t xml:space="preserve"> se refieren al límite de potencia (50</w:t>
      </w:r>
      <w:r w:rsidR="00C23ED0" w:rsidRPr="003667EC">
        <w:rPr>
          <w:color w:val="000000"/>
          <w:lang w:val="es-ES_tradnl"/>
        </w:rPr>
        <w:t xml:space="preserve"> </w:t>
      </w:r>
      <w:r w:rsidRPr="003667EC">
        <w:rPr>
          <w:color w:val="000000"/>
          <w:lang w:val="es-ES_tradnl"/>
        </w:rPr>
        <w:t>kW) de la onda portadora de los transmisores de radiodifusión que funcionan en las bandas de la Zona Tropical citadas en las bandas de frecuencias del número </w:t>
      </w:r>
      <w:r w:rsidRPr="003667EC">
        <w:rPr>
          <w:rStyle w:val="Artref"/>
          <w:b/>
          <w:color w:val="000000"/>
          <w:lang w:val="es-ES_tradnl"/>
        </w:rPr>
        <w:t>23.6</w:t>
      </w:r>
      <w:r w:rsidRPr="003667EC">
        <w:rPr>
          <w:color w:val="000000"/>
          <w:lang w:val="es-ES_tradnl"/>
        </w:rPr>
        <w:t>.</w:t>
      </w:r>
    </w:p>
    <w:p w:rsidR="00871B18" w:rsidRDefault="00F064A9" w:rsidP="00871B18">
      <w:pPr>
        <w:rPr>
          <w:color w:val="000000"/>
          <w:lang w:val="es-ES_tradnl"/>
        </w:rPr>
      </w:pPr>
      <w:r w:rsidRPr="003667EC">
        <w:rPr>
          <w:color w:val="000000"/>
          <w:lang w:val="es-ES_tradnl"/>
        </w:rPr>
        <w:t>2.2</w:t>
      </w:r>
      <w:r w:rsidRPr="003667EC">
        <w:rPr>
          <w:color w:val="000000"/>
          <w:lang w:val="es-ES_tradnl"/>
        </w:rPr>
        <w:tab/>
      </w:r>
      <w:r w:rsidRPr="003667EC">
        <w:rPr>
          <w:i/>
          <w:color w:val="000000"/>
          <w:lang w:val="es-ES_tradnl"/>
        </w:rPr>
        <w:t>Servicio fijo</w:t>
      </w:r>
      <w:r w:rsidRPr="003667EC">
        <w:rPr>
          <w:color w:val="000000"/>
          <w:lang w:val="es-ES_tradnl"/>
        </w:rPr>
        <w:t xml:space="preserve">: las indicadas en el número </w:t>
      </w:r>
      <w:r w:rsidRPr="003667EC">
        <w:rPr>
          <w:rStyle w:val="Artref"/>
          <w:b/>
          <w:color w:val="000000"/>
          <w:lang w:val="es-ES_tradnl"/>
        </w:rPr>
        <w:t>24.2</w:t>
      </w:r>
      <w:r w:rsidRPr="003667EC">
        <w:rPr>
          <w:color w:val="000000"/>
          <w:lang w:val="es-ES_tradnl"/>
        </w:rPr>
        <w:t xml:space="preserve"> el cual estipula que se prohíbe utilizar emisiones de clase F3E y G3E en el servicio fijo en</w:t>
      </w:r>
      <w:r w:rsidR="00871B18">
        <w:rPr>
          <w:color w:val="000000"/>
          <w:lang w:val="es-ES_tradnl"/>
        </w:rPr>
        <w:t xml:space="preserve"> las bandas inferiores a 30 MHz.</w:t>
      </w:r>
    </w:p>
    <w:p w:rsidR="00F064A9" w:rsidRPr="003667EC" w:rsidRDefault="00F064A9" w:rsidP="007E3FFE">
      <w:pPr>
        <w:rPr>
          <w:color w:val="000000"/>
          <w:lang w:val="es-ES_tradnl"/>
        </w:rPr>
      </w:pPr>
      <w:r w:rsidRPr="003667EC">
        <w:rPr>
          <w:color w:val="000000"/>
          <w:lang w:val="es-ES_tradnl"/>
        </w:rPr>
        <w:t>2.3</w:t>
      </w:r>
      <w:r w:rsidRPr="003667EC">
        <w:rPr>
          <w:color w:val="000000"/>
          <w:lang w:val="es-ES_tradnl"/>
        </w:rPr>
        <w:tab/>
      </w:r>
      <w:r w:rsidRPr="003667EC">
        <w:rPr>
          <w:i/>
          <w:color w:val="000000"/>
          <w:lang w:val="es-ES_tradnl"/>
        </w:rPr>
        <w:t>Servicio móvil aeronáutico</w:t>
      </w:r>
      <w:r w:rsidRPr="003667EC">
        <w:rPr>
          <w:color w:val="000000"/>
          <w:lang w:val="es-ES_tradnl"/>
        </w:rPr>
        <w:t xml:space="preserve">: hay disposiciones obligatorias únicamente para las bandas de frecuencia atribuidas con carácter exclusivo al servicio móvil aeronáutico. Estas disposiciones (disposición obligatoria de canales, clases de emisión permitidas, límites de potencia) figuran en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También entran en esta categoría de disposiciones reglamentarias obligatorias las del número </w:t>
      </w:r>
      <w:r w:rsidRPr="003667EC">
        <w:rPr>
          <w:rStyle w:val="Appref"/>
          <w:b/>
          <w:color w:val="000000"/>
          <w:lang w:val="es-ES_tradnl"/>
        </w:rPr>
        <w:t>43.4</w:t>
      </w:r>
      <w:r w:rsidRPr="003667EC">
        <w:rPr>
          <w:color w:val="000000"/>
          <w:lang w:val="es-ES_tradnl"/>
        </w:rPr>
        <w:t>, es decir, la prohibición de utilizar atribu</w:t>
      </w:r>
      <w:r w:rsidR="00437E8C" w:rsidRPr="003667EC">
        <w:rPr>
          <w:color w:val="000000"/>
          <w:lang w:val="es-ES_tradnl"/>
        </w:rPr>
        <w:softHyphen/>
      </w:r>
      <w:r w:rsidRPr="003667EC">
        <w:rPr>
          <w:color w:val="000000"/>
          <w:lang w:val="es-ES_tradnl"/>
        </w:rPr>
        <w:t>ciones de frecuencia exclusivas al servicio móvil aeronáutico para cualquier otro tipo de correspondencia pública.</w:t>
      </w:r>
    </w:p>
    <w:p w:rsidR="00E41FDD" w:rsidRDefault="00E41FDD" w:rsidP="004306BF">
      <w:pPr>
        <w:rPr>
          <w:color w:val="000000"/>
          <w:lang w:val="es-ES"/>
        </w:rPr>
      </w:pPr>
      <w:r>
        <w:rPr>
          <w:color w:val="000000"/>
          <w:lang w:val="es-ES"/>
        </w:rPr>
        <w:br w:type="page"/>
      </w:r>
    </w:p>
    <w:p w:rsidR="00F064A9" w:rsidRPr="00EA2D8D" w:rsidRDefault="004306BF" w:rsidP="004306BF">
      <w:pPr>
        <w:rPr>
          <w:color w:val="000000"/>
          <w:lang w:val="es-ES"/>
        </w:rPr>
      </w:pPr>
      <w:r w:rsidRPr="00D3267E">
        <w:rPr>
          <w:color w:val="000000"/>
          <w:lang w:val="es-ES"/>
        </w:rPr>
        <w:lastRenderedPageBreak/>
        <w:t>2.4</w:t>
      </w:r>
      <w:r w:rsidRPr="00D3267E">
        <w:rPr>
          <w:color w:val="000000"/>
          <w:lang w:val="es-ES"/>
        </w:rPr>
        <w:tab/>
      </w:r>
      <w:r w:rsidRPr="00D3267E">
        <w:rPr>
          <w:i/>
          <w:color w:val="000000"/>
          <w:lang w:val="es-ES"/>
        </w:rPr>
        <w:t>Servicio móvil marítimo</w:t>
      </w:r>
      <w:r w:rsidRPr="00D3267E">
        <w:rPr>
          <w:color w:val="000000"/>
          <w:lang w:val="es-ES"/>
        </w:rPr>
        <w:t>: la mayoría de ellas se refieren a las bandas de frecuencia atribuidas con carácter exclusivo al servicio móvil marítimo (disposiciones de canales obliga</w:t>
      </w:r>
      <w:r w:rsidRPr="00D3267E">
        <w:rPr>
          <w:color w:val="000000"/>
          <w:lang w:val="es-ES"/>
        </w:rPr>
        <w:softHyphen/>
        <w:t>torias, clases de emisión permitidas, límites de potencia, etc.); no obstante, muchas de ellas se aplican también a las atribuciones no exclusivas del servicio móvil marítimo. En el cuadro siguiente se ofrece un resumen de las disposiciones aplicables a las asignaciones de frecuencia sujetas a notificación:</w:t>
      </w:r>
    </w:p>
    <w:p w:rsidR="00F064A9" w:rsidRPr="003667EC" w:rsidRDefault="00F064A9" w:rsidP="007C0F78">
      <w:pPr>
        <w:pStyle w:val="Table"/>
        <w:spacing w:before="120"/>
        <w:jc w:val="left"/>
        <w:rPr>
          <w:color w:val="00000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919"/>
      </w:tblGrid>
      <w:tr w:rsidR="00F064A9" w:rsidRPr="003667EC" w:rsidTr="00700F38">
        <w:trPr>
          <w:cantSplit/>
          <w:jc w:val="center"/>
        </w:trPr>
        <w:tc>
          <w:tcPr>
            <w:tcW w:w="2835" w:type="dxa"/>
            <w:tcBorders>
              <w:top w:val="nil"/>
              <w:left w:val="nil"/>
            </w:tcBorders>
          </w:tcPr>
          <w:p w:rsidR="00F064A9" w:rsidRPr="003667EC" w:rsidRDefault="00F064A9" w:rsidP="00700F38">
            <w:pPr>
              <w:pStyle w:val="TableText"/>
              <w:framePr w:hSpace="181" w:wrap="notBeside" w:vAnchor="text" w:hAnchor="text" w:xAlign="center" w:y="1"/>
              <w:spacing w:before="120" w:after="120"/>
              <w:rPr>
                <w:color w:val="000000"/>
                <w:lang w:val="es-ES_tradnl"/>
              </w:rPr>
            </w:pPr>
          </w:p>
        </w:tc>
        <w:tc>
          <w:tcPr>
            <w:tcW w:w="5919" w:type="dxa"/>
            <w:tcBorders>
              <w:left w:val="nil"/>
              <w:right w:val="single" w:sz="6" w:space="0" w:color="auto"/>
            </w:tcBorders>
          </w:tcPr>
          <w:p w:rsidR="00F064A9" w:rsidRPr="003667EC" w:rsidRDefault="00F064A9" w:rsidP="00700F38">
            <w:pPr>
              <w:pStyle w:val="TableHead"/>
              <w:framePr w:hSpace="181" w:wrap="notBeside" w:vAnchor="text" w:hAnchor="text" w:xAlign="center" w:y="1"/>
              <w:spacing w:before="120" w:after="120"/>
              <w:rPr>
                <w:color w:val="000000"/>
                <w:lang w:val="es-ES_tradnl"/>
              </w:rPr>
            </w:pPr>
            <w:r w:rsidRPr="003667EC">
              <w:rPr>
                <w:color w:val="000000"/>
                <w:lang w:val="es-ES_tradnl"/>
              </w:rPr>
              <w:t>Disposición número</w:t>
            </w:r>
          </w:p>
        </w:tc>
      </w:tr>
      <w:tr w:rsidR="00F064A9" w:rsidRPr="003667EC" w:rsidTr="00700F38">
        <w:trPr>
          <w:cantSplit/>
          <w:jc w:val="center"/>
        </w:trPr>
        <w:tc>
          <w:tcPr>
            <w:tcW w:w="2835" w:type="dxa"/>
          </w:tcPr>
          <w:p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Límites de potencia</w:t>
            </w:r>
          </w:p>
        </w:tc>
        <w:tc>
          <w:tcPr>
            <w:tcW w:w="5919" w:type="dxa"/>
            <w:tcBorders>
              <w:right w:val="single" w:sz="6" w:space="0" w:color="auto"/>
            </w:tcBorders>
          </w:tcPr>
          <w:p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52.104</w:t>
            </w:r>
          </w:p>
          <w:p w:rsidR="008A784F" w:rsidRPr="009B0E26" w:rsidRDefault="008A784F" w:rsidP="008A784F">
            <w:pPr>
              <w:pStyle w:val="TableText"/>
              <w:framePr w:hSpace="181" w:wrap="notBeside" w:vAnchor="text" w:hAnchor="text" w:xAlign="center" w:y="1"/>
              <w:spacing w:after="0"/>
              <w:rPr>
                <w:b/>
                <w:bCs/>
                <w:color w:val="000000"/>
                <w:lang w:val="es-ES"/>
              </w:rPr>
            </w:pPr>
            <w:r w:rsidRPr="009B0E26">
              <w:rPr>
                <w:rStyle w:val="Artref"/>
                <w:b/>
                <w:bCs/>
                <w:color w:val="000000"/>
                <w:lang w:val="es-ES"/>
              </w:rPr>
              <w:t>52.117</w:t>
            </w:r>
            <w:r w:rsidRPr="009B0E26">
              <w:rPr>
                <w:b/>
                <w:bCs/>
                <w:color w:val="000000"/>
                <w:lang w:val="es-ES"/>
              </w:rPr>
              <w:t xml:space="preserve">, </w:t>
            </w:r>
            <w:r w:rsidRPr="009B0E26">
              <w:rPr>
                <w:rStyle w:val="Artref"/>
                <w:b/>
                <w:bCs/>
                <w:color w:val="000000"/>
                <w:lang w:val="es-ES"/>
              </w:rPr>
              <w:t>52.127</w:t>
            </w:r>
            <w:r w:rsidRPr="009B0E26">
              <w:rPr>
                <w:b/>
                <w:bCs/>
                <w:color w:val="000000"/>
                <w:lang w:val="es-ES"/>
              </w:rPr>
              <w:t xml:space="preserve"> </w:t>
            </w:r>
            <w:r w:rsidRPr="009B0E26">
              <w:rPr>
                <w:color w:val="000000"/>
                <w:lang w:val="es-ES"/>
              </w:rPr>
              <w:t>(Región 1 únicamente),</w:t>
            </w:r>
            <w:r w:rsidRPr="009B0E26">
              <w:rPr>
                <w:b/>
                <w:bCs/>
                <w:color w:val="000000"/>
                <w:lang w:val="es-ES"/>
              </w:rPr>
              <w:t xml:space="preserve"> </w:t>
            </w:r>
            <w:r w:rsidRPr="009B0E26">
              <w:rPr>
                <w:rStyle w:val="Artref"/>
                <w:b/>
                <w:bCs/>
                <w:color w:val="000000"/>
                <w:lang w:val="es-ES"/>
              </w:rPr>
              <w:t>52.143</w:t>
            </w:r>
            <w:r w:rsidRPr="009B0E26">
              <w:rPr>
                <w:b/>
                <w:bCs/>
                <w:color w:val="000000"/>
                <w:lang w:val="es-ES"/>
              </w:rPr>
              <w:t xml:space="preserve">, </w:t>
            </w:r>
            <w:r w:rsidRPr="009B0E26">
              <w:rPr>
                <w:rStyle w:val="Artref"/>
                <w:b/>
                <w:bCs/>
                <w:color w:val="000000"/>
                <w:lang w:val="es-ES"/>
              </w:rPr>
              <w:t>52.144</w:t>
            </w:r>
            <w:r w:rsidRPr="009B0E26">
              <w:rPr>
                <w:b/>
                <w:bCs/>
                <w:color w:val="000000"/>
                <w:lang w:val="es-ES"/>
              </w:rPr>
              <w:t xml:space="preserve">, </w:t>
            </w:r>
            <w:r w:rsidRPr="009B0E26">
              <w:rPr>
                <w:rStyle w:val="Artref"/>
                <w:b/>
                <w:bCs/>
                <w:color w:val="000000"/>
                <w:lang w:val="es-ES"/>
              </w:rPr>
              <w:t>52.172</w:t>
            </w:r>
          </w:p>
          <w:p w:rsidR="008A784F" w:rsidRPr="009B0E26" w:rsidRDefault="008A784F" w:rsidP="008A784F">
            <w:pPr>
              <w:pStyle w:val="TableText"/>
              <w:framePr w:hSpace="181" w:wrap="notBeside" w:vAnchor="text" w:hAnchor="text" w:xAlign="center" w:y="1"/>
              <w:spacing w:after="0"/>
              <w:rPr>
                <w:color w:val="000000"/>
                <w:lang w:val="es-ES"/>
              </w:rPr>
            </w:pPr>
            <w:r w:rsidRPr="009B0E26">
              <w:rPr>
                <w:rStyle w:val="Artref"/>
                <w:b/>
                <w:bCs/>
                <w:color w:val="000000"/>
                <w:lang w:val="es-ES"/>
              </w:rPr>
              <w:t>52.184</w:t>
            </w:r>
            <w:r w:rsidRPr="009B0E26">
              <w:rPr>
                <w:b/>
                <w:bCs/>
                <w:color w:val="000000"/>
                <w:lang w:val="es-ES"/>
              </w:rPr>
              <w:t>-</w:t>
            </w:r>
            <w:r w:rsidRPr="009B0E26">
              <w:rPr>
                <w:rStyle w:val="Artref"/>
                <w:b/>
                <w:bCs/>
                <w:color w:val="000000"/>
                <w:lang w:val="es-ES"/>
              </w:rPr>
              <w:t>52.186</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52.202</w:t>
            </w:r>
            <w:r w:rsidRPr="009B0E26">
              <w:rPr>
                <w:b/>
                <w:bCs/>
                <w:color w:val="000000"/>
                <w:lang w:val="es-ES"/>
              </w:rPr>
              <w:t xml:space="preserve"> </w:t>
            </w:r>
            <w:r w:rsidRPr="009B0E26">
              <w:rPr>
                <w:color w:val="000000"/>
                <w:lang w:val="es-ES"/>
              </w:rPr>
              <w:t>(Región 1 únicamente)</w:t>
            </w:r>
          </w:p>
          <w:p w:rsidR="00F064A9" w:rsidRPr="003667EC" w:rsidRDefault="008A784F" w:rsidP="008A784F">
            <w:pPr>
              <w:pStyle w:val="TableText"/>
              <w:framePr w:hSpace="181" w:wrap="notBeside" w:vAnchor="text" w:hAnchor="text" w:xAlign="center" w:y="1"/>
              <w:spacing w:after="80"/>
              <w:rPr>
                <w:color w:val="000000"/>
                <w:lang w:val="es-ES_tradnl"/>
              </w:rPr>
            </w:pPr>
            <w:r w:rsidRPr="009B0E26">
              <w:rPr>
                <w:rStyle w:val="Artref"/>
                <w:b/>
                <w:bCs/>
                <w:color w:val="000000"/>
                <w:lang w:val="es-ES"/>
              </w:rPr>
              <w:t>52.219</w:t>
            </w:r>
            <w:r w:rsidRPr="009B0E26">
              <w:rPr>
                <w:b/>
                <w:bCs/>
                <w:color w:val="000000"/>
                <w:lang w:val="es-ES"/>
              </w:rPr>
              <w:t xml:space="preserve">, </w:t>
            </w:r>
            <w:r w:rsidRPr="009B0E26">
              <w:rPr>
                <w:rStyle w:val="Artref"/>
                <w:b/>
                <w:bCs/>
                <w:color w:val="000000"/>
                <w:lang w:val="es-ES"/>
              </w:rPr>
              <w:t>52.220</w:t>
            </w:r>
            <w:r w:rsidRPr="009B0E26">
              <w:rPr>
                <w:b/>
                <w:bCs/>
                <w:color w:val="000000"/>
                <w:lang w:val="es-ES"/>
              </w:rPr>
              <w:t xml:space="preserve">, </w:t>
            </w:r>
            <w:r w:rsidRPr="009B0E26">
              <w:rPr>
                <w:rStyle w:val="Artref"/>
                <w:b/>
                <w:bCs/>
                <w:color w:val="000000"/>
                <w:lang w:val="es-ES"/>
              </w:rPr>
              <w:t xml:space="preserve">52.227, </w:t>
            </w:r>
            <w:r w:rsidRPr="00871B18">
              <w:rPr>
                <w:rStyle w:val="Artref"/>
                <w:b/>
                <w:bCs/>
                <w:color w:val="auto"/>
                <w:lang w:val="es-ES"/>
              </w:rPr>
              <w:t>52.265, 52.266</w:t>
            </w:r>
          </w:p>
        </w:tc>
      </w:tr>
      <w:tr w:rsidR="00F064A9" w:rsidRPr="003667EC" w:rsidTr="00700F38">
        <w:trPr>
          <w:cantSplit/>
          <w:jc w:val="center"/>
        </w:trPr>
        <w:tc>
          <w:tcPr>
            <w:tcW w:w="2835" w:type="dxa"/>
            <w:tcBorders>
              <w:bottom w:val="single" w:sz="6" w:space="0" w:color="auto"/>
            </w:tcBorders>
          </w:tcPr>
          <w:p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Clase de emisión</w:t>
            </w:r>
          </w:p>
        </w:tc>
        <w:tc>
          <w:tcPr>
            <w:tcW w:w="5919" w:type="dxa"/>
            <w:tcBorders>
              <w:bottom w:val="single" w:sz="6" w:space="0" w:color="auto"/>
              <w:right w:val="single" w:sz="6" w:space="0" w:color="auto"/>
            </w:tcBorders>
          </w:tcPr>
          <w:p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52.2</w:t>
            </w:r>
            <w:r w:rsidRPr="009B0E26">
              <w:rPr>
                <w:b/>
                <w:bCs/>
                <w:color w:val="000000"/>
                <w:lang w:val="es-ES"/>
              </w:rPr>
              <w:t xml:space="preserve">, </w:t>
            </w:r>
            <w:r w:rsidRPr="009B0E26">
              <w:rPr>
                <w:rStyle w:val="Artref"/>
                <w:b/>
                <w:bCs/>
                <w:color w:val="000000"/>
                <w:lang w:val="es-ES"/>
              </w:rPr>
              <w:t>52.3</w:t>
            </w:r>
          </w:p>
          <w:p w:rsidR="00F064A9" w:rsidRPr="003667EC" w:rsidRDefault="008A784F" w:rsidP="008A784F">
            <w:pPr>
              <w:pStyle w:val="TableText"/>
              <w:framePr w:hSpace="181" w:wrap="notBeside" w:vAnchor="text" w:hAnchor="text" w:xAlign="center" w:y="1"/>
              <w:spacing w:after="80"/>
              <w:jc w:val="left"/>
              <w:rPr>
                <w:color w:val="000000"/>
                <w:lang w:val="es-ES_tradnl"/>
              </w:rPr>
            </w:pPr>
            <w:r w:rsidRPr="009B0E26">
              <w:rPr>
                <w:rStyle w:val="Artref"/>
                <w:b/>
                <w:bCs/>
                <w:color w:val="000000"/>
                <w:lang w:val="es-ES"/>
              </w:rPr>
              <w:t>52.101</w:t>
            </w:r>
            <w:r w:rsidRPr="009B0E26">
              <w:rPr>
                <w:b/>
                <w:bCs/>
                <w:color w:val="000000"/>
                <w:lang w:val="es-ES"/>
              </w:rPr>
              <w:t xml:space="preserve">, </w:t>
            </w:r>
            <w:r w:rsidRPr="009B0E26">
              <w:rPr>
                <w:rStyle w:val="Artref"/>
                <w:b/>
                <w:bCs/>
                <w:color w:val="000000"/>
                <w:lang w:val="es-ES"/>
              </w:rPr>
              <w:t>52.177</w:t>
            </w:r>
            <w:r w:rsidRPr="009B0E26">
              <w:rPr>
                <w:b/>
                <w:bCs/>
                <w:color w:val="000000"/>
                <w:lang w:val="es-ES"/>
              </w:rPr>
              <w:t xml:space="preserve">, </w:t>
            </w:r>
            <w:r w:rsidRPr="009B0E26">
              <w:rPr>
                <w:rStyle w:val="Artref"/>
                <w:b/>
                <w:bCs/>
                <w:color w:val="000000"/>
                <w:lang w:val="es-ES"/>
              </w:rPr>
              <w:t>52.183</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52.198</w:t>
            </w:r>
            <w:r w:rsidRPr="009B0E26">
              <w:rPr>
                <w:b/>
                <w:bCs/>
                <w:color w:val="000000"/>
                <w:lang w:val="es-ES"/>
              </w:rPr>
              <w:t xml:space="preserve">, </w:t>
            </w:r>
            <w:r w:rsidRPr="009B0E26">
              <w:rPr>
                <w:rStyle w:val="Artref"/>
                <w:b/>
                <w:bCs/>
                <w:color w:val="000000"/>
                <w:lang w:val="es-ES"/>
              </w:rPr>
              <w:t>52.217</w:t>
            </w:r>
          </w:p>
        </w:tc>
      </w:tr>
      <w:tr w:rsidR="008A784F" w:rsidRPr="003667EC" w:rsidTr="00700F38">
        <w:trPr>
          <w:cantSplit/>
          <w:jc w:val="center"/>
        </w:trPr>
        <w:tc>
          <w:tcPr>
            <w:tcW w:w="2835" w:type="dxa"/>
          </w:tcPr>
          <w:p w:rsidR="008A784F" w:rsidRPr="003667EC" w:rsidRDefault="008A784F" w:rsidP="008A784F">
            <w:pPr>
              <w:pStyle w:val="TableText"/>
              <w:framePr w:hSpace="181" w:wrap="notBeside" w:vAnchor="text" w:hAnchor="text" w:xAlign="center" w:y="1"/>
              <w:spacing w:before="80" w:after="80"/>
              <w:rPr>
                <w:color w:val="000000"/>
                <w:lang w:val="es-ES_tradnl"/>
              </w:rPr>
            </w:pPr>
            <w:r w:rsidRPr="003667EC">
              <w:rPr>
                <w:color w:val="000000"/>
                <w:lang w:val="es-ES_tradnl"/>
              </w:rPr>
              <w:t>Subdivisión obligatoria</w:t>
            </w:r>
          </w:p>
        </w:tc>
        <w:tc>
          <w:tcPr>
            <w:tcW w:w="5919" w:type="dxa"/>
            <w:tcBorders>
              <w:right w:val="single" w:sz="6" w:space="0" w:color="auto"/>
            </w:tcBorders>
          </w:tcPr>
          <w:p w:rsidR="008A784F" w:rsidRPr="00D3267E" w:rsidRDefault="008A784F" w:rsidP="008A784F">
            <w:pPr>
              <w:pStyle w:val="TableText"/>
              <w:framePr w:hSpace="181" w:wrap="notBeside" w:vAnchor="text" w:hAnchor="text" w:xAlign="center" w:y="1"/>
              <w:spacing w:before="80" w:after="0"/>
              <w:rPr>
                <w:color w:val="000000"/>
                <w:lang w:val="es-ES"/>
              </w:rPr>
            </w:pPr>
            <w:r w:rsidRPr="009B0E26">
              <w:rPr>
                <w:rStyle w:val="Artref"/>
                <w:b/>
                <w:bCs/>
                <w:color w:val="000000"/>
                <w:lang w:val="es-ES"/>
              </w:rPr>
              <w:t>52.10</w:t>
            </w:r>
            <w:r w:rsidRPr="00D3267E">
              <w:rPr>
                <w:color w:val="000000"/>
                <w:lang w:val="es-ES"/>
              </w:rPr>
              <w:t xml:space="preserve"> (Región 1 únicamente), </w:t>
            </w:r>
            <w:r w:rsidRPr="009B0E26">
              <w:rPr>
                <w:rStyle w:val="Artref"/>
                <w:b/>
                <w:bCs/>
                <w:color w:val="000000"/>
                <w:lang w:val="es-ES"/>
              </w:rPr>
              <w:t>52.13</w:t>
            </w:r>
            <w:r w:rsidRPr="00D3267E">
              <w:rPr>
                <w:color w:val="000000"/>
                <w:lang w:val="es-ES"/>
              </w:rPr>
              <w:t xml:space="preserve"> </w:t>
            </w:r>
          </w:p>
          <w:p w:rsidR="008A784F" w:rsidRPr="00D3267E" w:rsidRDefault="008A784F" w:rsidP="008A784F">
            <w:pPr>
              <w:pStyle w:val="TableText"/>
              <w:framePr w:hSpace="181" w:wrap="notBeside" w:vAnchor="text" w:hAnchor="text" w:xAlign="center" w:y="1"/>
              <w:spacing w:after="80"/>
              <w:rPr>
                <w:color w:val="000000"/>
                <w:lang w:val="es-ES"/>
              </w:rPr>
            </w:pPr>
            <w:r w:rsidRPr="00D3267E">
              <w:rPr>
                <w:color w:val="000000"/>
                <w:lang w:val="es-ES"/>
              </w:rPr>
              <w:t xml:space="preserve">Apéndice </w:t>
            </w:r>
            <w:r w:rsidRPr="00D3267E">
              <w:rPr>
                <w:rStyle w:val="Appref"/>
                <w:b/>
                <w:color w:val="000000"/>
                <w:lang w:val="es-ES"/>
              </w:rPr>
              <w:t>17</w:t>
            </w:r>
          </w:p>
        </w:tc>
      </w:tr>
    </w:tbl>
    <w:p w:rsidR="00F064A9" w:rsidRPr="003667EC" w:rsidRDefault="00F064A9" w:rsidP="00F064A9">
      <w:pPr>
        <w:pStyle w:val="TableFin"/>
        <w:rPr>
          <w:color w:val="000000"/>
          <w:lang w:val="es-ES_tradnl"/>
        </w:rPr>
      </w:pPr>
    </w:p>
    <w:p w:rsidR="00F064A9" w:rsidRPr="003667EC" w:rsidRDefault="00F064A9" w:rsidP="00F064A9">
      <w:pPr>
        <w:rPr>
          <w:color w:val="000000"/>
          <w:lang w:val="es-ES_tradnl"/>
        </w:rPr>
      </w:pPr>
      <w:r w:rsidRPr="003667EC">
        <w:rPr>
          <w:color w:val="000000"/>
          <w:lang w:val="es-ES_tradnl"/>
        </w:rPr>
        <w:t>2.5</w:t>
      </w:r>
      <w:r w:rsidRPr="003667EC">
        <w:rPr>
          <w:color w:val="000000"/>
          <w:lang w:val="es-ES_tradnl"/>
        </w:rPr>
        <w:tab/>
        <w:t xml:space="preserve">Se ofrece a </w:t>
      </w:r>
      <w:proofErr w:type="gramStart"/>
      <w:r w:rsidRPr="003667EC">
        <w:rPr>
          <w:color w:val="000000"/>
          <w:lang w:val="es-ES_tradnl"/>
        </w:rPr>
        <w:t>continuación la lista de las «demás disposiciones», mencionadas en el número </w:t>
      </w:r>
      <w:r w:rsidRPr="003667EC">
        <w:rPr>
          <w:rStyle w:val="Artref"/>
          <w:b/>
          <w:color w:val="000000"/>
          <w:lang w:val="es-ES_tradnl"/>
        </w:rPr>
        <w:t>11.31.2</w:t>
      </w:r>
      <w:r w:rsidRPr="003667EC">
        <w:rPr>
          <w:color w:val="000000"/>
          <w:lang w:val="es-ES_tradnl"/>
        </w:rPr>
        <w:t>, con respecto a las cuales se examinan las notificaciones a estaciones en los servicios terrenales</w:t>
      </w:r>
      <w:r w:rsidRPr="003667EC">
        <w:rPr>
          <w:rStyle w:val="FootnoteReference"/>
          <w:color w:val="000000"/>
          <w:sz w:val="20"/>
          <w:lang w:val="es-ES_tradnl"/>
        </w:rPr>
        <w:footnoteReference w:customMarkFollows="1" w:id="6"/>
        <w:t>6</w:t>
      </w:r>
      <w:proofErr w:type="gramEnd"/>
      <w:r w:rsidRPr="003667EC">
        <w:rPr>
          <w:color w:val="000000"/>
          <w:lang w:val="es-ES_tradnl"/>
        </w:rPr>
        <w:t xml:space="preserve"> en las bandas compartidas con los servicios espaciales con igualdad de derechos:</w:t>
      </w:r>
    </w:p>
    <w:p w:rsidR="00F064A9" w:rsidRPr="003667EC" w:rsidRDefault="00F064A9" w:rsidP="00F064A9">
      <w:pPr>
        <w:rPr>
          <w:lang w:val="es-ES_tradnl"/>
        </w:rPr>
      </w:pPr>
      <w:r w:rsidRPr="003667EC">
        <w:rPr>
          <w:lang w:val="es-ES_tradnl"/>
        </w:rPr>
        <w:t>2.5.1</w:t>
      </w:r>
      <w:r w:rsidRPr="003667EC">
        <w:rPr>
          <w:lang w:val="es-ES_tradnl"/>
        </w:rPr>
        <w:tab/>
        <w:t>conformidad con los límites relativos a la potencia isótropa radiada equivalente (p.i.r.e.), en el contexto de los servicios y bandas de frecuencias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21.3</w:t>
      </w:r>
      <w:r w:rsidRPr="003667EC">
        <w:rPr>
          <w:lang w:val="es-ES_tradnl"/>
        </w:rPr>
        <w:t xml:space="preserve">, </w:t>
      </w:r>
      <w:r w:rsidRPr="003667EC">
        <w:rPr>
          <w:rStyle w:val="Artref"/>
          <w:b/>
          <w:color w:val="000000"/>
          <w:lang w:val="es-ES_tradnl"/>
        </w:rPr>
        <w:t>21.4</w:t>
      </w:r>
      <w:r w:rsidRPr="003667EC">
        <w:rPr>
          <w:lang w:val="es-ES_tradnl"/>
        </w:rPr>
        <w:t xml:space="preserve">, </w:t>
      </w:r>
      <w:r w:rsidRPr="003667EC">
        <w:rPr>
          <w:rStyle w:val="Artref"/>
          <w:b/>
          <w:color w:val="000000"/>
          <w:lang w:val="es-ES_tradnl"/>
        </w:rPr>
        <w:t>21.5A</w:t>
      </w:r>
      <w:r w:rsidRPr="003667EC">
        <w:rPr>
          <w:lang w:val="es-ES_tradnl"/>
        </w:rPr>
        <w:t xml:space="preserve"> y </w:t>
      </w:r>
      <w:r w:rsidRPr="003667EC">
        <w:rPr>
          <w:rStyle w:val="Artref"/>
          <w:b/>
          <w:color w:val="000000"/>
          <w:lang w:val="es-ES_tradnl"/>
        </w:rPr>
        <w:t>21.6</w:t>
      </w:r>
      <w:r w:rsidRPr="003667EC">
        <w:rPr>
          <w:lang w:val="es-ES_tradnl"/>
        </w:rPr>
        <w:t>);</w:t>
      </w:r>
    </w:p>
    <w:p w:rsidR="00F064A9" w:rsidRDefault="00F064A9" w:rsidP="00F064A9">
      <w:pPr>
        <w:rPr>
          <w:lang w:val="es-ES_tradnl"/>
        </w:rPr>
      </w:pPr>
      <w:r w:rsidRPr="003667EC">
        <w:rPr>
          <w:lang w:val="es-ES_tradnl"/>
        </w:rPr>
        <w:t>2.5.2</w:t>
      </w:r>
      <w:r w:rsidRPr="003667EC">
        <w:rPr>
          <w:lang w:val="es-ES_tradnl"/>
        </w:rPr>
        <w:tab/>
      </w:r>
      <w:proofErr w:type="gramStart"/>
      <w:r w:rsidRPr="003667EC">
        <w:rPr>
          <w:lang w:val="es-ES_tradnl"/>
        </w:rPr>
        <w:t>conformidad</w:t>
      </w:r>
      <w:proofErr w:type="gramEnd"/>
      <w:r w:rsidRPr="003667EC">
        <w:rPr>
          <w:lang w:val="es-ES_tradnl"/>
        </w:rPr>
        <w:t xml:space="preserve"> con los límites relativos a la potencia suministrada por un transmisor a la antena de una estación de los servicios fijo o móvil (13 dBW en las bandas de frecuencia comprendidas entre 1 GHz y 10 GHz, 10 dBW en las bandas de frecuencia superiores a 10 GHz) en el contexto de los servicios y bandas de frecuencia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21.5</w:t>
      </w:r>
      <w:r w:rsidRPr="003667EC">
        <w:rPr>
          <w:lang w:val="es-ES_tradnl"/>
        </w:rPr>
        <w:t xml:space="preserve"> y </w:t>
      </w:r>
      <w:r w:rsidRPr="003667EC">
        <w:rPr>
          <w:rStyle w:val="Artref"/>
          <w:b/>
          <w:color w:val="000000"/>
          <w:lang w:val="es-ES_tradnl"/>
        </w:rPr>
        <w:t>21.6</w:t>
      </w:r>
      <w:r w:rsidRPr="003667EC">
        <w:rPr>
          <w:lang w:val="es-ES_tradnl"/>
        </w:rPr>
        <w:t>).</w:t>
      </w:r>
    </w:p>
    <w:p w:rsidR="008036F8" w:rsidRPr="003667EC" w:rsidRDefault="008036F8" w:rsidP="008036F8">
      <w:pPr>
        <w:rPr>
          <w:color w:val="000000"/>
          <w:lang w:val="es-ES_tradnl"/>
        </w:rPr>
      </w:pPr>
      <w:r w:rsidRPr="003667EC">
        <w:rPr>
          <w:color w:val="000000"/>
          <w:lang w:val="es-ES_tradnl"/>
        </w:rPr>
        <w:t>2.6</w:t>
      </w:r>
      <w:r w:rsidRPr="003667EC">
        <w:rPr>
          <w:color w:val="000000"/>
          <w:lang w:val="es-ES_tradnl"/>
        </w:rPr>
        <w:tab/>
        <w:t xml:space="preserve">Se ofrece a </w:t>
      </w:r>
      <w:proofErr w:type="gramStart"/>
      <w:r w:rsidRPr="003667EC">
        <w:rPr>
          <w:color w:val="000000"/>
          <w:lang w:val="es-ES_tradnl"/>
        </w:rPr>
        <w:t>continuación la lista de las «demás disposiciones», mencionadas</w:t>
      </w:r>
      <w:proofErr w:type="gramEnd"/>
      <w:r w:rsidRPr="003667EC">
        <w:rPr>
          <w:color w:val="000000"/>
          <w:lang w:val="es-ES_tradnl"/>
        </w:rPr>
        <w:t xml:space="preserve"> en el número </w:t>
      </w:r>
      <w:r w:rsidRPr="003667EC">
        <w:rPr>
          <w:rStyle w:val="Artref"/>
          <w:b/>
          <w:color w:val="000000"/>
          <w:lang w:val="es-ES_tradnl"/>
        </w:rPr>
        <w:t>11.31.2</w:t>
      </w:r>
      <w:r w:rsidRPr="003667EC">
        <w:rPr>
          <w:color w:val="000000"/>
          <w:lang w:val="es-ES_tradnl"/>
        </w:rPr>
        <w:t>, aplicable a los servicios espaciales, en la medida en que tienen relación con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w:t>
      </w:r>
    </w:p>
    <w:p w:rsidR="00F064A9" w:rsidRPr="003667EC" w:rsidRDefault="00515A02" w:rsidP="008036F8">
      <w:pPr>
        <w:rPr>
          <w:color w:val="000000"/>
          <w:lang w:val="es-ES_tradnl"/>
        </w:rPr>
      </w:pPr>
      <w:r w:rsidRPr="003667EC">
        <w:rPr>
          <w:color w:val="000000"/>
          <w:lang w:val="es-ES_tradnl"/>
        </w:rPr>
        <w:br w:type="page"/>
      </w:r>
    </w:p>
    <w:p w:rsidR="00F064A9" w:rsidRPr="003667EC" w:rsidRDefault="00F064A9" w:rsidP="00515A02">
      <w:pPr>
        <w:rPr>
          <w:color w:val="000000"/>
          <w:lang w:val="es-ES_tradnl"/>
        </w:rPr>
      </w:pPr>
      <w:r w:rsidRPr="003667EC">
        <w:rPr>
          <w:color w:val="000000"/>
          <w:lang w:val="es-ES_tradnl"/>
        </w:rPr>
        <w:lastRenderedPageBreak/>
        <w:t>2.6.1</w:t>
      </w:r>
      <w:r w:rsidRPr="003667EC">
        <w:rPr>
          <w:color w:val="000000"/>
          <w:lang w:val="es-ES_tradnl"/>
        </w:rPr>
        <w:tab/>
      </w:r>
      <w:proofErr w:type="gramStart"/>
      <w:r w:rsidRPr="003667EC">
        <w:rPr>
          <w:color w:val="000000"/>
          <w:lang w:val="es-ES_tradnl"/>
        </w:rPr>
        <w:t>conformidad</w:t>
      </w:r>
      <w:proofErr w:type="gramEnd"/>
      <w:r w:rsidRPr="003667EC">
        <w:rPr>
          <w:color w:val="000000"/>
          <w:lang w:val="es-ES_tradnl"/>
        </w:rPr>
        <w:t xml:space="preserve"> con los límites de potencia indicados para las estaciones terrenas según se estipula en las disposiciones de los números </w:t>
      </w:r>
      <w:r w:rsidRPr="003667EC">
        <w:rPr>
          <w:rStyle w:val="Artref"/>
          <w:b/>
          <w:color w:val="000000"/>
          <w:lang w:val="es-ES_tradnl"/>
        </w:rPr>
        <w:t>21.8</w:t>
      </w:r>
      <w:r w:rsidRPr="003667EC">
        <w:rPr>
          <w:color w:val="000000"/>
          <w:lang w:val="es-ES_tradnl"/>
        </w:rPr>
        <w:t xml:space="preserve">, </w:t>
      </w:r>
      <w:r w:rsidRPr="003667EC">
        <w:rPr>
          <w:rStyle w:val="Artref"/>
          <w:b/>
          <w:color w:val="000000"/>
          <w:lang w:val="es-ES_tradnl"/>
        </w:rPr>
        <w:t>21.10</w:t>
      </w:r>
      <w:r w:rsidRPr="003667EC">
        <w:rPr>
          <w:color w:val="000000"/>
          <w:lang w:val="es-ES_tradnl"/>
        </w:rPr>
        <w:t xml:space="preserve"> y </w:t>
      </w:r>
      <w:r w:rsidRPr="003667EC">
        <w:rPr>
          <w:rStyle w:val="Artref"/>
          <w:b/>
          <w:color w:val="000000"/>
          <w:lang w:val="es-ES_tradnl"/>
        </w:rPr>
        <w:t>21.12</w:t>
      </w:r>
      <w:r w:rsidRPr="003667EC">
        <w:rPr>
          <w:color w:val="000000"/>
          <w:lang w:val="es-ES_tradnl"/>
        </w:rPr>
        <w:t xml:space="preserve">, </w:t>
      </w:r>
      <w:r w:rsidRPr="003667EC">
        <w:rPr>
          <w:rStyle w:val="Artref"/>
          <w:b/>
          <w:color w:val="000000"/>
          <w:lang w:val="es-ES_tradnl"/>
        </w:rPr>
        <w:t>21.13</w:t>
      </w:r>
      <w:r w:rsidRPr="003667EC">
        <w:rPr>
          <w:color w:val="000000"/>
          <w:lang w:val="es-ES_tradnl"/>
        </w:rPr>
        <w:t xml:space="preserve"> y </w:t>
      </w:r>
      <w:r w:rsidRPr="003667EC">
        <w:rPr>
          <w:rStyle w:val="Artref"/>
          <w:b/>
          <w:color w:val="000000"/>
          <w:lang w:val="es-ES_tradnl"/>
        </w:rPr>
        <w:t>21.13A</w:t>
      </w:r>
      <w:r w:rsidRPr="003667EC">
        <w:rPr>
          <w:color w:val="000000"/>
          <w:lang w:val="es-ES_tradnl"/>
        </w:rPr>
        <w:t xml:space="preserve">, tomando en cuenta los números </w:t>
      </w:r>
      <w:r w:rsidRPr="003667EC">
        <w:rPr>
          <w:rStyle w:val="Artref"/>
          <w:b/>
          <w:color w:val="000000"/>
          <w:lang w:val="es-ES_tradnl"/>
        </w:rPr>
        <w:t>21.9</w:t>
      </w:r>
      <w:r w:rsidRPr="003667EC">
        <w:rPr>
          <w:color w:val="000000"/>
          <w:lang w:val="es-ES_tradnl"/>
        </w:rPr>
        <w:t xml:space="preserve"> y </w:t>
      </w:r>
      <w:r w:rsidRPr="003667EC">
        <w:rPr>
          <w:rStyle w:val="Artref"/>
          <w:b/>
          <w:color w:val="000000"/>
          <w:lang w:val="es-ES_tradnl"/>
        </w:rPr>
        <w:t>21.11</w:t>
      </w:r>
      <w:r w:rsidR="00515A02" w:rsidRPr="003667EC">
        <w:rPr>
          <w:rStyle w:val="Artref"/>
          <w:rFonts w:ascii="Tms Rmn" w:hAnsi="Tms Rmn"/>
          <w:b/>
          <w:color w:val="000000"/>
          <w:sz w:val="12"/>
          <w:lang w:val="es-ES_tradnl"/>
        </w:rPr>
        <w:t> </w:t>
      </w:r>
      <w:r w:rsidRPr="003667EC">
        <w:rPr>
          <w:rStyle w:val="FootnoteReference"/>
          <w:bCs/>
          <w:color w:val="000000"/>
          <w:sz w:val="20"/>
          <w:lang w:val="es-ES_tradnl"/>
        </w:rPr>
        <w:footnoteReference w:customMarkFollows="1" w:id="7"/>
        <w:t>7</w:t>
      </w:r>
      <w:r w:rsidRPr="003667EC">
        <w:rPr>
          <w:color w:val="000000"/>
          <w:lang w:val="es-ES_tradnl"/>
        </w:rPr>
        <w:t xml:space="preserve"> y en las disposiciones de los números</w:t>
      </w:r>
      <w:r w:rsidR="00437E8C" w:rsidRPr="003667EC">
        <w:rPr>
          <w:color w:val="000000"/>
          <w:lang w:val="es-ES_tradnl"/>
        </w:rPr>
        <w:t xml:space="preserve"> </w:t>
      </w:r>
      <w:r w:rsidRPr="003667EC">
        <w:rPr>
          <w:rStyle w:val="Artref"/>
          <w:b/>
          <w:color w:val="000000"/>
          <w:lang w:val="es-ES_tradnl"/>
        </w:rPr>
        <w:t>22.26</w:t>
      </w:r>
      <w:r w:rsidRPr="003667EC">
        <w:rPr>
          <w:color w:val="000000"/>
          <w:lang w:val="es-ES_tradnl"/>
        </w:rPr>
        <w:t xml:space="preserve"> a </w:t>
      </w:r>
      <w:r w:rsidRPr="003667EC">
        <w:rPr>
          <w:rStyle w:val="Artref"/>
          <w:b/>
          <w:color w:val="000000"/>
          <w:lang w:val="es-ES_tradnl"/>
        </w:rPr>
        <w:t>22.28</w:t>
      </w:r>
      <w:r w:rsidRPr="003667EC">
        <w:rPr>
          <w:color w:val="000000"/>
          <w:lang w:val="es-ES_tradnl"/>
        </w:rPr>
        <w:t xml:space="preserve"> ó </w:t>
      </w:r>
      <w:r w:rsidRPr="003667EC">
        <w:rPr>
          <w:rStyle w:val="Artref"/>
          <w:b/>
          <w:color w:val="000000"/>
          <w:lang w:val="es-ES_tradnl"/>
        </w:rPr>
        <w:t>22.32</w:t>
      </w:r>
      <w:r w:rsidRPr="003667EC">
        <w:rPr>
          <w:color w:val="000000"/>
          <w:lang w:val="es-ES_tradnl"/>
        </w:rPr>
        <w:t xml:space="preserve"> (según el caso) bajo las condiciones especificadas en los números </w:t>
      </w:r>
      <w:r w:rsidRPr="003667EC">
        <w:rPr>
          <w:rStyle w:val="Artref"/>
          <w:b/>
          <w:color w:val="000000"/>
          <w:lang w:val="es-ES_tradnl"/>
        </w:rPr>
        <w:t>22.30</w:t>
      </w:r>
      <w:r w:rsidRPr="003667EC">
        <w:rPr>
          <w:color w:val="000000"/>
          <w:lang w:val="es-ES_tradnl"/>
        </w:rPr>
        <w:t xml:space="preserve">, </w:t>
      </w:r>
      <w:r w:rsidRPr="003667EC">
        <w:rPr>
          <w:rStyle w:val="Artref"/>
          <w:b/>
          <w:color w:val="000000"/>
          <w:lang w:val="es-ES_tradnl"/>
        </w:rPr>
        <w:t>22.31</w:t>
      </w:r>
      <w:r w:rsidRPr="003667EC">
        <w:rPr>
          <w:color w:val="000000"/>
          <w:lang w:val="es-ES_tradnl"/>
        </w:rPr>
        <w:t xml:space="preserve"> y </w:t>
      </w:r>
      <w:r w:rsidRPr="003667EC">
        <w:rPr>
          <w:rStyle w:val="Artref"/>
          <w:b/>
          <w:color w:val="000000"/>
          <w:lang w:val="es-ES_tradnl"/>
        </w:rPr>
        <w:t>22.34</w:t>
      </w:r>
      <w:r w:rsidRPr="003667EC">
        <w:rPr>
          <w:color w:val="000000"/>
          <w:lang w:val="es-ES_tradnl"/>
        </w:rPr>
        <w:t xml:space="preserve"> a </w:t>
      </w:r>
      <w:r w:rsidRPr="003667EC">
        <w:rPr>
          <w:rStyle w:val="Artref"/>
          <w:b/>
          <w:color w:val="000000"/>
          <w:lang w:val="es-ES_tradnl"/>
        </w:rPr>
        <w:t>22.39</w:t>
      </w:r>
      <w:r w:rsidRPr="003667EC">
        <w:rPr>
          <w:color w:val="000000"/>
          <w:lang w:val="es-ES_tradnl"/>
        </w:rPr>
        <w:t>, donde las estaciones terrenas están sujetas a esos límites de potencia (véase también el § </w:t>
      </w:r>
      <w:r w:rsidRPr="003667EC">
        <w:rPr>
          <w:lang w:val="es-ES_tradnl"/>
        </w:rPr>
        <w:t>A.16</w:t>
      </w:r>
      <w:r w:rsidRPr="003667EC">
        <w:rPr>
          <w:color w:val="000000"/>
          <w:lang w:val="es-ES_tradnl"/>
        </w:rPr>
        <w:t xml:space="preserve"> del Apéndice </w:t>
      </w:r>
      <w:r w:rsidRPr="003667EC">
        <w:rPr>
          <w:rStyle w:val="Appref"/>
          <w:b/>
          <w:color w:val="000000"/>
          <w:lang w:val="es-ES_tradnl"/>
        </w:rPr>
        <w:t>4)</w:t>
      </w:r>
      <w:r w:rsidRPr="003667EC">
        <w:rPr>
          <w:color w:val="000000"/>
          <w:lang w:val="es-ES_tradnl"/>
        </w:rPr>
        <w:t>;</w:t>
      </w:r>
    </w:p>
    <w:p w:rsidR="00F064A9" w:rsidRPr="003667EC" w:rsidRDefault="00F064A9" w:rsidP="00515A02">
      <w:pPr>
        <w:rPr>
          <w:color w:val="000000"/>
          <w:lang w:val="es-ES_tradnl"/>
        </w:rPr>
      </w:pPr>
      <w:r w:rsidRPr="003667EC">
        <w:rPr>
          <w:color w:val="000000"/>
          <w:lang w:val="es-ES_tradnl"/>
        </w:rPr>
        <w:t>2.6.2</w:t>
      </w:r>
      <w:r w:rsidRPr="003667EC">
        <w:rPr>
          <w:color w:val="000000"/>
          <w:lang w:val="es-ES_tradnl"/>
        </w:rPr>
        <w:tab/>
        <w:t>conformidad con el ángulo mínimo de elevación de las estaciones terrenas que se estipulan en las disposiciones de los números </w:t>
      </w:r>
      <w:r w:rsidRPr="003667EC">
        <w:rPr>
          <w:rStyle w:val="Artref"/>
          <w:b/>
          <w:color w:val="000000"/>
          <w:lang w:val="es-ES_tradnl"/>
        </w:rPr>
        <w:t>21.14</w:t>
      </w:r>
      <w:r w:rsidR="00515A02" w:rsidRPr="003667EC">
        <w:rPr>
          <w:rStyle w:val="Artref"/>
          <w:rFonts w:ascii="Tms Rmn" w:hAnsi="Tms Rmn"/>
          <w:b/>
          <w:color w:val="000000"/>
          <w:sz w:val="12"/>
          <w:lang w:val="es-ES_tradnl"/>
        </w:rPr>
        <w:t> </w:t>
      </w:r>
      <w:r w:rsidRPr="003667EC">
        <w:rPr>
          <w:rStyle w:val="FootnoteReference"/>
          <w:color w:val="000000"/>
          <w:sz w:val="20"/>
          <w:lang w:val="es-ES_tradnl"/>
        </w:rPr>
        <w:footnoteReference w:customMarkFollows="1" w:id="8"/>
        <w:t>8</w:t>
      </w:r>
      <w:r w:rsidRPr="003667EC">
        <w:rPr>
          <w:b/>
          <w:color w:val="000000"/>
          <w:lang w:val="es-ES_tradnl"/>
        </w:rPr>
        <w:t xml:space="preserve"> </w:t>
      </w:r>
      <w:r w:rsidRPr="003667EC">
        <w:rPr>
          <w:color w:val="000000"/>
          <w:lang w:val="es-ES_tradnl"/>
        </w:rPr>
        <w:t>y </w:t>
      </w:r>
      <w:r w:rsidRPr="003667EC">
        <w:rPr>
          <w:rStyle w:val="Artref"/>
          <w:b/>
          <w:color w:val="000000"/>
          <w:lang w:val="es-ES_tradnl"/>
        </w:rPr>
        <w:t>21.15</w:t>
      </w:r>
      <w:r w:rsidRPr="003667EC">
        <w:rPr>
          <w:color w:val="000000"/>
          <w:lang w:val="es-ES_tradnl"/>
        </w:rPr>
        <w:t>;</w:t>
      </w:r>
    </w:p>
    <w:p w:rsidR="00F064A9" w:rsidRPr="003667EC" w:rsidRDefault="00F064A9" w:rsidP="00F064A9">
      <w:pPr>
        <w:rPr>
          <w:color w:val="000000"/>
          <w:lang w:val="es-ES_tradnl"/>
        </w:rPr>
      </w:pPr>
      <w:r w:rsidRPr="003667EC">
        <w:rPr>
          <w:color w:val="000000"/>
          <w:lang w:val="es-ES_tradnl"/>
        </w:rPr>
        <w:t>2.6.3</w:t>
      </w:r>
      <w:r w:rsidRPr="003667EC">
        <w:rPr>
          <w:color w:val="000000"/>
          <w:lang w:val="es-ES_tradnl"/>
        </w:rPr>
        <w:tab/>
      </w:r>
      <w:proofErr w:type="gramStart"/>
      <w:r w:rsidRPr="003667EC">
        <w:rPr>
          <w:color w:val="000000"/>
          <w:lang w:val="es-ES_tradnl"/>
        </w:rPr>
        <w:t>conformidad</w:t>
      </w:r>
      <w:proofErr w:type="gramEnd"/>
      <w:r w:rsidRPr="003667EC">
        <w:rPr>
          <w:color w:val="000000"/>
          <w:lang w:val="es-ES_tradnl"/>
        </w:rPr>
        <w:t xml:space="preserve"> con los límites de la densidad de flujo de potencia de las estaciones espaciales producidas en la superficie de la Tierra, como se indica en el Cuadro </w:t>
      </w:r>
      <w:r w:rsidRPr="003667EC">
        <w:rPr>
          <w:b/>
          <w:bCs/>
          <w:lang w:val="es-ES_tradnl"/>
        </w:rPr>
        <w:t>21-4</w:t>
      </w:r>
      <w:r w:rsidRPr="003667EC">
        <w:rPr>
          <w:color w:val="000000"/>
          <w:lang w:val="es-ES_tradnl"/>
        </w:rPr>
        <w:t xml:space="preserve"> (número </w:t>
      </w:r>
      <w:r w:rsidRPr="003667EC">
        <w:rPr>
          <w:rStyle w:val="Artref"/>
          <w:b/>
          <w:color w:val="000000"/>
          <w:lang w:val="es-ES_tradnl"/>
        </w:rPr>
        <w:t>21.16</w:t>
      </w:r>
      <w:r w:rsidRPr="003667EC">
        <w:rPr>
          <w:color w:val="000000"/>
          <w:lang w:val="es-ES_tradnl"/>
        </w:rPr>
        <w:t>), así como con los límites de densidad de flujo de potencia equivalente (dfpe</w:t>
      </w:r>
      <w:r w:rsidRPr="003667EC">
        <w:rPr>
          <w:rFonts w:ascii="Symbol" w:hAnsi="Symbol"/>
          <w:color w:val="000000"/>
          <w:position w:val="-4"/>
          <w:sz w:val="16"/>
          <w:lang w:val="es-ES_tradnl"/>
        </w:rPr>
        <w:t></w:t>
      </w:r>
      <w:r w:rsidRPr="003667EC">
        <w:rPr>
          <w:color w:val="000000"/>
          <w:lang w:val="es-ES_tradnl"/>
        </w:rPr>
        <w:t xml:space="preserve">) de los Cuadros </w:t>
      </w:r>
      <w:r w:rsidRPr="003667EC">
        <w:rPr>
          <w:b/>
          <w:bCs/>
          <w:lang w:val="es-ES_tradnl"/>
        </w:rPr>
        <w:t>22-1A</w:t>
      </w:r>
      <w:r w:rsidRPr="003667EC">
        <w:rPr>
          <w:color w:val="000000"/>
          <w:lang w:val="es-ES_tradnl"/>
        </w:rPr>
        <w:t xml:space="preserve"> a </w:t>
      </w:r>
      <w:r w:rsidRPr="003667EC">
        <w:rPr>
          <w:b/>
          <w:bCs/>
          <w:lang w:val="es-ES_tradnl"/>
        </w:rPr>
        <w:t>22-1E</w:t>
      </w:r>
      <w:r w:rsidRPr="003667EC">
        <w:rPr>
          <w:color w:val="000000"/>
          <w:lang w:val="es-ES_tradnl"/>
        </w:rPr>
        <w:t xml:space="preserve"> (número </w:t>
      </w:r>
      <w:r w:rsidRPr="003667EC">
        <w:rPr>
          <w:rStyle w:val="Artref"/>
          <w:b/>
          <w:color w:val="000000"/>
          <w:lang w:val="es-ES_tradnl"/>
        </w:rPr>
        <w:t>22.5C</w:t>
      </w:r>
      <w:r w:rsidRPr="003667EC">
        <w:rPr>
          <w:color w:val="000000"/>
          <w:lang w:val="es-ES_tradnl"/>
        </w:rPr>
        <w:t>), tomando en cuenta, según proceda, las dispo</w:t>
      </w:r>
      <w:r w:rsidR="009A2F2C" w:rsidRPr="003667EC">
        <w:rPr>
          <w:color w:val="000000"/>
          <w:lang w:val="es-ES_tradnl"/>
        </w:rPr>
        <w:softHyphen/>
      </w:r>
      <w:r w:rsidRPr="003667EC">
        <w:rPr>
          <w:color w:val="000000"/>
          <w:lang w:val="es-ES_tradnl"/>
        </w:rPr>
        <w:t>siciones de los números </w:t>
      </w:r>
      <w:r w:rsidRPr="003667EC">
        <w:rPr>
          <w:rStyle w:val="Artref"/>
          <w:b/>
          <w:color w:val="000000"/>
          <w:lang w:val="es-ES_tradnl"/>
        </w:rPr>
        <w:t>21.17</w:t>
      </w:r>
      <w:r w:rsidRPr="003667EC">
        <w:rPr>
          <w:color w:val="000000"/>
          <w:lang w:val="es-ES_tradnl"/>
        </w:rPr>
        <w:t xml:space="preserve"> y </w:t>
      </w:r>
      <w:r w:rsidRPr="003667EC">
        <w:rPr>
          <w:rStyle w:val="Artref"/>
          <w:b/>
          <w:color w:val="000000"/>
          <w:lang w:val="es-ES_tradnl"/>
        </w:rPr>
        <w:t>22.5CA</w:t>
      </w:r>
      <w:r w:rsidRPr="003667EC">
        <w:rPr>
          <w:color w:val="000000"/>
          <w:lang w:val="es-ES_tradnl"/>
        </w:rPr>
        <w:t>;</w:t>
      </w:r>
    </w:p>
    <w:p w:rsidR="00F064A9" w:rsidRPr="003667EC" w:rsidRDefault="00F064A9" w:rsidP="00F064A9">
      <w:pPr>
        <w:rPr>
          <w:color w:val="000000"/>
          <w:lang w:val="es-ES_tradnl"/>
        </w:rPr>
      </w:pPr>
      <w:r w:rsidRPr="003667EC">
        <w:rPr>
          <w:color w:val="000000"/>
          <w:lang w:val="es-ES_tradnl"/>
        </w:rPr>
        <w:t>2.6.4</w:t>
      </w:r>
      <w:r w:rsidRPr="003667EC">
        <w:rPr>
          <w:color w:val="000000"/>
          <w:lang w:val="es-ES_tradnl"/>
        </w:rPr>
        <w:tab/>
        <w:t>conformidad con los límites de la densidad de flujo de potencia de las estaciones espaciales producidas en la OSG, como se indica en los números </w:t>
      </w:r>
      <w:r w:rsidRPr="003667EC">
        <w:rPr>
          <w:rStyle w:val="Artref"/>
          <w:b/>
          <w:color w:val="000000"/>
          <w:lang w:val="es-ES_tradnl"/>
        </w:rPr>
        <w:t>22.5</w:t>
      </w:r>
      <w:r w:rsidRPr="003667EC">
        <w:rPr>
          <w:color w:val="000000"/>
          <w:lang w:val="es-ES_tradnl"/>
        </w:rPr>
        <w:t xml:space="preserve"> y </w:t>
      </w:r>
      <w:r w:rsidRPr="003667EC">
        <w:rPr>
          <w:rStyle w:val="Artref"/>
          <w:b/>
          <w:color w:val="000000"/>
          <w:lang w:val="es-ES_tradnl"/>
        </w:rPr>
        <w:t>22.5A</w:t>
      </w:r>
      <w:r w:rsidRPr="003667EC">
        <w:rPr>
          <w:color w:val="000000"/>
          <w:lang w:val="es-ES_tradnl"/>
        </w:rPr>
        <w:t>, así como con los límites de dfpe</w:t>
      </w:r>
      <w:r w:rsidRPr="003667EC">
        <w:rPr>
          <w:vertAlign w:val="subscript"/>
          <w:lang w:val="es-ES_tradnl"/>
        </w:rPr>
        <w:t>is</w:t>
      </w:r>
      <w:r w:rsidRPr="003667EC">
        <w:rPr>
          <w:color w:val="000000"/>
          <w:lang w:val="es-ES_tradnl"/>
        </w:rPr>
        <w:t xml:space="preserve"> Cuadro </w:t>
      </w:r>
      <w:r w:rsidRPr="003667EC">
        <w:rPr>
          <w:b/>
          <w:bCs/>
          <w:lang w:val="es-ES_tradnl"/>
        </w:rPr>
        <w:t>22-3</w:t>
      </w:r>
      <w:r w:rsidRPr="003667EC">
        <w:rPr>
          <w:color w:val="000000"/>
          <w:lang w:val="es-ES_tradnl"/>
        </w:rPr>
        <w:t xml:space="preserve"> (número </w:t>
      </w:r>
      <w:r w:rsidRPr="003667EC">
        <w:rPr>
          <w:rStyle w:val="Artref"/>
          <w:b/>
          <w:color w:val="000000"/>
          <w:lang w:val="es-ES_tradnl"/>
        </w:rPr>
        <w:t>22.5F</w:t>
      </w:r>
      <w:r w:rsidRPr="003667EC">
        <w:rPr>
          <w:color w:val="000000"/>
          <w:lang w:val="es-ES_tradnl"/>
        </w:rPr>
        <w:t>);</w:t>
      </w:r>
    </w:p>
    <w:p w:rsidR="00F064A9" w:rsidRPr="003667EC" w:rsidRDefault="00F064A9" w:rsidP="00F064A9">
      <w:pPr>
        <w:rPr>
          <w:color w:val="000000"/>
          <w:lang w:val="es-ES_tradnl"/>
        </w:rPr>
      </w:pPr>
      <w:r w:rsidRPr="003667EC">
        <w:rPr>
          <w:color w:val="000000"/>
          <w:lang w:val="es-ES_tradnl"/>
        </w:rPr>
        <w:t>2.6.5</w:t>
      </w:r>
      <w:r w:rsidRPr="003667EC">
        <w:rPr>
          <w:color w:val="000000"/>
          <w:lang w:val="es-ES_tradnl"/>
        </w:rPr>
        <w:tab/>
        <w:t>conformidad con el límite de la densidad de flujo de potencia equivalente (dfpe) de las estaciones terrenas producido en la OSG (dfpe</w:t>
      </w:r>
      <w:r w:rsidRPr="003667EC">
        <w:rPr>
          <w:rFonts w:ascii="Symbol" w:hAnsi="Symbol"/>
          <w:color w:val="000000"/>
          <w:position w:val="-4"/>
          <w:sz w:val="16"/>
          <w:lang w:val="es-ES_tradnl"/>
        </w:rPr>
        <w:t></w:t>
      </w:r>
      <w:r w:rsidRPr="003667EC">
        <w:rPr>
          <w:color w:val="000000"/>
          <w:lang w:val="es-ES_tradnl"/>
        </w:rPr>
        <w:t xml:space="preserve">) como indica el Cuadro </w:t>
      </w:r>
      <w:r w:rsidRPr="003667EC">
        <w:rPr>
          <w:b/>
          <w:bCs/>
          <w:lang w:val="es-ES_tradnl"/>
        </w:rPr>
        <w:t>22-2</w:t>
      </w:r>
      <w:r w:rsidRPr="003667EC">
        <w:rPr>
          <w:color w:val="000000"/>
          <w:lang w:val="es-ES_tradnl"/>
        </w:rPr>
        <w:t xml:space="preserve"> (número </w:t>
      </w:r>
      <w:r w:rsidRPr="003667EC">
        <w:rPr>
          <w:rStyle w:val="Artref"/>
          <w:b/>
          <w:color w:val="000000"/>
          <w:lang w:val="es-ES_tradnl"/>
        </w:rPr>
        <w:t>22.5D</w:t>
      </w:r>
      <w:r w:rsidRPr="003667EC">
        <w:rPr>
          <w:color w:val="000000"/>
          <w:lang w:val="es-ES_tradnl"/>
        </w:rPr>
        <w:t>);</w:t>
      </w:r>
    </w:p>
    <w:p w:rsidR="00F064A9" w:rsidRPr="003667EC" w:rsidRDefault="00F064A9" w:rsidP="00F064A9">
      <w:pPr>
        <w:rPr>
          <w:color w:val="000000"/>
          <w:lang w:val="es-ES_tradnl"/>
        </w:rPr>
      </w:pPr>
      <w:r w:rsidRPr="003667EC">
        <w:rPr>
          <w:color w:val="000000"/>
          <w:lang w:val="es-ES_tradnl"/>
        </w:rPr>
        <w:t>2.6.6</w:t>
      </w:r>
      <w:r w:rsidRPr="003667EC">
        <w:rPr>
          <w:color w:val="000000"/>
          <w:lang w:val="es-ES_tradnl"/>
        </w:rPr>
        <w:tab/>
        <w:t>conformidad con el límite especificado en los números </w:t>
      </w:r>
      <w:r w:rsidRPr="003667EC">
        <w:rPr>
          <w:rStyle w:val="Artref"/>
          <w:b/>
          <w:color w:val="000000"/>
          <w:lang w:val="es-ES_tradnl"/>
        </w:rPr>
        <w:t>22.8</w:t>
      </w:r>
      <w:r w:rsidRPr="003667EC">
        <w:rPr>
          <w:color w:val="000000"/>
          <w:lang w:val="es-ES_tradnl"/>
        </w:rPr>
        <w:t xml:space="preserve">, </w:t>
      </w:r>
      <w:r w:rsidRPr="003667EC">
        <w:rPr>
          <w:rStyle w:val="Artref"/>
          <w:b/>
          <w:color w:val="000000"/>
          <w:lang w:val="es-ES_tradnl"/>
        </w:rPr>
        <w:t>22.13</w:t>
      </w:r>
      <w:r w:rsidRPr="003667EC">
        <w:rPr>
          <w:color w:val="000000"/>
          <w:lang w:val="es-ES_tradnl"/>
        </w:rPr>
        <w:t xml:space="preserve">, </w:t>
      </w:r>
      <w:r w:rsidRPr="003667EC">
        <w:rPr>
          <w:rStyle w:val="Artref"/>
          <w:b/>
          <w:color w:val="000000"/>
          <w:lang w:val="es-ES_tradnl"/>
        </w:rPr>
        <w:t>22.17</w:t>
      </w:r>
      <w:r w:rsidRPr="003667EC">
        <w:rPr>
          <w:color w:val="000000"/>
          <w:lang w:val="es-ES_tradnl"/>
        </w:rPr>
        <w:t xml:space="preserve"> y </w:t>
      </w:r>
      <w:r w:rsidRPr="003667EC">
        <w:rPr>
          <w:rStyle w:val="Artref"/>
          <w:b/>
          <w:color w:val="000000"/>
          <w:lang w:val="es-ES_tradnl"/>
        </w:rPr>
        <w:t>22.19</w:t>
      </w:r>
      <w:r w:rsidRPr="003667EC">
        <w:rPr>
          <w:color w:val="000000"/>
          <w:lang w:val="es-ES_tradnl"/>
        </w:rPr>
        <w:t>.</w:t>
      </w:r>
    </w:p>
    <w:p w:rsidR="00F064A9" w:rsidRPr="003667EC" w:rsidRDefault="00F064A9" w:rsidP="00F064A9">
      <w:pPr>
        <w:rPr>
          <w:color w:val="000000"/>
          <w:lang w:val="es-ES_tradnl"/>
        </w:rPr>
      </w:pPr>
      <w:r w:rsidRPr="003667EC">
        <w:rPr>
          <w:color w:val="000000"/>
          <w:lang w:val="es-ES_tradnl"/>
        </w:rPr>
        <w:t>3</w:t>
      </w:r>
      <w:r w:rsidRPr="003667EC">
        <w:rPr>
          <w:color w:val="000000"/>
          <w:lang w:val="es-ES_tradnl"/>
        </w:rPr>
        <w:tab/>
        <w:t xml:space="preserve">Otras disposiciones de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no se tomarán en cuenta en el examen reglamentario en virtud del número </w:t>
      </w:r>
      <w:r w:rsidRPr="003667EC">
        <w:rPr>
          <w:rStyle w:val="Artref"/>
          <w:b/>
          <w:color w:val="000000"/>
          <w:lang w:val="es-ES_tradnl"/>
        </w:rPr>
        <w:t>11.31</w:t>
      </w:r>
      <w:r w:rsidRPr="003667EC">
        <w:rPr>
          <w:color w:val="000000"/>
          <w:lang w:val="es-ES_tradnl"/>
        </w:rPr>
        <w:t xml:space="preserve"> y la Junta entiende que estas disposiciones deben aplicarse entre las administraciones.</w:t>
      </w:r>
    </w:p>
    <w:p w:rsidR="00F064A9" w:rsidRPr="003667EC" w:rsidRDefault="00F064A9" w:rsidP="00437E8C">
      <w:pPr>
        <w:pStyle w:val="Heading1"/>
        <w:rPr>
          <w:sz w:val="24"/>
          <w:szCs w:val="24"/>
          <w:lang w:val="es-ES_tradnl"/>
        </w:rPr>
      </w:pPr>
      <w:r w:rsidRPr="008036F8">
        <w:rPr>
          <w:b w:val="0"/>
          <w:sz w:val="24"/>
          <w:szCs w:val="24"/>
          <w:lang w:val="es-ES_tradnl"/>
        </w:rPr>
        <w:t>4</w:t>
      </w:r>
      <w:r w:rsidRPr="003667EC">
        <w:rPr>
          <w:sz w:val="24"/>
          <w:szCs w:val="24"/>
          <w:lang w:val="es-ES_tradnl"/>
        </w:rPr>
        <w:tab/>
      </w:r>
      <w:r w:rsidRPr="003667EC">
        <w:rPr>
          <w:b w:val="0"/>
          <w:bCs/>
          <w:sz w:val="24"/>
          <w:szCs w:val="24"/>
          <w:lang w:val="es-ES_tradnl"/>
        </w:rPr>
        <w:t>(No utilizado)</w:t>
      </w:r>
    </w:p>
    <w:p w:rsidR="00F064A9" w:rsidRPr="003667EC" w:rsidRDefault="00F064A9" w:rsidP="00B76760">
      <w:pPr>
        <w:pStyle w:val="Heading1"/>
        <w:spacing w:line="280" w:lineRule="exact"/>
        <w:rPr>
          <w:color w:val="000000"/>
          <w:lang w:val="es-ES_tradnl"/>
        </w:rPr>
      </w:pPr>
      <w:r w:rsidRPr="003667EC">
        <w:rPr>
          <w:color w:val="000000"/>
          <w:lang w:val="es-ES_tradnl"/>
        </w:rPr>
        <w:t>5</w:t>
      </w:r>
      <w:r w:rsidRPr="003667EC">
        <w:rPr>
          <w:color w:val="000000"/>
          <w:lang w:val="es-ES_tradnl"/>
        </w:rPr>
        <w:tab/>
        <w:t>Conformidad con el Cuadro de atribución de bandas de frecuencias</w:t>
      </w:r>
    </w:p>
    <w:p w:rsidR="00F064A9" w:rsidRPr="003667EC" w:rsidRDefault="00F064A9" w:rsidP="009C3798">
      <w:pPr>
        <w:rPr>
          <w:color w:val="000000"/>
          <w:lang w:val="es-ES_tradnl"/>
        </w:rPr>
      </w:pPr>
      <w:r w:rsidRPr="003667EC">
        <w:rPr>
          <w:color w:val="000000"/>
          <w:lang w:val="es-ES_tradnl"/>
        </w:rPr>
        <w:t>Este examen sobre la conformidad con el Cuadro de atribución de bandas de frecuencias consiste en determinar si la frecuencia asignada y/o la anchura de banda necesaria de la emisión se encuentran dentro de la banda de frecuencias atribuida al servicio en el que funciona la estación en cuestión. Otro elemento es la identificación de la categoría del servicio</w:t>
      </w:r>
      <w:r w:rsidR="009C3798">
        <w:rPr>
          <w:color w:val="000000"/>
          <w:lang w:val="es-ES_tradnl"/>
        </w:rPr>
        <w:t xml:space="preserve"> </w:t>
      </w:r>
      <w:r w:rsidRPr="003667EC">
        <w:rPr>
          <w:color w:val="000000"/>
          <w:lang w:val="es-ES_tradnl"/>
        </w:rPr>
        <w:t>conforme al Cuadro de atribución de bandas de frecuencias. En este sentido, se aplican las reglas siguientes:</w:t>
      </w:r>
    </w:p>
    <w:p w:rsidR="008036F8" w:rsidRDefault="008036F8" w:rsidP="00F064A9">
      <w:pPr>
        <w:rPr>
          <w:color w:val="000000"/>
          <w:lang w:val="es-ES_tradnl"/>
        </w:rPr>
      </w:pPr>
      <w:r>
        <w:rPr>
          <w:color w:val="000000"/>
          <w:lang w:val="es-ES_tradnl"/>
        </w:rPr>
        <w:br w:type="page"/>
      </w:r>
    </w:p>
    <w:p w:rsidR="00F064A9" w:rsidRPr="003667EC" w:rsidRDefault="00F064A9" w:rsidP="00F064A9">
      <w:pPr>
        <w:rPr>
          <w:color w:val="000000"/>
          <w:lang w:val="es-ES_tradnl"/>
        </w:rPr>
      </w:pPr>
      <w:r w:rsidRPr="003667EC">
        <w:rPr>
          <w:color w:val="000000"/>
          <w:lang w:val="es-ES_tradnl"/>
        </w:rPr>
        <w:lastRenderedPageBreak/>
        <w:t>5.1</w:t>
      </w:r>
      <w:r w:rsidRPr="003667EC">
        <w:rPr>
          <w:color w:val="000000"/>
          <w:lang w:val="es-ES_tradnl"/>
        </w:rPr>
        <w:tab/>
      </w:r>
      <w:r w:rsidRPr="003667EC">
        <w:rPr>
          <w:i/>
          <w:color w:val="000000"/>
          <w:lang w:val="es-ES_tradnl"/>
        </w:rPr>
        <w:t>Emisiones fuera de banda</w:t>
      </w:r>
      <w:r w:rsidRPr="003667EC">
        <w:rPr>
          <w:color w:val="000000"/>
          <w:lang w:val="es-ES_tradnl"/>
        </w:rPr>
        <w:t>: En el caso de que la frecuencia asignada esté en una banda no atribuida al servicio en el que funciona la estación, la notificación será objeto de una conclusión reglamentaria desfavorable, Si la frecuencia asignada se encuentra en el límite de una banda no atribuida al servicio, la conclusión también es desfavorable.</w:t>
      </w:r>
    </w:p>
    <w:p w:rsidR="00F064A9" w:rsidRPr="003667EC" w:rsidRDefault="00F064A9" w:rsidP="00F064A9">
      <w:pPr>
        <w:rPr>
          <w:color w:val="000000"/>
          <w:lang w:val="es-ES_tradnl"/>
        </w:rPr>
      </w:pPr>
      <w:r w:rsidRPr="003667EC">
        <w:rPr>
          <w:color w:val="000000"/>
          <w:lang w:val="es-ES_tradnl"/>
        </w:rPr>
        <w:t>5.2</w:t>
      </w:r>
      <w:r w:rsidRPr="003667EC">
        <w:rPr>
          <w:color w:val="000000"/>
          <w:lang w:val="es-ES_tradnl"/>
        </w:rPr>
        <w:tab/>
      </w:r>
      <w:r w:rsidRPr="003667EC">
        <w:rPr>
          <w:i/>
          <w:color w:val="000000"/>
          <w:lang w:val="es-ES_tradnl"/>
        </w:rPr>
        <w:t>Emisiones superpuestas</w:t>
      </w:r>
      <w:r w:rsidRPr="003667EC">
        <w:rPr>
          <w:color w:val="000000"/>
          <w:lang w:val="es-ES_tradnl"/>
        </w:rPr>
        <w:t>: En el caso de que la frecuencia asignada esté en la banda atribuida al servicio, pero la anchura de banda necesaria se solape a la banda inmediatamente adjunta, no estando ésta atribuida al servicio, la notificación es motivo de una conclusión reglamentaria desfavorable.</w:t>
      </w:r>
    </w:p>
    <w:p w:rsidR="00F064A9" w:rsidRPr="003667EC" w:rsidRDefault="00F064A9" w:rsidP="00F064A9">
      <w:pPr>
        <w:rPr>
          <w:color w:val="000000"/>
          <w:lang w:val="es-ES_tradnl"/>
        </w:rPr>
      </w:pPr>
      <w:r w:rsidRPr="003667EC">
        <w:rPr>
          <w:color w:val="000000"/>
          <w:lang w:val="es-ES_tradnl"/>
        </w:rPr>
        <w:t>5.3</w:t>
      </w:r>
      <w:r w:rsidRPr="003667EC">
        <w:rPr>
          <w:color w:val="000000"/>
          <w:lang w:val="es-ES_tradnl"/>
        </w:rPr>
        <w:tab/>
      </w:r>
      <w:r w:rsidRPr="003667EC">
        <w:rPr>
          <w:i/>
          <w:color w:val="000000"/>
          <w:lang w:val="es-ES_tradnl"/>
        </w:rPr>
        <w:t>Punto de recepción de un servicio terrenal en una región en donde no está atribuido el servicio</w:t>
      </w:r>
      <w:r w:rsidRPr="003667EC">
        <w:rPr>
          <w:color w:val="000000"/>
          <w:lang w:val="es-ES_tradnl"/>
        </w:rPr>
        <w:t>: En el caso de un circuito cuyo punto de transmisión esté situado en un país, subregión o región en que esté atribuida la frecuencia al servicio, pero en el que no está el punto de recepción, se emitirá una conclusión reglamentaria desfavorable.</w:t>
      </w:r>
    </w:p>
    <w:p w:rsidR="00F064A9" w:rsidRPr="003667EC" w:rsidRDefault="00F064A9" w:rsidP="00F064A9">
      <w:pPr>
        <w:rPr>
          <w:color w:val="000000"/>
          <w:lang w:val="es-ES_tradnl"/>
        </w:rPr>
      </w:pPr>
      <w:r w:rsidRPr="003667EC">
        <w:rPr>
          <w:color w:val="000000"/>
          <w:lang w:val="es-ES_tradnl"/>
        </w:rPr>
        <w:t>5.4</w:t>
      </w:r>
      <w:r w:rsidRPr="003667EC">
        <w:rPr>
          <w:b/>
          <w:color w:val="000000"/>
          <w:lang w:val="es-ES_tradnl"/>
        </w:rPr>
        <w:tab/>
      </w:r>
      <w:r w:rsidRPr="003667EC">
        <w:rPr>
          <w:color w:val="000000"/>
          <w:lang w:val="es-ES_tradnl"/>
        </w:rPr>
        <w:t xml:space="preserve">La relación entre la administración notificante y el territorio en el que está situada la estación se comenta en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(Rev.CMR-97)</w:t>
      </w:r>
      <w:r w:rsidRPr="003667EC">
        <w:rPr>
          <w:color w:val="000000"/>
          <w:lang w:val="es-ES_tradnl"/>
        </w:rPr>
        <w:t xml:space="preserve"> (véanse también los comentarios de las Reglas de Procedimiento referentes al número </w:t>
      </w:r>
      <w:r w:rsidRPr="003667EC">
        <w:rPr>
          <w:rStyle w:val="Artref"/>
          <w:b/>
          <w:color w:val="000000"/>
          <w:lang w:val="es-ES_tradnl"/>
        </w:rPr>
        <w:t>9.3</w:t>
      </w:r>
      <w:r w:rsidRPr="003667EC">
        <w:rPr>
          <w:color w:val="000000"/>
          <w:lang w:val="es-ES_tradnl"/>
        </w:rPr>
        <w:t xml:space="preserve"> y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w:t>
      </w:r>
      <w:r w:rsidRPr="003667EC">
        <w:rPr>
          <w:b/>
          <w:color w:val="000000"/>
          <w:lang w:val="es-ES_tradnl"/>
        </w:rPr>
        <w:noBreakHyphen/>
        <w:t>97)</w:t>
      </w:r>
      <w:r w:rsidRPr="003667EC">
        <w:rPr>
          <w:color w:val="000000"/>
          <w:lang w:val="es-ES_tradnl"/>
        </w:rPr>
        <w:t>). La notificación de las asignaciones de frecuencia a las estaciones espaciales plantea las preguntas siguientes:</w:t>
      </w:r>
    </w:p>
    <w:p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entre el territorio de la administración notificante y la posición orbital de una estación espacial en el caso de asignaciones mundiales?</w:t>
      </w:r>
    </w:p>
    <w:p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de ese tipo en el caso de asignaciones regionales o de asigna</w:t>
      </w:r>
      <w:r w:rsidR="009A2F2C" w:rsidRPr="003667EC">
        <w:rPr>
          <w:color w:val="000000"/>
          <w:lang w:val="es-ES_tradnl"/>
        </w:rPr>
        <w:softHyphen/>
      </w:r>
      <w:r w:rsidRPr="003667EC">
        <w:rPr>
          <w:color w:val="000000"/>
          <w:lang w:val="es-ES_tradnl"/>
        </w:rPr>
        <w:t>ciones a un grupo de países o países distintos?</w:t>
      </w:r>
    </w:p>
    <w:p w:rsidR="00F064A9" w:rsidRPr="003667EC" w:rsidRDefault="00F064A9" w:rsidP="00F064A9">
      <w:pPr>
        <w:rPr>
          <w:lang w:val="es-ES_tradnl"/>
        </w:rPr>
      </w:pPr>
      <w:r w:rsidRPr="003667EC">
        <w:rPr>
          <w:lang w:val="es-ES_tradnl"/>
        </w:rPr>
        <w:t>En respuesta a estas preguntas, la Junta llegó a las siguientes conclusiones:</w:t>
      </w:r>
    </w:p>
    <w:p w:rsidR="00F064A9" w:rsidRPr="003667EC" w:rsidRDefault="00F064A9" w:rsidP="00F064A9">
      <w:pPr>
        <w:pStyle w:val="enumlev1"/>
        <w:rPr>
          <w:color w:val="000000"/>
          <w:lang w:val="es-ES_tradnl"/>
        </w:rPr>
      </w:pPr>
      <w:r w:rsidRPr="003667EC">
        <w:rPr>
          <w:i/>
          <w:color w:val="000000"/>
          <w:lang w:val="es-ES_tradnl"/>
        </w:rPr>
        <w:t>a)</w:t>
      </w:r>
      <w:r w:rsidRPr="003667EC">
        <w:rPr>
          <w:color w:val="000000"/>
          <w:lang w:val="es-ES_tradnl"/>
        </w:rPr>
        <w:tab/>
        <w:t>En el caso de las asignaciones mundiales sin restricción explícita en una disposición, toda administración puede notificar cualquier posición orbital y cualquier zona de servicio de cualquier parte de la Tierra que sea visible desde la estación espacial.</w:t>
      </w:r>
    </w:p>
    <w:p w:rsidR="00F064A9" w:rsidRPr="003667EC" w:rsidRDefault="00F064A9" w:rsidP="00F064A9">
      <w:pPr>
        <w:pStyle w:val="enumlev1"/>
        <w:rPr>
          <w:color w:val="000000"/>
          <w:lang w:val="es-ES_tradnl"/>
        </w:rPr>
      </w:pPr>
      <w:r w:rsidRPr="003667EC">
        <w:rPr>
          <w:i/>
          <w:color w:val="000000"/>
          <w:lang w:val="es-ES_tradnl"/>
        </w:rPr>
        <w:t>b)</w:t>
      </w:r>
      <w:r w:rsidRPr="003667EC">
        <w:rPr>
          <w:color w:val="000000"/>
          <w:lang w:val="es-ES_tradnl"/>
        </w:rPr>
        <w:tab/>
        <w:t>Cuando se hace una atribución con restricciones territoriales tales como la de la utili</w:t>
      </w:r>
      <w:r w:rsidR="009A2F2C" w:rsidRPr="003667EC">
        <w:rPr>
          <w:color w:val="000000"/>
          <w:lang w:val="es-ES_tradnl"/>
        </w:rPr>
        <w:softHyphen/>
      </w:r>
      <w:r w:rsidRPr="003667EC">
        <w:rPr>
          <w:color w:val="000000"/>
          <w:lang w:val="es-ES_tradnl"/>
        </w:rPr>
        <w:t>zación nacional, la zona de servicio debe limitarse a dicho territorio.</w:t>
      </w:r>
    </w:p>
    <w:p w:rsidR="00F064A9" w:rsidRPr="003667EC" w:rsidRDefault="00F064A9" w:rsidP="007E3FFE">
      <w:pPr>
        <w:pStyle w:val="enumlev1"/>
        <w:rPr>
          <w:color w:val="000000"/>
          <w:lang w:val="es-ES_tradnl"/>
        </w:rPr>
      </w:pPr>
      <w:r w:rsidRPr="003667EC">
        <w:rPr>
          <w:i/>
          <w:color w:val="000000"/>
          <w:lang w:val="es-ES_tradnl"/>
        </w:rPr>
        <w:t>c)</w:t>
      </w:r>
      <w:r w:rsidRPr="003667EC">
        <w:rPr>
          <w:color w:val="000000"/>
          <w:lang w:val="es-ES_tradnl"/>
        </w:rPr>
        <w:tab/>
        <w:t>En el caso de una atribución regional en que los límites que separan las tres Regiones no se refieren a la órbita de los satélites geoestacionarios, no se toma en consideración la posición orbital al determinar si se respeta la atribución regional; sólo se utiliza la zona de servicio para formular una conclusión; y esta conclusión es favorable si la zona de servicio está situada totalmente en la Región a la que se hace la atribución, y será desfavorable en caso contrario. Cuando no figure restricción explícita alguna en una disposición, toda administración, perteneciente o no a la Región a la que se hace la atribución, puede notificar cualquier posición orbital y cualquier zona de servicio de la Región a la que se hace la atribución.</w:t>
      </w:r>
    </w:p>
    <w:p w:rsidR="008036F8" w:rsidRDefault="008036F8" w:rsidP="00141CA8">
      <w:pPr>
        <w:pStyle w:val="enumlev1"/>
        <w:rPr>
          <w:i/>
          <w:color w:val="000000"/>
          <w:lang w:val="es-ES_tradnl"/>
        </w:rPr>
      </w:pPr>
      <w:r>
        <w:rPr>
          <w:i/>
          <w:color w:val="000000"/>
          <w:lang w:val="es-ES_tradnl"/>
        </w:rPr>
        <w:br w:type="page"/>
      </w:r>
    </w:p>
    <w:p w:rsidR="00141CA8" w:rsidRPr="003667EC" w:rsidRDefault="00141CA8" w:rsidP="00141CA8">
      <w:pPr>
        <w:pStyle w:val="enumlev1"/>
        <w:rPr>
          <w:color w:val="000000"/>
          <w:lang w:val="es-ES_tradnl"/>
        </w:rPr>
      </w:pPr>
      <w:r w:rsidRPr="003667EC">
        <w:rPr>
          <w:i/>
          <w:color w:val="000000"/>
          <w:lang w:val="es-ES_tradnl"/>
        </w:rPr>
        <w:lastRenderedPageBreak/>
        <w:t>d)</w:t>
      </w:r>
      <w:r w:rsidRPr="003667EC">
        <w:rPr>
          <w:color w:val="000000"/>
          <w:lang w:val="es-ES_tradnl"/>
        </w:rPr>
        <w:tab/>
        <w:t xml:space="preserve">El </w:t>
      </w:r>
      <w:r w:rsidRPr="003667EC">
        <w:rPr>
          <w:i/>
          <w:color w:val="000000"/>
          <w:lang w:val="es-ES_tradnl"/>
        </w:rPr>
        <w:t>c)</w:t>
      </w:r>
      <w:r w:rsidRPr="003667EC">
        <w:rPr>
          <w:color w:val="000000"/>
          <w:lang w:val="es-ES_tradnl"/>
        </w:rPr>
        <w:t xml:space="preserve"> anterior se aplica igualmente a las atribuciones hechas a una subregión o a un país.</w:t>
      </w:r>
    </w:p>
    <w:p w:rsidR="00141CA8" w:rsidRPr="003667EC" w:rsidRDefault="00141CA8" w:rsidP="00E52D87">
      <w:pPr>
        <w:pStyle w:val="enumlev1"/>
        <w:rPr>
          <w:color w:val="000000"/>
          <w:lang w:val="es-ES_tradnl"/>
        </w:rPr>
      </w:pPr>
      <w:r w:rsidRPr="003667EC">
        <w:rPr>
          <w:i/>
          <w:color w:val="000000"/>
          <w:lang w:val="es-ES_tradnl"/>
        </w:rPr>
        <w:t>e)</w:t>
      </w:r>
      <w:r w:rsidRPr="003667EC">
        <w:rPr>
          <w:color w:val="000000"/>
          <w:lang w:val="es-ES_tradnl"/>
        </w:rPr>
        <w:tab/>
        <w:t xml:space="preserve">Como se indica en </w:t>
      </w:r>
      <w:r w:rsidRPr="003667EC">
        <w:rPr>
          <w:i/>
          <w:color w:val="000000"/>
          <w:lang w:val="es-ES_tradnl"/>
        </w:rPr>
        <w:t>c)</w:t>
      </w:r>
      <w:r w:rsidRPr="003667EC">
        <w:rPr>
          <w:color w:val="000000"/>
          <w:lang w:val="es-ES_tradnl"/>
        </w:rPr>
        <w:t xml:space="preserve"> y </w:t>
      </w:r>
      <w:r w:rsidRPr="003667EC">
        <w:rPr>
          <w:i/>
          <w:color w:val="000000"/>
          <w:lang w:val="es-ES_tradnl"/>
        </w:rPr>
        <w:t>d)</w:t>
      </w:r>
      <w:r w:rsidRPr="003667EC">
        <w:rPr>
          <w:color w:val="000000"/>
          <w:lang w:val="es-ES_tradnl"/>
        </w:rPr>
        <w:t xml:space="preserve"> anteriores, la zona de servicio notificada por una adminis</w:t>
      </w:r>
      <w:r w:rsidR="00437E8C" w:rsidRPr="003667EC">
        <w:rPr>
          <w:color w:val="000000"/>
          <w:lang w:val="es-ES_tradnl"/>
        </w:rPr>
        <w:softHyphen/>
      </w:r>
      <w:r w:rsidRPr="003667EC">
        <w:rPr>
          <w:color w:val="000000"/>
          <w:lang w:val="es-ES_tradnl"/>
        </w:rPr>
        <w:t>tración no es necesariamente el territorio de la administración notificante. Cuando la zona de servicio notificada abarca total o parcialmente el territorio de otra administración, se considera (a menos que indique lo contrario una administración que no lo acepte) que existe un acuerdo entre las administraciones interesadas. Si, a raíz de la publicación de</w:t>
      </w:r>
      <w:r w:rsidR="00E52D87">
        <w:rPr>
          <w:color w:val="000000"/>
          <w:lang w:val="es-ES_tradnl"/>
        </w:rPr>
        <w:t xml:space="preserve"> </w:t>
      </w:r>
      <w:r w:rsidRPr="003667EC">
        <w:rPr>
          <w:color w:val="000000"/>
          <w:lang w:val="es-ES_tradnl"/>
        </w:rPr>
        <w:t>una asignación en la BR IFIC, una administración reclama contra la zona de servicio notificada, la Oficina informa a la administración notificante de los comentarios recibidos y modifica la zona de servicio únicamente si la administración notificante se lo pide.</w:t>
      </w:r>
    </w:p>
    <w:p w:rsidR="00141CA8" w:rsidRPr="003667EC" w:rsidRDefault="00141CA8" w:rsidP="00141CA8">
      <w:pPr>
        <w:pStyle w:val="enumlev1"/>
        <w:rPr>
          <w:color w:val="000000"/>
          <w:lang w:val="es-ES_tradnl"/>
        </w:rPr>
      </w:pPr>
      <w:proofErr w:type="gramStart"/>
      <w:r w:rsidRPr="003667EC">
        <w:rPr>
          <w:i/>
          <w:color w:val="000000"/>
          <w:lang w:val="es-ES_tradnl"/>
        </w:rPr>
        <w:t>f</w:t>
      </w:r>
      <w:r w:rsidRPr="003667EC">
        <w:rPr>
          <w:rFonts w:ascii="Tms Rmn" w:hAnsi="Tms Rmn"/>
          <w:iCs/>
          <w:color w:val="000000"/>
          <w:sz w:val="12"/>
          <w:lang w:val="es-ES_tradnl"/>
        </w:rPr>
        <w:t> </w:t>
      </w:r>
      <w:r w:rsidRPr="003667EC">
        <w:rPr>
          <w:i/>
          <w:color w:val="000000"/>
          <w:lang w:val="es-ES_tradnl"/>
        </w:rPr>
        <w:t>)</w:t>
      </w:r>
      <w:proofErr w:type="gramEnd"/>
      <w:r w:rsidRPr="003667EC">
        <w:rPr>
          <w:color w:val="000000"/>
          <w:lang w:val="es-ES_tradnl"/>
        </w:rPr>
        <w:tab/>
        <w:t xml:space="preserve">La estación espacial tiene una «zona de cobertura» que generalmente comprende la «zona de servicio». Aunque el Artículo </w:t>
      </w:r>
      <w:r w:rsidRPr="003667EC">
        <w:rPr>
          <w:rStyle w:val="Artref"/>
          <w:b/>
          <w:color w:val="000000"/>
          <w:lang w:val="es-ES_tradnl"/>
        </w:rPr>
        <w:t>1</w:t>
      </w:r>
      <w:r w:rsidRPr="003667EC">
        <w:rPr>
          <w:color w:val="000000"/>
          <w:lang w:val="es-ES_tradnl"/>
        </w:rPr>
        <w:t xml:space="preserve"> no da una definición de estos términos, se pueden utilizar las definiciones que figuran en el Anexo 5 al Apéndice </w:t>
      </w:r>
      <w:r w:rsidRPr="003667EC">
        <w:rPr>
          <w:rStyle w:val="Appref"/>
          <w:b/>
          <w:color w:val="000000"/>
          <w:lang w:val="es-ES_tradnl"/>
        </w:rPr>
        <w:t>30</w:t>
      </w:r>
      <w:r w:rsidRPr="003667EC">
        <w:rPr>
          <w:color w:val="000000"/>
          <w:lang w:val="es-ES_tradnl"/>
        </w:rPr>
        <w:t xml:space="preserve">. En general, la zona de cobertura provoca una transmisión inevitable al territorio de otros países, y los comentarios formulados en </w:t>
      </w:r>
      <w:r w:rsidRPr="003667EC">
        <w:rPr>
          <w:i/>
          <w:color w:val="000000"/>
          <w:lang w:val="es-ES_tradnl"/>
        </w:rPr>
        <w:t>e)</w:t>
      </w:r>
      <w:r w:rsidRPr="003667EC">
        <w:rPr>
          <w:color w:val="000000"/>
          <w:lang w:val="es-ES_tradnl"/>
        </w:rPr>
        <w:t xml:space="preserve"> anterior no se aplican a dicha superposición.</w:t>
      </w:r>
    </w:p>
    <w:p w:rsidR="00141CA8" w:rsidRPr="003667EC" w:rsidRDefault="00141CA8" w:rsidP="00141CA8">
      <w:pPr>
        <w:rPr>
          <w:color w:val="000000"/>
          <w:lang w:val="es-ES_tradnl"/>
        </w:rPr>
      </w:pPr>
      <w:r w:rsidRPr="003667EC">
        <w:rPr>
          <w:color w:val="000000"/>
          <w:lang w:val="es-ES_tradnl"/>
        </w:rPr>
        <w:t>5.5</w:t>
      </w:r>
      <w:r w:rsidRPr="003667EC">
        <w:rPr>
          <w:color w:val="000000"/>
          <w:lang w:val="es-ES_tradnl"/>
        </w:rPr>
        <w:tab/>
      </w:r>
      <w:r w:rsidRPr="003667EC">
        <w:rPr>
          <w:i/>
          <w:color w:val="000000"/>
          <w:lang w:val="es-ES_tradnl"/>
        </w:rPr>
        <w:t>Categorías de atribución</w:t>
      </w:r>
      <w:r w:rsidRPr="003667EC">
        <w:rPr>
          <w:color w:val="000000"/>
          <w:lang w:val="es-ES_tradnl"/>
        </w:rPr>
        <w:t>: En el caso en que la anchura de banda asignada se superponga con dos bandas de frecuencias atribuidas al servicio en cuestión, con distintas categorías de atribución, la conclusión reglamentaria favorable vendrá acompañada de una indicación sobre la categoría derivada de la más baja de las dos categorías de atribución.</w:t>
      </w:r>
    </w:p>
    <w:p w:rsidR="00141CA8" w:rsidRPr="003667EC" w:rsidRDefault="00141CA8" w:rsidP="00437E8C">
      <w:pPr>
        <w:rPr>
          <w:color w:val="000000"/>
          <w:lang w:val="es-ES_tradnl"/>
        </w:rPr>
      </w:pPr>
      <w:r w:rsidRPr="003667EC">
        <w:rPr>
          <w:color w:val="000000"/>
          <w:lang w:val="es-ES_tradnl"/>
        </w:rPr>
        <w:t>5.6</w:t>
      </w:r>
      <w:r w:rsidRPr="003667EC">
        <w:rPr>
          <w:color w:val="000000"/>
          <w:lang w:val="es-ES_tradnl"/>
        </w:rPr>
        <w:tab/>
      </w:r>
      <w:r w:rsidRPr="003667EC">
        <w:rPr>
          <w:i/>
          <w:color w:val="000000"/>
          <w:lang w:val="es-ES_tradnl"/>
        </w:rPr>
        <w:t>Bandas de radiodifusión de la Zona Tropical</w:t>
      </w:r>
      <w:r w:rsidRPr="003667EC">
        <w:rPr>
          <w:color w:val="000000"/>
          <w:lang w:val="es-ES_tradnl"/>
        </w:rPr>
        <w:t>: Las bandas de frecuencia enume</w:t>
      </w:r>
      <w:r w:rsidRPr="003667EC">
        <w:rPr>
          <w:color w:val="000000"/>
          <w:lang w:val="es-ES_tradnl"/>
        </w:rPr>
        <w:softHyphen/>
        <w:t xml:space="preserve">radas en el número </w:t>
      </w:r>
      <w:r w:rsidRPr="003667EC">
        <w:rPr>
          <w:rStyle w:val="Artref"/>
          <w:b/>
          <w:color w:val="000000"/>
          <w:lang w:val="es-ES_tradnl"/>
        </w:rPr>
        <w:t>23.6</w:t>
      </w:r>
      <w:r w:rsidRPr="003667EC">
        <w:rPr>
          <w:color w:val="000000"/>
          <w:lang w:val="es-ES_tradnl"/>
        </w:rPr>
        <w:t xml:space="preserve"> están atribuidas con carácter compartido a la radiodifusión de la Zona Tropical y a los servicios fijo y móvil (véase también el número </w:t>
      </w:r>
      <w:r w:rsidRPr="003667EC">
        <w:rPr>
          <w:rStyle w:val="Artref"/>
          <w:b/>
          <w:color w:val="000000"/>
          <w:lang w:val="es-ES_tradnl"/>
        </w:rPr>
        <w:t>5.113</w:t>
      </w:r>
      <w:r w:rsidRPr="003667EC">
        <w:rPr>
          <w:color w:val="000000"/>
          <w:lang w:val="es-ES_tradnl"/>
        </w:rPr>
        <w:t>). En la Zona Tropical (números </w:t>
      </w:r>
      <w:r w:rsidRPr="003667EC">
        <w:rPr>
          <w:rStyle w:val="Artref"/>
          <w:b/>
          <w:color w:val="000000"/>
          <w:lang w:val="es-ES_tradnl"/>
        </w:rPr>
        <w:t xml:space="preserve">5.16 </w:t>
      </w:r>
      <w:r w:rsidRPr="003667EC">
        <w:rPr>
          <w:color w:val="000000"/>
          <w:lang w:val="es-ES_tradnl"/>
        </w:rPr>
        <w:t xml:space="preserve">a </w:t>
      </w:r>
      <w:r w:rsidRPr="003667EC">
        <w:rPr>
          <w:rStyle w:val="Artref"/>
          <w:b/>
          <w:color w:val="000000"/>
          <w:lang w:val="es-ES_tradnl"/>
        </w:rPr>
        <w:t>5.21</w:t>
      </w:r>
      <w:r w:rsidRPr="003667EC">
        <w:rPr>
          <w:color w:val="000000"/>
          <w:lang w:val="es-ES_tradnl"/>
        </w:rPr>
        <w:t>) el servicio de radiodifusión puede tener prioridad respecto a otros servicios en estas bandas de frecuencia y las asignaciones de frecuencia a servicios distintos del de radiodifusión se indican para que quede claro su situación inferior respecto a las asignaciones de frecuencia a estaciones del servicio de radiodifusión, en tanto que mantienen su condición respecto a las asignaciones distintas de la radiodifusión dentro y fuera de la Zona Tropical (símbolo V en la columna 13B2).</w:t>
      </w:r>
    </w:p>
    <w:p w:rsidR="00141CA8" w:rsidRPr="003667EC" w:rsidRDefault="00141CA8" w:rsidP="00141CA8">
      <w:pPr>
        <w:rPr>
          <w:color w:val="000000"/>
          <w:lang w:val="es-ES_tradnl"/>
        </w:rPr>
      </w:pPr>
      <w:r w:rsidRPr="003667EC">
        <w:rPr>
          <w:color w:val="000000"/>
          <w:lang w:val="es-ES_tradnl"/>
        </w:rPr>
        <w:t>6</w:t>
      </w:r>
      <w:r w:rsidRPr="003667EC">
        <w:rPr>
          <w:color w:val="000000"/>
          <w:lang w:val="es-ES_tradnl"/>
        </w:rPr>
        <w:tab/>
        <w:t xml:space="preserve">El examen conforme al número </w:t>
      </w:r>
      <w:r w:rsidRPr="003667EC">
        <w:rPr>
          <w:rStyle w:val="Artref"/>
          <w:b/>
          <w:color w:val="000000"/>
          <w:lang w:val="es-ES_tradnl"/>
        </w:rPr>
        <w:t>11.31</w:t>
      </w:r>
      <w:r w:rsidRPr="003667EC">
        <w:rPr>
          <w:color w:val="000000"/>
          <w:lang w:val="es-ES_tradnl"/>
        </w:rPr>
        <w:t xml:space="preserve"> relativo a la aplicación satisfactoria del número </w:t>
      </w:r>
      <w:r w:rsidRPr="003667EC">
        <w:rPr>
          <w:rStyle w:val="Artref"/>
          <w:b/>
          <w:bCs/>
          <w:color w:val="000000"/>
          <w:lang w:val="es-ES_tradnl"/>
        </w:rPr>
        <w:t>9.21</w:t>
      </w:r>
      <w:r w:rsidRPr="003667EC">
        <w:rPr>
          <w:color w:val="000000"/>
          <w:lang w:val="es-ES_tradnl"/>
        </w:rPr>
        <w:t xml:space="preserve"> se efectuará por tanto sobre la base de la información acerca del estado del acuerdo de coordinación de que disponga la Oficina en el procedimiento de notificación.</w:t>
      </w:r>
    </w:p>
    <w:p w:rsidR="00141CA8" w:rsidRDefault="00141CA8" w:rsidP="00141CA8">
      <w:pPr>
        <w:rPr>
          <w:color w:val="000000"/>
          <w:lang w:val="es-ES_tradnl"/>
        </w:rPr>
      </w:pPr>
      <w:r w:rsidRPr="003667EC">
        <w:rPr>
          <w:color w:val="000000"/>
          <w:lang w:val="es-ES_tradnl"/>
        </w:rPr>
        <w:t>7</w:t>
      </w:r>
      <w:r w:rsidRPr="003667EC">
        <w:rPr>
          <w:b/>
          <w:color w:val="000000"/>
          <w:lang w:val="es-ES_tradnl"/>
        </w:rPr>
        <w:tab/>
      </w:r>
      <w:r w:rsidRPr="003667EC">
        <w:rPr>
          <w:color w:val="000000"/>
          <w:lang w:val="es-ES_tradnl"/>
        </w:rPr>
        <w:t xml:space="preserve">El examen previsto en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puede dar lugar a ciertos casos en que los límites estipulados en dichos Artículos sean sobrepasados. Cuando se prevea un acuerdo de otras administraciones, la Oficina formulará una conclusión favorable (número </w:t>
      </w:r>
      <w:r w:rsidRPr="003667EC">
        <w:rPr>
          <w:rStyle w:val="Artref"/>
          <w:b/>
          <w:color w:val="000000"/>
          <w:lang w:val="es-ES_tradnl"/>
        </w:rPr>
        <w:t>11.31</w:t>
      </w:r>
      <w:r w:rsidRPr="003667EC">
        <w:rPr>
          <w:color w:val="000000"/>
          <w:lang w:val="es-ES_tradnl"/>
        </w:rPr>
        <w:t>) sola</w:t>
      </w:r>
      <w:r w:rsidR="009A2F2C" w:rsidRPr="003667EC">
        <w:rPr>
          <w:color w:val="000000"/>
          <w:lang w:val="es-ES_tradnl"/>
        </w:rPr>
        <w:softHyphen/>
      </w:r>
      <w:r w:rsidRPr="003667EC">
        <w:rPr>
          <w:color w:val="000000"/>
          <w:lang w:val="es-ES_tradnl"/>
        </w:rPr>
        <w:t>mente cuando se la informe de que existe tal acuerdo. La Oficina trata este acuerdo separa</w:t>
      </w:r>
      <w:r w:rsidR="009A2F2C" w:rsidRPr="003667EC">
        <w:rPr>
          <w:color w:val="000000"/>
          <w:lang w:val="es-ES_tradnl"/>
        </w:rPr>
        <w:softHyphen/>
      </w:r>
      <w:r w:rsidRPr="003667EC">
        <w:rPr>
          <w:color w:val="000000"/>
          <w:lang w:val="es-ES_tradnl"/>
        </w:rPr>
        <w:t>damente del acuerdo de coordinación.</w:t>
      </w:r>
    </w:p>
    <w:p w:rsidR="008036F8" w:rsidRDefault="008036F8" w:rsidP="00141CA8">
      <w:pPr>
        <w:rPr>
          <w:color w:val="000000"/>
          <w:lang w:val="es-ES_tradnl"/>
        </w:rPr>
      </w:pPr>
      <w:r>
        <w:rPr>
          <w:color w:val="000000"/>
          <w:lang w:val="es-ES_tradnl"/>
        </w:rPr>
        <w:br w:type="page"/>
      </w:r>
    </w:p>
    <w:p w:rsidR="00A60C28" w:rsidRPr="003667EC" w:rsidRDefault="00A60C28">
      <w:pPr>
        <w:pStyle w:val="Heading8"/>
        <w:rPr>
          <w:color w:val="000000"/>
          <w:lang w:val="es-ES_tradnl"/>
        </w:rPr>
      </w:pPr>
      <w:r w:rsidRPr="003667EC">
        <w:rPr>
          <w:color w:val="000000"/>
          <w:lang w:val="es-ES_tradnl"/>
        </w:rPr>
        <w:lastRenderedPageBreak/>
        <w:t>11.32</w:t>
      </w:r>
    </w:p>
    <w:p w:rsidR="00D72BCF" w:rsidRPr="003667EC" w:rsidRDefault="00D72BCF" w:rsidP="009C54F8">
      <w:pPr>
        <w:pStyle w:val="Heading1"/>
        <w:spacing w:before="360"/>
        <w:rPr>
          <w:color w:val="000000"/>
          <w:lang w:val="es-ES_tradnl"/>
        </w:rPr>
      </w:pPr>
      <w:r w:rsidRPr="003667EC">
        <w:rPr>
          <w:color w:val="000000"/>
          <w:lang w:val="es-ES_tradnl"/>
        </w:rPr>
        <w:t>1</w:t>
      </w:r>
      <w:r w:rsidRPr="003667EC">
        <w:rPr>
          <w:color w:val="000000"/>
          <w:lang w:val="es-ES_tradnl"/>
        </w:rPr>
        <w:tab/>
        <w:t>Examen de una asignación de frecuencia a una estación espacial</w:t>
      </w:r>
    </w:p>
    <w:p w:rsidR="00D72BCF" w:rsidRPr="003667EC" w:rsidRDefault="00D72BCF" w:rsidP="00D72BCF">
      <w:pPr>
        <w:rPr>
          <w:color w:val="000000"/>
          <w:lang w:val="es-ES_tradnl"/>
        </w:rPr>
      </w:pPr>
      <w:r w:rsidRPr="003667EC">
        <w:rPr>
          <w:color w:val="000000"/>
          <w:lang w:val="es-ES_tradnl"/>
        </w:rPr>
        <w:t xml:space="preserve">La aplicación literal de esta disposición conduciría al examen de la asignación notificada con cualquier estación identificada en aplicación del número </w:t>
      </w:r>
      <w:r w:rsidRPr="003667EC">
        <w:rPr>
          <w:rStyle w:val="Artref"/>
          <w:b/>
          <w:color w:val="000000"/>
          <w:lang w:val="es-ES_tradnl"/>
        </w:rPr>
        <w:t>9.27</w:t>
      </w:r>
      <w:r w:rsidRPr="003667EC">
        <w:rPr>
          <w:color w:val="000000"/>
          <w:lang w:val="es-ES_tradnl"/>
        </w:rPr>
        <w:t>, examen que, en su totalidad o en su mayor parte, se habría realizado ya durante la aplicación del procedimiento de coordi</w:t>
      </w:r>
      <w:r w:rsidR="009A2F2C" w:rsidRPr="003667EC">
        <w:rPr>
          <w:color w:val="000000"/>
          <w:lang w:val="es-ES_tradnl"/>
        </w:rPr>
        <w:softHyphen/>
      </w:r>
      <w:r w:rsidRPr="003667EC">
        <w:rPr>
          <w:color w:val="000000"/>
          <w:lang w:val="es-ES_tradnl"/>
        </w:rPr>
        <w:t>nación. La Junta adoptó un enfoque práctico que consiste en lo siguiente:</w:t>
      </w:r>
    </w:p>
    <w:p w:rsidR="00D70EFE" w:rsidRDefault="00D72BCF" w:rsidP="00D70EFE">
      <w:pPr>
        <w:pStyle w:val="enumlev1"/>
        <w:rPr>
          <w:color w:val="000000"/>
          <w:lang w:val="es-ES_tradnl"/>
        </w:rPr>
      </w:pPr>
      <w:r w:rsidRPr="003667EC">
        <w:rPr>
          <w:i/>
          <w:color w:val="000000"/>
          <w:lang w:val="es-ES_tradnl"/>
        </w:rPr>
        <w:t>a)</w:t>
      </w:r>
      <w:r w:rsidRPr="003667EC">
        <w:rPr>
          <w:color w:val="000000"/>
          <w:lang w:val="es-ES_tradnl"/>
        </w:rPr>
        <w:tab/>
        <w:t xml:space="preserve">Los cálculos con respecto a las redes de una administración que, según lo indicado en la notificación, ha dado su acuerdo para la coordinación (números </w:t>
      </w:r>
      <w:r w:rsidRPr="003667EC">
        <w:rPr>
          <w:rStyle w:val="Artref"/>
          <w:b/>
          <w:color w:val="000000"/>
          <w:lang w:val="es-ES_tradnl"/>
        </w:rPr>
        <w:t>9.7</w:t>
      </w:r>
      <w:r w:rsidRPr="003667EC">
        <w:rPr>
          <w:color w:val="000000"/>
          <w:lang w:val="es-ES_tradnl"/>
        </w:rPr>
        <w:t xml:space="preserve"> ó </w:t>
      </w:r>
      <w:r w:rsidRPr="003667EC">
        <w:rPr>
          <w:rStyle w:val="Artref"/>
          <w:b/>
          <w:color w:val="000000"/>
          <w:lang w:val="es-ES_tradnl"/>
        </w:rPr>
        <w:t>9.7B</w:t>
      </w:r>
      <w:r w:rsidRPr="003667EC">
        <w:rPr>
          <w:color w:val="000000"/>
          <w:lang w:val="es-ES_tradnl"/>
        </w:rPr>
        <w:t>) no se efectúan dando por supuesto que cualquier diferencia que pueda existir entre las carac</w:t>
      </w:r>
      <w:r w:rsidRPr="003667EC">
        <w:rPr>
          <w:color w:val="000000"/>
          <w:lang w:val="es-ES_tradnl"/>
        </w:rPr>
        <w:softHyphen/>
        <w:t>terísticas notificadas y las publicadas en la Sección especial correspondiente, de acuerdo con los números </w:t>
      </w:r>
      <w:r w:rsidRPr="003667EC">
        <w:rPr>
          <w:rStyle w:val="Artref"/>
          <w:b/>
          <w:color w:val="000000"/>
          <w:lang w:val="es-ES_tradnl"/>
        </w:rPr>
        <w:t>9.7</w:t>
      </w:r>
      <w:r w:rsidRPr="003667EC">
        <w:rPr>
          <w:color w:val="000000"/>
          <w:lang w:val="es-ES_tradnl"/>
        </w:rPr>
        <w:t xml:space="preserve"> ó </w:t>
      </w:r>
      <w:r w:rsidRPr="003667EC">
        <w:rPr>
          <w:rStyle w:val="Artref"/>
          <w:b/>
          <w:color w:val="000000"/>
          <w:lang w:val="es-ES_tradnl"/>
        </w:rPr>
        <w:t>9.7B</w:t>
      </w:r>
      <w:r w:rsidRPr="003667EC">
        <w:rPr>
          <w:color w:val="000000"/>
          <w:lang w:val="es-ES_tradnl"/>
        </w:rPr>
        <w:t xml:space="preserve"> esté coordinada con y sea aceptada por dicha administración.</w:t>
      </w:r>
    </w:p>
    <w:p w:rsidR="00D72BCF" w:rsidRPr="003667EC" w:rsidRDefault="00D72BCF" w:rsidP="00D70EFE">
      <w:pPr>
        <w:pStyle w:val="enumlev1"/>
        <w:rPr>
          <w:color w:val="000000"/>
          <w:lang w:val="es-ES_tradnl"/>
        </w:rPr>
      </w:pPr>
      <w:r w:rsidRPr="003667EC">
        <w:rPr>
          <w:i/>
          <w:lang w:val="es-ES_tradnl"/>
        </w:rPr>
        <w:t>b)</w:t>
      </w:r>
      <w:r w:rsidRPr="003667EC">
        <w:rPr>
          <w:lang w:val="es-ES_tradnl"/>
        </w:rPr>
        <w:tab/>
        <w:t>Si todas las administraciones identificadas en las Secciones especiales pertinentes antes mencionadas no están incluidas en las casillas A5/A6, sin una referencia al § 6 del Apéndice </w:t>
      </w:r>
      <w:r w:rsidRPr="003667EC">
        <w:rPr>
          <w:rStyle w:val="Appref"/>
          <w:b/>
          <w:color w:val="000000"/>
          <w:lang w:val="es-ES_tradnl"/>
        </w:rPr>
        <w:t>5</w:t>
      </w:r>
      <w:r w:rsidRPr="003667EC">
        <w:rPr>
          <w:lang w:val="es-ES_tradnl"/>
        </w:rPr>
        <w:t xml:space="preserve"> o al número </w:t>
      </w:r>
      <w:r w:rsidRPr="003667EC">
        <w:rPr>
          <w:rStyle w:val="Artref"/>
          <w:b/>
          <w:color w:val="000000"/>
          <w:lang w:val="es-ES_tradnl"/>
        </w:rPr>
        <w:t>11.32A</w:t>
      </w:r>
      <w:r w:rsidRPr="003667EC">
        <w:rPr>
          <w:lang w:val="es-ES_tradnl"/>
        </w:rPr>
        <w:t xml:space="preserve">, la notificación se devolverá a la administración con una </w:t>
      </w:r>
      <w:r w:rsidRPr="003667EC">
        <w:rPr>
          <w:color w:val="000000"/>
          <w:lang w:val="es-ES_tradnl"/>
        </w:rPr>
        <w:t xml:space="preserve">conclusión desfavorable con respecto al número </w:t>
      </w:r>
      <w:r w:rsidRPr="003667EC">
        <w:rPr>
          <w:rStyle w:val="Artref"/>
          <w:b/>
          <w:color w:val="000000"/>
          <w:lang w:val="es-ES_tradnl"/>
        </w:rPr>
        <w:t>11.32</w:t>
      </w:r>
      <w:r w:rsidRPr="003667EC">
        <w:rPr>
          <w:color w:val="000000"/>
          <w:lang w:val="es-ES_tradnl"/>
        </w:rPr>
        <w:t xml:space="preserve">. Por motivos prácticos, cuando se pronuncia una conclusión desfavorable con respecto al número </w:t>
      </w:r>
      <w:r w:rsidRPr="003667EC">
        <w:rPr>
          <w:rStyle w:val="Artref"/>
          <w:b/>
          <w:color w:val="000000"/>
          <w:lang w:val="es-ES_tradnl"/>
        </w:rPr>
        <w:t>11.32</w:t>
      </w:r>
      <w:r w:rsidRPr="003667EC">
        <w:rPr>
          <w:color w:val="000000"/>
          <w:lang w:val="es-ES_tradnl"/>
        </w:rPr>
        <w:t xml:space="preserve"> en esta etapa, el examen previsto en el número </w:t>
      </w:r>
      <w:r w:rsidRPr="003667EC">
        <w:rPr>
          <w:rStyle w:val="Artref"/>
          <w:b/>
          <w:color w:val="000000"/>
          <w:lang w:val="es-ES_tradnl"/>
        </w:rPr>
        <w:t>11.31</w:t>
      </w:r>
      <w:r w:rsidRPr="003667EC">
        <w:rPr>
          <w:color w:val="000000"/>
          <w:lang w:val="es-ES_tradnl"/>
        </w:rPr>
        <w:t xml:space="preserve"> no se lleva a cabo.</w:t>
      </w:r>
    </w:p>
    <w:p w:rsidR="00D72BCF" w:rsidRPr="003667EC" w:rsidRDefault="00D72BCF" w:rsidP="00D72BCF">
      <w:pPr>
        <w:pStyle w:val="enumlev1"/>
        <w:rPr>
          <w:color w:val="000000"/>
          <w:lang w:val="es-ES_tradnl"/>
        </w:rPr>
      </w:pPr>
      <w:r w:rsidRPr="003667EC">
        <w:rPr>
          <w:color w:val="000000"/>
          <w:lang w:val="es-ES_tradnl"/>
        </w:rPr>
        <w:tab/>
        <w:t>(Véase la Carta circular N.° 104 del 10 de agosto de 1998 y las Reglas de Procedimiento en aplicación del número </w:t>
      </w:r>
      <w:r w:rsidRPr="003667EC">
        <w:rPr>
          <w:rStyle w:val="Artref"/>
          <w:b/>
          <w:color w:val="000000"/>
          <w:lang w:val="es-ES_tradnl"/>
        </w:rPr>
        <w:t>9.52C</w:t>
      </w:r>
      <w:r w:rsidRPr="003667EC">
        <w:rPr>
          <w:color w:val="000000"/>
          <w:lang w:val="es-ES_tradnl"/>
        </w:rPr>
        <w:t>.)</w:t>
      </w:r>
    </w:p>
    <w:p w:rsidR="00D72BCF" w:rsidRPr="003667EC" w:rsidRDefault="00D72BCF" w:rsidP="00D72BCF">
      <w:pPr>
        <w:pStyle w:val="enumlev1"/>
        <w:rPr>
          <w:color w:val="000000"/>
          <w:lang w:val="es-ES_tradnl"/>
        </w:rPr>
      </w:pPr>
      <w:r w:rsidRPr="003667EC">
        <w:rPr>
          <w:i/>
          <w:color w:val="000000"/>
          <w:lang w:val="es-ES_tradnl"/>
        </w:rPr>
        <w:t>c)</w:t>
      </w:r>
      <w:r w:rsidRPr="003667EC">
        <w:rPr>
          <w:color w:val="000000"/>
          <w:lang w:val="es-ES_tradnl"/>
        </w:rPr>
        <w:tab/>
        <w:t>Con el fin de determinar las otras administraciones que pudieran resultar afectadas, se comparan las características notificadas con las publicadas en las Secciones especiales mencionadas anteriormente, y si son idénticas, o están cubiertas por las publicadas en esas Secciones especiales se utiliza el resultado de los cálculos/exámenes ya realizados para esas Secciones especiales.</w:t>
      </w:r>
    </w:p>
    <w:p w:rsidR="00D72BCF" w:rsidRPr="003667EC" w:rsidRDefault="00D72BCF" w:rsidP="00D72BCF">
      <w:pPr>
        <w:pStyle w:val="enumlev1"/>
        <w:rPr>
          <w:color w:val="000000"/>
          <w:lang w:val="es-ES_tradnl"/>
        </w:rPr>
      </w:pPr>
      <w:r w:rsidRPr="003667EC">
        <w:rPr>
          <w:i/>
          <w:color w:val="000000"/>
          <w:lang w:val="es-ES_tradnl"/>
        </w:rPr>
        <w:t>d)</w:t>
      </w:r>
      <w:r w:rsidRPr="003667EC">
        <w:rPr>
          <w:color w:val="000000"/>
          <w:lang w:val="es-ES_tradnl"/>
        </w:rPr>
        <w:tab/>
        <w:t xml:space="preserve">Si las características notificadas son diferentes de las publicadas, los cálculos serán hechos teniendo como base los del Apéndice </w:t>
      </w:r>
      <w:r w:rsidRPr="003667EC">
        <w:rPr>
          <w:rStyle w:val="Appref"/>
          <w:b/>
          <w:color w:val="000000"/>
          <w:lang w:val="es-ES_tradnl"/>
        </w:rPr>
        <w:t>5</w:t>
      </w:r>
      <w:r w:rsidRPr="003667EC">
        <w:rPr>
          <w:color w:val="000000"/>
          <w:lang w:val="es-ES_tradnl"/>
        </w:rPr>
        <w:t xml:space="preserve"> y si se identifican administraciones adicionales (distintas de las citadas en la casilla A5/A6 de las correspondientes Secciones especiales) que debido a las características modificadas reciban o causen más inter</w:t>
      </w:r>
      <w:r w:rsidRPr="003667EC">
        <w:rPr>
          <w:color w:val="000000"/>
          <w:lang w:val="es-ES_tradnl"/>
        </w:rPr>
        <w:softHyphen/>
        <w:t>ferencia que la que recibían o causaban anteriormente, se formulará una conclusión desfavorable y la notificación será devuelta a la administración notificante. Se ruega a la administración notificante que publique una modificación a la Sección especial en cuestión y que inicie una coordinación con la administración identificada en esa Sección especial modificada. Si no se identifica ninguna administración adicional que reciba o cause más interferencia debido a las características modificadas que aquella que recibía o causaba anteriormente, se formulará una conclusión favorable. Véanse también las Reglas de Procedimiento relativas al número </w:t>
      </w:r>
      <w:r w:rsidRPr="003667EC">
        <w:rPr>
          <w:rStyle w:val="Artref"/>
          <w:b/>
          <w:color w:val="000000"/>
          <w:lang w:val="es-ES_tradnl"/>
        </w:rPr>
        <w:t>9.27</w:t>
      </w:r>
      <w:r w:rsidRPr="003667EC">
        <w:rPr>
          <w:color w:val="000000"/>
          <w:lang w:val="es-ES_tradnl"/>
        </w:rPr>
        <w:t>.</w:t>
      </w:r>
    </w:p>
    <w:p w:rsidR="008036F8" w:rsidRDefault="008036F8" w:rsidP="008036F8">
      <w:pPr>
        <w:rPr>
          <w:lang w:val="es-ES_tradnl"/>
        </w:rPr>
      </w:pPr>
      <w:r>
        <w:rPr>
          <w:lang w:val="es-ES_tradnl"/>
        </w:rPr>
        <w:br w:type="page"/>
      </w:r>
    </w:p>
    <w:p w:rsidR="00A60C28" w:rsidRPr="003667EC" w:rsidRDefault="00A60C28" w:rsidP="00B76760">
      <w:pPr>
        <w:pStyle w:val="Heading1"/>
        <w:spacing w:line="280" w:lineRule="exact"/>
        <w:rPr>
          <w:color w:val="000000"/>
          <w:lang w:val="es-ES_tradnl"/>
        </w:rPr>
      </w:pPr>
      <w:r w:rsidRPr="003667EC">
        <w:rPr>
          <w:color w:val="000000"/>
          <w:lang w:val="es-ES_tradnl"/>
        </w:rPr>
        <w:lastRenderedPageBreak/>
        <w:t>2</w:t>
      </w:r>
      <w:r w:rsidRPr="003667EC">
        <w:rPr>
          <w:color w:val="000000"/>
          <w:lang w:val="es-ES_tradnl"/>
        </w:rPr>
        <w:tab/>
        <w:t>Examen de la asignación de frecuencia a una estación terrena respecto a la aplicación de los números </w:t>
      </w:r>
      <w:r w:rsidRPr="003667EC">
        <w:rPr>
          <w:rStyle w:val="Artref"/>
          <w:color w:val="000000"/>
          <w:lang w:val="es-ES_tradnl"/>
        </w:rPr>
        <w:t>9.7</w:t>
      </w:r>
      <w:r w:rsidRPr="003667EC">
        <w:rPr>
          <w:color w:val="000000"/>
          <w:lang w:val="es-ES_tradnl"/>
        </w:rPr>
        <w:t xml:space="preserve">, </w:t>
      </w:r>
      <w:r w:rsidRPr="003667EC">
        <w:rPr>
          <w:rStyle w:val="Artref"/>
          <w:color w:val="000000"/>
          <w:lang w:val="es-ES_tradnl"/>
        </w:rPr>
        <w:t>9.12, 9.12A</w:t>
      </w:r>
      <w:r w:rsidRPr="003667EC">
        <w:rPr>
          <w:color w:val="000000"/>
          <w:lang w:val="es-ES_tradnl"/>
        </w:rPr>
        <w:t xml:space="preserve"> y </w:t>
      </w:r>
      <w:r w:rsidRPr="003667EC">
        <w:rPr>
          <w:rStyle w:val="Artref"/>
          <w:color w:val="000000"/>
          <w:lang w:val="es-ES_tradnl"/>
        </w:rPr>
        <w:t>9.13</w:t>
      </w:r>
    </w:p>
    <w:p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 xml:space="preserve">Este examen normalmente conllevaría la aplicación del Cuadro </w:t>
      </w:r>
      <w:r w:rsidRPr="003667EC">
        <w:rPr>
          <w:lang w:val="es-ES_tradnl"/>
        </w:rPr>
        <w:t>5-1</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con respecto a la coordinación de red espacial a red espacial a cada asignación de frecuencia de cada estación terrena, la comparación de los resultados así obtenidos con los valores correspondientes a las estaciones terrenas ya publicadas o notificadas y la identificación de las administraciones afectadas.</w:t>
      </w:r>
    </w:p>
    <w:p w:rsidR="00A60C28" w:rsidRDefault="00A60C28">
      <w:pPr>
        <w:pStyle w:val="enumlev1"/>
        <w:rPr>
          <w:color w:val="000000"/>
          <w:lang w:val="es-ES_tradnl"/>
        </w:rPr>
      </w:pPr>
      <w:r w:rsidRPr="003667EC">
        <w:rPr>
          <w:i/>
          <w:color w:val="000000"/>
          <w:lang w:val="es-ES_tradnl"/>
        </w:rPr>
        <w:t>b)</w:t>
      </w:r>
      <w:r w:rsidRPr="003667EC">
        <w:rPr>
          <w:color w:val="000000"/>
          <w:lang w:val="es-ES_tradnl"/>
        </w:rPr>
        <w:tab/>
        <w:t xml:space="preserve">Se observó que, en la práctica, al coordinar sus redes de satélite, las administraciones generalmente tienen en cuenta las estaciones terrenas, con independencia de que se hayan publicado sus características o no. La CAMR Orb-88 examinó la complejidad de los procedimientos de los antiguos Artículos 11 (ahora </w:t>
      </w:r>
      <w:r w:rsidRPr="003667EC">
        <w:rPr>
          <w:rStyle w:val="Artref"/>
          <w:b/>
          <w:color w:val="000000"/>
          <w:lang w:val="es-ES_tradnl"/>
        </w:rPr>
        <w:t>9</w:t>
      </w:r>
      <w:r w:rsidRPr="003667EC">
        <w:rPr>
          <w:color w:val="000000"/>
          <w:lang w:val="es-ES_tradnl"/>
        </w:rPr>
        <w:t xml:space="preserve">) y 13 (ahora </w:t>
      </w:r>
      <w:r w:rsidRPr="003667EC">
        <w:rPr>
          <w:rStyle w:val="Artref"/>
          <w:b/>
          <w:color w:val="000000"/>
          <w:lang w:val="es-ES_tradnl"/>
        </w:rPr>
        <w:t>11</w:t>
      </w:r>
      <w:r w:rsidRPr="003667EC">
        <w:rPr>
          <w:color w:val="000000"/>
          <w:lang w:val="es-ES_tradnl"/>
        </w:rPr>
        <w:t>), sobre todo en lo que respecta a su aplicación a las estaciones terrenas y optó por un procedimiento de coordinación de la red. Ante esta situación, la Junta decidió aplicar el procedimiento simplificado siguiente.</w:t>
      </w:r>
    </w:p>
    <w:p w:rsidR="00A60C28" w:rsidRPr="003667EC" w:rsidRDefault="00A60C28">
      <w:pPr>
        <w:pStyle w:val="Heading2"/>
        <w:rPr>
          <w:color w:val="000000"/>
          <w:lang w:val="es-ES_tradnl"/>
        </w:rPr>
      </w:pPr>
      <w:r w:rsidRPr="003667EC">
        <w:rPr>
          <w:color w:val="000000"/>
          <w:lang w:val="es-ES_tradnl"/>
        </w:rPr>
        <w:t>2.1</w:t>
      </w:r>
      <w:r w:rsidRPr="003667EC">
        <w:rPr>
          <w:color w:val="000000"/>
          <w:lang w:val="es-ES_tradnl"/>
        </w:rPr>
        <w:tab/>
        <w:t>Examen de una asignación a una estación terrena recibida por primera vez</w:t>
      </w:r>
    </w:p>
    <w:p w:rsidR="00A60C28" w:rsidRPr="003667EC" w:rsidRDefault="00A60C28">
      <w:pPr>
        <w:rPr>
          <w:color w:val="000000"/>
          <w:lang w:val="es-ES_tradnl"/>
        </w:rPr>
      </w:pPr>
      <w:r w:rsidRPr="003667EC">
        <w:rPr>
          <w:color w:val="000000"/>
          <w:lang w:val="es-ES_tradnl"/>
        </w:rPr>
        <w:t xml:space="preserve">El examen de las asignaciones de frecuencia a estaciones terrenas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 llevará a cabo verificando el estado de las asigna</w:t>
      </w:r>
      <w:r w:rsidR="00437E8C" w:rsidRPr="003667EC">
        <w:rPr>
          <w:color w:val="000000"/>
          <w:lang w:val="es-ES_tradnl"/>
        </w:rPr>
        <w:softHyphen/>
      </w:r>
      <w:r w:rsidRPr="003667EC">
        <w:rPr>
          <w:color w:val="000000"/>
          <w:lang w:val="es-ES_tradnl"/>
        </w:rPr>
        <w:t>ciones correspondientes a la estación espacial asociada (por ejemplo la red de satélites).</w:t>
      </w:r>
    </w:p>
    <w:p w:rsidR="00A60C28" w:rsidRPr="003667EC" w:rsidRDefault="00A60C28">
      <w:pPr>
        <w:pStyle w:val="Heading3"/>
        <w:rPr>
          <w:color w:val="000000"/>
          <w:lang w:val="es-ES_tradnl"/>
        </w:rPr>
      </w:pPr>
      <w:r w:rsidRPr="003667EC">
        <w:rPr>
          <w:color w:val="000000"/>
          <w:lang w:val="es-ES_tradnl"/>
        </w:rPr>
        <w:t>2.1.1</w:t>
      </w:r>
      <w:r w:rsidRPr="003667EC">
        <w:rPr>
          <w:color w:val="000000"/>
          <w:lang w:val="es-ES_tradnl"/>
        </w:rPr>
        <w:tab/>
        <w:t>Caso en que las asignaciones de la estación espacial están inscritas en el Registro</w:t>
      </w:r>
    </w:p>
    <w:p w:rsidR="00A60C28" w:rsidRPr="003667EC" w:rsidRDefault="00A60C28" w:rsidP="00285A0D">
      <w:pPr>
        <w:pStyle w:val="enumlev1"/>
        <w:rPr>
          <w:color w:val="000000"/>
          <w:lang w:val="es-ES_tradnl"/>
        </w:rPr>
      </w:pPr>
      <w:r w:rsidRPr="003667EC">
        <w:rPr>
          <w:i/>
          <w:color w:val="000000"/>
          <w:lang w:val="es-ES_tradnl"/>
        </w:rPr>
        <w:t>a)</w:t>
      </w:r>
      <w:r w:rsidRPr="003667EC">
        <w:rPr>
          <w:color w:val="000000"/>
          <w:lang w:val="es-ES_tradnl"/>
        </w:rPr>
        <w:tab/>
        <w:t>En el caso de una estación espacial inscrita con una conclusión favorable según el número </w:t>
      </w:r>
      <w:r w:rsidRPr="003667EC">
        <w:rPr>
          <w:rStyle w:val="Artref"/>
          <w:b/>
          <w:color w:val="000000"/>
          <w:lang w:val="es-ES_tradnl"/>
        </w:rPr>
        <w:t>11.32</w:t>
      </w:r>
      <w:r w:rsidRPr="003667EC">
        <w:rPr>
          <w:color w:val="000000"/>
          <w:lang w:val="es-ES_tradnl"/>
        </w:rPr>
        <w:t xml:space="preserve"> (coordinado satisfactoriamente o que no requiera coordinación), se supondrá que la asignación a la estación terrena asociada ha sido coordinada y se formu</w:t>
      </w:r>
      <w:r w:rsidRPr="003667EC">
        <w:rPr>
          <w:color w:val="000000"/>
          <w:lang w:val="es-ES_tradnl"/>
        </w:rPr>
        <w:softHyphen/>
        <w:t>lará una conclusión favorable según el número </w:t>
      </w:r>
      <w:r w:rsidRPr="003667EC">
        <w:rPr>
          <w:rStyle w:val="Artref"/>
          <w:b/>
          <w:color w:val="000000"/>
          <w:lang w:val="es-ES_tradnl"/>
        </w:rPr>
        <w:t>11.32</w:t>
      </w:r>
      <w:r w:rsidRPr="003667EC">
        <w:rPr>
          <w:color w:val="000000"/>
          <w:lang w:val="es-ES_tradnl"/>
        </w:rPr>
        <w:t>, añadiendo la indicación siguiente en la casilla A5/A6 de la Parte II-S de la BR</w:t>
      </w:r>
      <w:r w:rsidR="00437E8C" w:rsidRPr="003667EC">
        <w:rPr>
          <w:color w:val="000000"/>
          <w:lang w:val="es-ES_tradnl"/>
        </w:rPr>
        <w:t> </w:t>
      </w:r>
      <w:r w:rsidRPr="003667EC">
        <w:rPr>
          <w:color w:val="000000"/>
          <w:lang w:val="es-ES_tradnl"/>
        </w:rPr>
        <w:t>IFIC:</w:t>
      </w:r>
    </w:p>
    <w:p w:rsidR="00A60C28" w:rsidRPr="003667EC" w:rsidRDefault="00A60C28">
      <w:pPr>
        <w:pStyle w:val="enumlev2"/>
        <w:rPr>
          <w:color w:val="000000"/>
          <w:lang w:val="es-ES_tradnl"/>
        </w:rPr>
      </w:pPr>
      <w:r w:rsidRPr="003667EC">
        <w:rPr>
          <w:color w:val="000000"/>
          <w:lang w:val="es-ES_tradnl"/>
        </w:rPr>
        <w:t>–</w:t>
      </w:r>
      <w:r w:rsidRPr="003667EC">
        <w:rPr>
          <w:color w:val="000000"/>
          <w:lang w:val="es-ES_tradnl"/>
        </w:rPr>
        <w:tab/>
        <w:t>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(véase el Prefacio) seguida de los nombres de las administraciones que figuran en la casilla A5/A6 con el símbolo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de la estación espacial asociada (si no se cita ninguna administración a consecuencia de la aplicación del § 6 del Apéndice </w:t>
      </w:r>
      <w:r w:rsidRPr="003667EC">
        <w:rPr>
          <w:rStyle w:val="Appref"/>
          <w:b/>
          <w:color w:val="000000"/>
          <w:lang w:val="es-ES_tradnl"/>
        </w:rPr>
        <w:t>5</w:t>
      </w:r>
      <w:r w:rsidRPr="003667EC">
        <w:rPr>
          <w:color w:val="000000"/>
          <w:lang w:val="es-ES_tradnl"/>
        </w:rPr>
        <w:t>, sólo podrán indicarse 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y</w:t>
      </w:r>
    </w:p>
    <w:p w:rsidR="00A60C28" w:rsidRPr="003667EC" w:rsidRDefault="00A60C28">
      <w:pPr>
        <w:pStyle w:val="enumlev2"/>
        <w:rPr>
          <w:color w:val="000000"/>
          <w:lang w:val="es-ES_tradnl"/>
        </w:rPr>
      </w:pPr>
      <w:r w:rsidRPr="003667EC">
        <w:rPr>
          <w:color w:val="000000"/>
          <w:lang w:val="es-ES_tradnl"/>
        </w:rPr>
        <w:t>–</w:t>
      </w:r>
      <w:r w:rsidRPr="003667EC">
        <w:rPr>
          <w:color w:val="000000"/>
          <w:lang w:val="es-ES_tradnl"/>
        </w:rPr>
        <w:tab/>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seguida de los nombres de las administraciones indicadas en el formulario de notificación de la estación terrena, si procede.</w:t>
      </w:r>
    </w:p>
    <w:p w:rsidR="008036F8" w:rsidRDefault="008036F8">
      <w:pPr>
        <w:pStyle w:val="enumlev1"/>
        <w:rPr>
          <w:i/>
          <w:color w:val="000000"/>
          <w:lang w:val="es-ES_tradnl"/>
        </w:rPr>
      </w:pPr>
      <w:r>
        <w:rPr>
          <w:i/>
          <w:color w:val="000000"/>
          <w:lang w:val="es-ES_tradnl"/>
        </w:rPr>
        <w:br w:type="page"/>
      </w:r>
    </w:p>
    <w:p w:rsidR="00A60C28" w:rsidRPr="003667EC" w:rsidRDefault="00A60C28">
      <w:pPr>
        <w:pStyle w:val="enumlev1"/>
        <w:rPr>
          <w:color w:val="000000"/>
          <w:lang w:val="es-ES_tradnl"/>
        </w:rPr>
      </w:pPr>
      <w:r w:rsidRPr="003667EC">
        <w:rPr>
          <w:i/>
          <w:color w:val="000000"/>
          <w:lang w:val="es-ES_tradnl"/>
        </w:rPr>
        <w:lastRenderedPageBreak/>
        <w:t>b)</w:t>
      </w:r>
      <w:r w:rsidRPr="003667EC">
        <w:rPr>
          <w:color w:val="000000"/>
          <w:lang w:val="es-ES_tradnl"/>
        </w:rPr>
        <w:tab/>
        <w:t xml:space="preserve">Si, tras la publicación de dicha asignación a una estación terrena en la Parte II de la BR IFIC, cualquier administración se opone a las medidas adoptadas por la Oficina que se describen en </w:t>
      </w:r>
      <w:r w:rsidRPr="003667EC">
        <w:rPr>
          <w:i/>
          <w:color w:val="000000"/>
          <w:lang w:val="es-ES_tradnl"/>
        </w:rPr>
        <w:t>a)</w:t>
      </w:r>
      <w:r w:rsidRPr="003667EC">
        <w:rPr>
          <w:color w:val="000000"/>
          <w:lang w:val="es-ES_tradnl"/>
        </w:rPr>
        <w:t xml:space="preserve">, la Oficina examinará la asignación registrada de la estación terrena con respecto a lo indicado en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aplicando el criterio y método descritos en el Apéndice </w:t>
      </w:r>
      <w:r w:rsidRPr="003667EC">
        <w:rPr>
          <w:rStyle w:val="Appref"/>
          <w:b/>
          <w:color w:val="000000"/>
          <w:lang w:val="es-ES_tradnl"/>
        </w:rPr>
        <w:t>5</w:t>
      </w:r>
      <w:r w:rsidRPr="003667EC">
        <w:rPr>
          <w:color w:val="000000"/>
          <w:lang w:val="es-ES_tradnl"/>
        </w:rPr>
        <w:t>. Una vez efectuado este examen, la Oficina revisará o mantendrá la conclusión a la que inicialmente haya llegado sobre la asignación en cuestión y, en cualquier caso, comunicará sus conclusiones a la admi</w:t>
      </w:r>
      <w:r w:rsidRPr="003667EC">
        <w:rPr>
          <w:color w:val="000000"/>
          <w:lang w:val="es-ES_tradnl"/>
        </w:rPr>
        <w:softHyphen/>
        <w:t>nistración que se hubiera opuesto al registro.</w:t>
      </w:r>
    </w:p>
    <w:p w:rsidR="00A60C28" w:rsidRPr="003667EC" w:rsidRDefault="00A60C28" w:rsidP="00437E8C">
      <w:pPr>
        <w:pStyle w:val="enumlev1"/>
        <w:rPr>
          <w:color w:val="000000"/>
          <w:lang w:val="es-ES_tradnl"/>
        </w:rPr>
      </w:pPr>
      <w:r w:rsidRPr="003667EC">
        <w:rPr>
          <w:i/>
          <w:color w:val="000000"/>
          <w:lang w:val="es-ES_tradnl"/>
        </w:rPr>
        <w:t>c)</w:t>
      </w:r>
      <w:r w:rsidRPr="003667EC">
        <w:rPr>
          <w:color w:val="000000"/>
          <w:lang w:val="es-ES_tradnl"/>
        </w:rPr>
        <w:tab/>
        <w:t>El enfoque de</w:t>
      </w:r>
      <w:r w:rsidR="00437E8C" w:rsidRPr="003667EC">
        <w:rPr>
          <w:color w:val="000000"/>
          <w:lang w:val="es-ES_tradnl"/>
        </w:rPr>
        <w:t xml:space="preserve"> </w:t>
      </w:r>
      <w:r w:rsidRPr="003667EC">
        <w:rPr>
          <w:i/>
          <w:color w:val="000000"/>
          <w:lang w:val="es-ES_tradnl"/>
        </w:rPr>
        <w:t>a)</w:t>
      </w:r>
      <w:r w:rsidRPr="003667EC">
        <w:rPr>
          <w:color w:val="000000"/>
          <w:lang w:val="es-ES_tradnl"/>
        </w:rPr>
        <w:t xml:space="preserve"> y </w:t>
      </w:r>
      <w:r w:rsidRPr="003667EC">
        <w:rPr>
          <w:i/>
          <w:color w:val="000000"/>
          <w:lang w:val="es-ES_tradnl"/>
        </w:rPr>
        <w:t>b)</w:t>
      </w:r>
      <w:r w:rsidRPr="003667EC">
        <w:rPr>
          <w:color w:val="000000"/>
          <w:lang w:val="es-ES_tradnl"/>
        </w:rPr>
        <w:t xml:space="preserve"> anteriores se amplió al caso de una estación espacial inscrita con conclusión favorable según el número </w:t>
      </w:r>
      <w:r w:rsidRPr="003667EC">
        <w:rPr>
          <w:rStyle w:val="Artref"/>
          <w:b/>
          <w:color w:val="000000"/>
          <w:lang w:val="es-ES_tradnl"/>
        </w:rPr>
        <w:t>11.32A</w:t>
      </w:r>
      <w:r w:rsidRPr="003667EC">
        <w:rPr>
          <w:color w:val="000000"/>
          <w:lang w:val="es-ES_tradnl"/>
        </w:rPr>
        <w:t xml:space="preserve"> (examen de la probabilidad de la inter</w:t>
      </w:r>
      <w:r w:rsidRPr="003667EC">
        <w:rPr>
          <w:color w:val="000000"/>
          <w:lang w:val="es-ES_tradnl"/>
        </w:rPr>
        <w:softHyphen/>
        <w:t>ferencia perjudicial). La asignación de la estación terrena asociada obtendrá una conclusión favorable según el número</w:t>
      </w:r>
      <w:r w:rsidR="00437E8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con respecto de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con las indicaciones adecuadas en la casilla A5/A6, tal como se indicó en </w:t>
      </w:r>
      <w:r w:rsidRPr="003667EC">
        <w:rPr>
          <w:i/>
          <w:color w:val="000000"/>
          <w:lang w:val="es-ES_tradnl"/>
        </w:rPr>
        <w:t>a)</w:t>
      </w:r>
      <w:r w:rsidRPr="003667EC">
        <w:rPr>
          <w:color w:val="000000"/>
          <w:lang w:val="es-ES_tradnl"/>
        </w:rPr>
        <w:t xml:space="preserve"> anterior.</w:t>
      </w:r>
    </w:p>
    <w:p w:rsidR="00A60C28" w:rsidRDefault="00A60C28" w:rsidP="00437E8C">
      <w:pPr>
        <w:pStyle w:val="enumlev1"/>
        <w:rPr>
          <w:rFonts w:eastAsia="SimSun"/>
          <w:lang w:val="es-ES_tradnl" w:eastAsia="zh-CN"/>
        </w:rPr>
      </w:pPr>
      <w:r w:rsidRPr="003667EC">
        <w:rPr>
          <w:rFonts w:eastAsia="SimSun"/>
          <w:i/>
          <w:lang w:val="es-ES_tradnl" w:eastAsia="zh-CN"/>
        </w:rPr>
        <w:t>d)</w:t>
      </w:r>
      <w:r w:rsidRPr="003667EC">
        <w:rPr>
          <w:rFonts w:eastAsia="SimSun"/>
          <w:lang w:val="es-ES_tradnl" w:eastAsia="zh-CN"/>
        </w:rPr>
        <w:tab/>
        <w:t xml:space="preserve">El enfoque de </w:t>
      </w:r>
      <w:r w:rsidRPr="003667EC">
        <w:rPr>
          <w:rFonts w:eastAsia="SimSun"/>
          <w:i/>
          <w:lang w:val="es-ES_tradnl" w:eastAsia="zh-CN"/>
        </w:rPr>
        <w:t xml:space="preserve">a) </w:t>
      </w:r>
      <w:r w:rsidRPr="003667EC">
        <w:rPr>
          <w:rFonts w:eastAsia="SimSun"/>
          <w:lang w:val="es-ES_tradnl" w:eastAsia="zh-CN"/>
        </w:rPr>
        <w:t xml:space="preserve">y </w:t>
      </w:r>
      <w:r w:rsidRPr="003667EC">
        <w:rPr>
          <w:rFonts w:eastAsia="SimSun"/>
          <w:i/>
          <w:lang w:val="es-ES_tradnl" w:eastAsia="zh-CN"/>
        </w:rPr>
        <w:t>b)</w:t>
      </w:r>
      <w:r w:rsidRPr="003667EC">
        <w:rPr>
          <w:rFonts w:eastAsia="SimSun"/>
          <w:lang w:val="es-ES_tradnl" w:eastAsia="zh-CN"/>
        </w:rPr>
        <w:t xml:space="preserve"> anteriores también se aplicó al caso de una estación espacial inscrita con arreglo al número </w:t>
      </w:r>
      <w:r w:rsidRPr="003667EC">
        <w:rPr>
          <w:rFonts w:eastAsia="SimSun"/>
          <w:b/>
          <w:lang w:val="es-ES_tradnl" w:eastAsia="zh-CN"/>
        </w:rPr>
        <w:t>11.41</w:t>
      </w:r>
      <w:r w:rsidRPr="003667EC">
        <w:rPr>
          <w:rFonts w:eastAsia="SimSun"/>
          <w:lang w:val="es-ES_tradnl" w:eastAsia="zh-CN"/>
        </w:rPr>
        <w:t xml:space="preserve"> (conclusiones desfavorables con arreglo al número </w:t>
      </w:r>
      <w:r w:rsidRPr="003667EC">
        <w:rPr>
          <w:rFonts w:eastAsia="SimSun"/>
          <w:b/>
          <w:lang w:val="es-ES_tradnl" w:eastAsia="zh-CN"/>
        </w:rPr>
        <w:t>11.32A</w:t>
      </w:r>
      <w:r w:rsidRPr="003667EC">
        <w:rPr>
          <w:rFonts w:eastAsia="SimSun"/>
          <w:lang w:val="es-ES_tradnl" w:eastAsia="zh-CN"/>
        </w:rPr>
        <w:t xml:space="preserve">). La asignación de la estación terrena obtendrá una conclusión favorable según el número </w:t>
      </w:r>
      <w:r w:rsidRPr="003667EC">
        <w:rPr>
          <w:rFonts w:eastAsia="SimSun"/>
          <w:b/>
          <w:lang w:val="es-ES_tradnl" w:eastAsia="zh-CN"/>
        </w:rPr>
        <w:t>11.32</w:t>
      </w:r>
      <w:r w:rsidRPr="003667EC">
        <w:rPr>
          <w:rFonts w:eastAsia="SimSun"/>
          <w:lang w:val="es-ES_tradnl" w:eastAsia="zh-CN"/>
        </w:rPr>
        <w:t xml:space="preserve"> con respecto a la aplicación de los números </w:t>
      </w:r>
      <w:r w:rsidRPr="003667EC">
        <w:rPr>
          <w:rFonts w:eastAsia="SimSun"/>
          <w:b/>
          <w:lang w:val="es-ES_tradnl" w:eastAsia="zh-CN"/>
        </w:rPr>
        <w:t>9.7, 9.12, 9.12A</w:t>
      </w:r>
      <w:r w:rsidRPr="003667EC">
        <w:rPr>
          <w:rFonts w:eastAsia="SimSun"/>
          <w:lang w:val="es-ES_tradnl" w:eastAsia="zh-CN"/>
        </w:rPr>
        <w:t xml:space="preserve"> y </w:t>
      </w:r>
      <w:r w:rsidRPr="003667EC">
        <w:rPr>
          <w:rFonts w:eastAsia="SimSun"/>
          <w:b/>
          <w:lang w:val="es-ES_tradnl" w:eastAsia="zh-CN"/>
        </w:rPr>
        <w:t>9.13</w:t>
      </w:r>
      <w:r w:rsidRPr="003667EC">
        <w:rPr>
          <w:rFonts w:eastAsia="SimSun"/>
          <w:lang w:val="es-ES_tradnl" w:eastAsia="zh-CN"/>
        </w:rPr>
        <w:t xml:space="preserve"> con las indicaciones adecuadas en la Casilla A5/A6, como se indicó en </w:t>
      </w:r>
      <w:r w:rsidRPr="003667EC">
        <w:rPr>
          <w:rFonts w:eastAsia="SimSun"/>
          <w:i/>
          <w:lang w:val="es-ES_tradnl" w:eastAsia="zh-CN"/>
        </w:rPr>
        <w:t>a)</w:t>
      </w:r>
      <w:r w:rsidRPr="003667EC">
        <w:rPr>
          <w:rFonts w:eastAsia="SimSun"/>
          <w:lang w:val="es-ES_tradnl" w:eastAsia="zh-CN"/>
        </w:rPr>
        <w:t xml:space="preserve"> anterior, y Z/</w:t>
      </w:r>
      <w:r w:rsidRPr="003667EC">
        <w:rPr>
          <w:rFonts w:eastAsia="SimSun"/>
          <w:b/>
          <w:bCs/>
          <w:lang w:val="es-ES_tradnl" w:eastAsia="zh-CN"/>
        </w:rPr>
        <w:t>11.41</w:t>
      </w:r>
      <w:r w:rsidRPr="003667EC">
        <w:rPr>
          <w:rFonts w:eastAsia="SimSun"/>
          <w:lang w:val="es-ES_tradnl" w:eastAsia="zh-CN"/>
        </w:rPr>
        <w:t xml:space="preserve"> seguida de los nombres de las administraciones pertinentes que aparecen en la Casilla A5/A6 de la estación espacial asociada bajo el símbolo </w:t>
      </w:r>
      <w:r w:rsidRPr="003667EC">
        <w:rPr>
          <w:rFonts w:eastAsia="SimSun"/>
          <w:b/>
          <w:bCs/>
          <w:lang w:val="es-ES_tradnl" w:eastAsia="zh-CN"/>
        </w:rPr>
        <w:t>11.41</w:t>
      </w:r>
      <w:r w:rsidRPr="003667EC">
        <w:rPr>
          <w:rFonts w:eastAsia="SimSun"/>
          <w:lang w:val="es-ES_tradnl" w:eastAsia="zh-CN"/>
        </w:rPr>
        <w:t>.</w:t>
      </w:r>
    </w:p>
    <w:p w:rsidR="00A60C28" w:rsidRPr="003667EC" w:rsidRDefault="00A60C28" w:rsidP="003667EC">
      <w:pPr>
        <w:pStyle w:val="enumlev1"/>
        <w:rPr>
          <w:color w:val="000000"/>
          <w:lang w:val="es-ES_tradnl"/>
        </w:rPr>
      </w:pPr>
      <w:r w:rsidRPr="003667EC">
        <w:rPr>
          <w:i/>
          <w:color w:val="000000"/>
          <w:lang w:val="es-ES_tradnl"/>
        </w:rPr>
        <w:t>e)</w:t>
      </w:r>
      <w:r w:rsidRPr="003667EC">
        <w:rPr>
          <w:color w:val="000000"/>
          <w:lang w:val="es-ES_tradnl"/>
        </w:rPr>
        <w:tab/>
        <w:t xml:space="preserve">En el caso de una estación espacial asociada inscrita con una conclusión desfavorable según el número </w:t>
      </w:r>
      <w:r w:rsidRPr="003667EC">
        <w:rPr>
          <w:rStyle w:val="Artref"/>
          <w:b/>
          <w:color w:val="000000"/>
          <w:lang w:val="es-ES_tradnl"/>
        </w:rPr>
        <w:t>11.36</w:t>
      </w:r>
      <w:r w:rsidRPr="003667EC">
        <w:rPr>
          <w:color w:val="000000"/>
          <w:lang w:val="es-ES_tradnl"/>
        </w:rPr>
        <w:t xml:space="preserve"> (funcionamiento conforme al número </w:t>
      </w:r>
      <w:r w:rsidRPr="003667EC">
        <w:rPr>
          <w:rStyle w:val="Artref"/>
          <w:b/>
          <w:color w:val="000000"/>
          <w:lang w:val="es-ES_tradnl"/>
        </w:rPr>
        <w:t>4.4</w:t>
      </w:r>
      <w:r w:rsidRPr="003667EC">
        <w:rPr>
          <w:color w:val="000000"/>
          <w:lang w:val="es-ES_tradnl"/>
        </w:rPr>
        <w:t xml:space="preserve">), se formulará para la estación terrena una conclusión reglamentaria (número </w:t>
      </w:r>
      <w:r w:rsidRPr="003667EC">
        <w:rPr>
          <w:rStyle w:val="Artref"/>
          <w:b/>
          <w:color w:val="000000"/>
          <w:lang w:val="es-ES_tradnl"/>
        </w:rPr>
        <w:t>11.31</w:t>
      </w:r>
      <w:r w:rsidRPr="003667EC">
        <w:rPr>
          <w:color w:val="000000"/>
          <w:lang w:val="es-ES_tradnl"/>
        </w:rPr>
        <w:t>) y, si procede, una conclusión de conformidad de coordinación con independencia de la conclusión regla</w:t>
      </w:r>
      <w:r w:rsidRPr="003667EC">
        <w:rPr>
          <w:color w:val="000000"/>
          <w:lang w:val="es-ES_tradnl"/>
        </w:rPr>
        <w:softHyphen/>
        <w:t>mentaria desfavorable de la estación espacial. No obstante, la conclusión de conformidad de coordinación afectará únicamente a su conformidad con el procedimiento de coordi</w:t>
      </w:r>
      <w:r w:rsidRPr="003667EC">
        <w:rPr>
          <w:color w:val="000000"/>
          <w:lang w:val="es-ES_tradnl"/>
        </w:rPr>
        <w:softHyphen/>
        <w:t xml:space="preserve">nación de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w:t>
      </w:r>
      <w:r w:rsidRPr="003667EC">
        <w:rPr>
          <w:rStyle w:val="Artref"/>
          <w:b/>
          <w:color w:val="000000"/>
          <w:lang w:val="es-ES_tradnl"/>
        </w:rPr>
        <w:t>9.17A</w:t>
      </w:r>
      <w:r w:rsidRPr="003667EC">
        <w:rPr>
          <w:color w:val="000000"/>
          <w:lang w:val="es-ES_tradnl"/>
        </w:rPr>
        <w:t xml:space="preserve"> y </w:t>
      </w:r>
      <w:r w:rsidRPr="003667EC">
        <w:rPr>
          <w:rStyle w:val="Artref"/>
          <w:b/>
          <w:color w:val="000000"/>
          <w:lang w:val="es-ES_tradnl"/>
        </w:rPr>
        <w:t>9.19</w:t>
      </w:r>
      <w:r w:rsidRPr="003667EC">
        <w:rPr>
          <w:color w:val="000000"/>
          <w:lang w:val="es-ES_tradnl"/>
        </w:rPr>
        <w:t>. En el momento de la inscripción, se añadirá a la asignación un símbolo descriptivo de la situación a fin de indicar que la estación terrena tiene un estatuto únicamente respecto a la coordinación con los servicios terrenales y respecto a las estaciones terrenas que funcionan en el sentido opuesto de la transmisión; y que no tiene reconocimiento en el contexto de la coordinación de red espacial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w:t>
      </w:r>
    </w:p>
    <w:p w:rsidR="00A60C28" w:rsidRPr="003667EC" w:rsidRDefault="00A60C28">
      <w:pPr>
        <w:pStyle w:val="Heading3"/>
        <w:rPr>
          <w:color w:val="000000"/>
          <w:lang w:val="es-ES_tradnl"/>
        </w:rPr>
      </w:pPr>
      <w:r w:rsidRPr="003667EC">
        <w:rPr>
          <w:color w:val="000000"/>
          <w:lang w:val="es-ES_tradnl"/>
        </w:rPr>
        <w:t>2.1.2</w:t>
      </w:r>
      <w:r w:rsidRPr="003667EC">
        <w:rPr>
          <w:color w:val="000000"/>
          <w:lang w:val="es-ES_tradnl"/>
        </w:rPr>
        <w:tab/>
        <w:t>Caso en que las asignaciones de la estación espacial no están inscritas en el Registro</w:t>
      </w:r>
    </w:p>
    <w:p w:rsidR="00A60C28" w:rsidRPr="003667EC" w:rsidRDefault="00A60C28">
      <w:pPr>
        <w:rPr>
          <w:color w:val="000000"/>
          <w:lang w:val="es-ES_tradnl"/>
        </w:rPr>
      </w:pPr>
      <w:r w:rsidRPr="003667EC">
        <w:rPr>
          <w:color w:val="000000"/>
          <w:lang w:val="es-ES_tradnl"/>
        </w:rPr>
        <w:t>Esta categoría puede incluir los casos siguientes:</w:t>
      </w:r>
    </w:p>
    <w:p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estación espacial para la que es aplicable el procedimiento de la Sección II del Artículo </w:t>
      </w:r>
      <w:r w:rsidRPr="003667EC">
        <w:rPr>
          <w:rStyle w:val="Artref"/>
          <w:b/>
          <w:color w:val="000000"/>
          <w:lang w:val="es-ES_tradnl"/>
        </w:rPr>
        <w:t>9</w:t>
      </w:r>
      <w:r w:rsidRPr="003667EC">
        <w:rPr>
          <w:color w:val="000000"/>
          <w:lang w:val="es-ES_tradnl"/>
        </w:rPr>
        <w:t xml:space="preserve"> y no se ha comunicado aún a la Oficina según los números </w:t>
      </w:r>
      <w:r w:rsidRPr="003667EC">
        <w:rPr>
          <w:rStyle w:val="Artref"/>
          <w:b/>
          <w:color w:val="000000"/>
          <w:lang w:val="es-ES_tradnl"/>
        </w:rPr>
        <w:t>9.30</w:t>
      </w:r>
      <w:r w:rsidRPr="003667EC">
        <w:rPr>
          <w:color w:val="000000"/>
          <w:lang w:val="es-ES_tradnl"/>
        </w:rPr>
        <w:t xml:space="preserve"> y </w:t>
      </w:r>
      <w:r w:rsidRPr="003667EC">
        <w:rPr>
          <w:rStyle w:val="Artref"/>
          <w:b/>
          <w:color w:val="000000"/>
          <w:lang w:val="es-ES_tradnl"/>
        </w:rPr>
        <w:t>9.32</w:t>
      </w:r>
      <w:r w:rsidRPr="003667EC">
        <w:rPr>
          <w:color w:val="000000"/>
          <w:lang w:val="es-ES_tradnl"/>
        </w:rPr>
        <w:t>;</w:t>
      </w:r>
    </w:p>
    <w:p w:rsidR="00F01943" w:rsidRDefault="00F01943">
      <w:pPr>
        <w:pStyle w:val="enumlev1"/>
        <w:rPr>
          <w:i/>
          <w:color w:val="000000"/>
          <w:lang w:val="es-ES_tradnl"/>
        </w:rPr>
      </w:pPr>
      <w:r>
        <w:rPr>
          <w:i/>
          <w:color w:val="000000"/>
          <w:lang w:val="es-ES_tradnl"/>
        </w:rPr>
        <w:br w:type="page"/>
      </w:r>
    </w:p>
    <w:p w:rsidR="00A60C28" w:rsidRPr="003667EC" w:rsidRDefault="00A60C28">
      <w:pPr>
        <w:pStyle w:val="enumlev1"/>
        <w:rPr>
          <w:color w:val="000000"/>
          <w:lang w:val="es-ES_tradnl"/>
        </w:rPr>
      </w:pPr>
      <w:r w:rsidRPr="003667EC">
        <w:rPr>
          <w:i/>
          <w:color w:val="000000"/>
          <w:lang w:val="es-ES_tradnl"/>
        </w:rPr>
        <w:lastRenderedPageBreak/>
        <w:t>b)</w:t>
      </w:r>
      <w:r w:rsidRPr="003667EC">
        <w:rPr>
          <w:color w:val="000000"/>
          <w:lang w:val="es-ES_tradnl"/>
        </w:rPr>
        <w:tab/>
        <w:t>estación espacial que está en proceso de coordinación (no se ha completado aún el proce</w:t>
      </w:r>
      <w:r w:rsidRPr="003667EC">
        <w:rPr>
          <w:color w:val="000000"/>
          <w:lang w:val="es-ES_tradnl"/>
        </w:rPr>
        <w:softHyphen/>
        <w:t>dimiento de coordinación y la estación espacial no está todavía identificada según el número </w:t>
      </w:r>
      <w:r w:rsidRPr="003667EC">
        <w:rPr>
          <w:rStyle w:val="Artref"/>
          <w:b/>
          <w:color w:val="000000"/>
          <w:lang w:val="es-ES_tradnl"/>
        </w:rPr>
        <w:t>11.15</w:t>
      </w:r>
      <w:r w:rsidRPr="003667EC">
        <w:rPr>
          <w:color w:val="000000"/>
          <w:lang w:val="es-ES_tradnl"/>
        </w:rPr>
        <w:t>);</w:t>
      </w:r>
    </w:p>
    <w:p w:rsidR="00A60C28" w:rsidRPr="003667EC" w:rsidRDefault="00A60C28">
      <w:pPr>
        <w:pStyle w:val="enumlev1"/>
        <w:rPr>
          <w:color w:val="000000"/>
          <w:lang w:val="es-ES_tradnl"/>
        </w:rPr>
      </w:pPr>
      <w:r w:rsidRPr="003667EC">
        <w:rPr>
          <w:i/>
          <w:color w:val="000000"/>
          <w:lang w:val="es-ES_tradnl"/>
        </w:rPr>
        <w:t>c)</w:t>
      </w:r>
      <w:r w:rsidRPr="003667EC">
        <w:rPr>
          <w:color w:val="000000"/>
          <w:lang w:val="es-ES_tradnl"/>
        </w:rPr>
        <w:tab/>
        <w:t>estación espacial que ha completado satisfactoriamente el procedimiento del Artículo </w:t>
      </w:r>
      <w:r w:rsidRPr="003667EC">
        <w:rPr>
          <w:rStyle w:val="Artref"/>
          <w:b/>
          <w:color w:val="000000"/>
          <w:lang w:val="es-ES_tradnl"/>
        </w:rPr>
        <w:t>9</w:t>
      </w:r>
      <w:r w:rsidRPr="003667EC">
        <w:rPr>
          <w:color w:val="000000"/>
          <w:lang w:val="es-ES_tradnl"/>
        </w:rPr>
        <w:t>, pero que no ha sido aún notificada a la Oficina según el número </w:t>
      </w:r>
      <w:r w:rsidRPr="003667EC">
        <w:rPr>
          <w:rStyle w:val="Artref"/>
          <w:b/>
          <w:color w:val="000000"/>
          <w:lang w:val="es-ES_tradnl"/>
        </w:rPr>
        <w:t>11.15</w:t>
      </w:r>
      <w:r w:rsidRPr="003667EC">
        <w:rPr>
          <w:color w:val="000000"/>
          <w:lang w:val="es-ES_tradnl"/>
        </w:rPr>
        <w:t>;</w:t>
      </w:r>
    </w:p>
    <w:p w:rsidR="00A60C28" w:rsidRPr="003667EC" w:rsidRDefault="00A60C28" w:rsidP="00285A0D">
      <w:pPr>
        <w:pStyle w:val="enumlev1"/>
        <w:rPr>
          <w:color w:val="000000"/>
          <w:lang w:val="es-ES_tradnl"/>
        </w:rPr>
      </w:pPr>
      <w:r w:rsidRPr="003667EC">
        <w:rPr>
          <w:i/>
          <w:color w:val="000000"/>
          <w:lang w:val="es-ES_tradnl"/>
        </w:rPr>
        <w:t>d)</w:t>
      </w:r>
      <w:r w:rsidRPr="003667EC">
        <w:rPr>
          <w:color w:val="000000"/>
          <w:lang w:val="es-ES_tradnl"/>
        </w:rPr>
        <w:tab/>
        <w:t xml:space="preserve">notificación de estación espacial enviada (número </w:t>
      </w:r>
      <w:r w:rsidRPr="003667EC">
        <w:rPr>
          <w:rStyle w:val="Artref"/>
          <w:b/>
          <w:color w:val="000000"/>
          <w:lang w:val="es-ES_tradnl"/>
        </w:rPr>
        <w:t>11.15</w:t>
      </w:r>
      <w:r w:rsidRPr="003667EC">
        <w:rPr>
          <w:color w:val="000000"/>
          <w:lang w:val="es-ES_tradnl"/>
        </w:rPr>
        <w:t>) pero que se ha devuelto a la</w:t>
      </w:r>
      <w:r w:rsidR="003667EC" w:rsidRPr="003667EC">
        <w:rPr>
          <w:color w:val="000000"/>
          <w:lang w:val="es-ES_tradnl"/>
        </w:rPr>
        <w:t> </w:t>
      </w:r>
      <w:r w:rsidRPr="003667EC">
        <w:rPr>
          <w:color w:val="000000"/>
          <w:lang w:val="es-ES_tradnl"/>
        </w:rPr>
        <w:t xml:space="preserve">administración con una conclusión desfavorable según los números </w:t>
      </w:r>
      <w:r w:rsidRPr="003667EC">
        <w:rPr>
          <w:rStyle w:val="Artref"/>
          <w:b/>
          <w:color w:val="000000"/>
          <w:lang w:val="es-ES_tradnl"/>
        </w:rPr>
        <w:t>11.31</w:t>
      </w:r>
      <w:r w:rsidRPr="003667EC">
        <w:rPr>
          <w:color w:val="000000"/>
          <w:lang w:val="es-ES_tradnl"/>
        </w:rPr>
        <w:t xml:space="preserve"> u </w:t>
      </w:r>
      <w:r w:rsidRPr="003667EC">
        <w:rPr>
          <w:rStyle w:val="Artref"/>
          <w:b/>
          <w:color w:val="000000"/>
          <w:lang w:val="es-ES_tradnl"/>
        </w:rPr>
        <w:t>11.32</w:t>
      </w:r>
      <w:r w:rsidRPr="003667EC">
        <w:rPr>
          <w:color w:val="000000"/>
          <w:lang w:val="es-ES_tradnl"/>
        </w:rPr>
        <w:t xml:space="preserve"> y </w:t>
      </w:r>
      <w:r w:rsidRPr="003667EC">
        <w:rPr>
          <w:rStyle w:val="Artref"/>
          <w:b/>
          <w:color w:val="000000"/>
          <w:lang w:val="es-ES_tradnl"/>
        </w:rPr>
        <w:t>11.32A</w:t>
      </w:r>
      <w:r w:rsidRPr="003667EC">
        <w:rPr>
          <w:color w:val="000000"/>
          <w:lang w:val="es-ES_tradnl"/>
        </w:rPr>
        <w:t>; y</w:t>
      </w:r>
    </w:p>
    <w:p w:rsidR="00A60C28" w:rsidRPr="003667EC" w:rsidRDefault="00A60C28">
      <w:pPr>
        <w:pStyle w:val="enumlev1"/>
        <w:rPr>
          <w:color w:val="000000"/>
          <w:lang w:val="es-ES_tradnl"/>
        </w:rPr>
      </w:pPr>
      <w:r w:rsidRPr="003667EC">
        <w:rPr>
          <w:i/>
          <w:color w:val="000000"/>
          <w:lang w:val="es-ES_tradnl"/>
        </w:rPr>
        <w:t>e)</w:t>
      </w:r>
      <w:r w:rsidRPr="003667EC">
        <w:rPr>
          <w:color w:val="000000"/>
          <w:lang w:val="es-ES_tradnl"/>
        </w:rPr>
        <w:tab/>
        <w:t xml:space="preserve">estación espacial ya notificada (número </w:t>
      </w:r>
      <w:r w:rsidRPr="003667EC">
        <w:rPr>
          <w:rStyle w:val="Artref"/>
          <w:b/>
          <w:color w:val="000000"/>
          <w:lang w:val="es-ES_tradnl"/>
        </w:rPr>
        <w:t>11.15</w:t>
      </w:r>
      <w:r w:rsidRPr="003667EC">
        <w:rPr>
          <w:color w:val="000000"/>
          <w:lang w:val="es-ES_tradnl"/>
        </w:rPr>
        <w:t>) pero no inscrita aún (en curso de procesa</w:t>
      </w:r>
      <w:r w:rsidR="009A2F2C" w:rsidRPr="003667EC">
        <w:rPr>
          <w:color w:val="000000"/>
          <w:lang w:val="es-ES_tradnl"/>
        </w:rPr>
        <w:softHyphen/>
      </w:r>
      <w:r w:rsidRPr="003667EC">
        <w:rPr>
          <w:color w:val="000000"/>
          <w:lang w:val="es-ES_tradnl"/>
        </w:rPr>
        <w:t>miento por la Oficina).</w:t>
      </w:r>
    </w:p>
    <w:p w:rsidR="00A60C28" w:rsidRPr="003667EC" w:rsidRDefault="00A60C28" w:rsidP="007E3FFE">
      <w:pPr>
        <w:rPr>
          <w:color w:val="000000"/>
          <w:lang w:val="es-ES_tradnl"/>
        </w:rPr>
      </w:pPr>
      <w:r w:rsidRPr="003667EC">
        <w:rPr>
          <w:color w:val="000000"/>
          <w:lang w:val="es-ES_tradnl"/>
        </w:rPr>
        <w:t>2.1.2.1</w:t>
      </w:r>
      <w:r w:rsidRPr="003667EC">
        <w:rPr>
          <w:color w:val="000000"/>
          <w:lang w:val="es-ES_tradnl"/>
        </w:rPr>
        <w:tab/>
        <w:t xml:space="preserve">Partiendo del principio de que el elemento principal de una red espacial es la estación espacial y de que sería erróneo inscribir en el Registro estaciones terrenas para las que no se ha inscrito una estación espacial (red), la Junta decidió que no se podrá inscribir una estación terrena en el Registro antes de su estación espacial asociada. En consecuencia, las estaciones terrenas de las categorías de los § 2.1.2 </w:t>
      </w:r>
      <w:r w:rsidRPr="003667EC">
        <w:rPr>
          <w:i/>
          <w:color w:val="000000"/>
          <w:lang w:val="es-ES_tradnl"/>
        </w:rPr>
        <w:t>a)</w:t>
      </w:r>
      <w:r w:rsidRPr="003667EC">
        <w:rPr>
          <w:color w:val="000000"/>
          <w:lang w:val="es-ES_tradnl"/>
        </w:rPr>
        <w:t xml:space="preserve"> a </w:t>
      </w:r>
      <w:r w:rsidRPr="003667EC">
        <w:rPr>
          <w:i/>
          <w:color w:val="000000"/>
          <w:lang w:val="es-ES_tradnl"/>
        </w:rPr>
        <w:t>d)</w:t>
      </w:r>
      <w:r w:rsidRPr="003667EC">
        <w:rPr>
          <w:color w:val="000000"/>
          <w:lang w:val="es-ES_tradnl"/>
        </w:rPr>
        <w:t xml:space="preserve"> anteriores obtendrán una conclusión desfavorable según el número </w:t>
      </w:r>
      <w:r w:rsidRPr="003667EC">
        <w:rPr>
          <w:rStyle w:val="Artref"/>
          <w:b/>
          <w:color w:val="000000"/>
          <w:lang w:val="es-ES_tradnl"/>
        </w:rPr>
        <w:t>11.32</w:t>
      </w:r>
      <w:r w:rsidRPr="003667EC">
        <w:rPr>
          <w:color w:val="000000"/>
          <w:lang w:val="es-ES_tradnl"/>
        </w:rPr>
        <w:t>.</w:t>
      </w:r>
    </w:p>
    <w:p w:rsidR="00A60C28" w:rsidRDefault="00A60C28">
      <w:pPr>
        <w:rPr>
          <w:color w:val="000000"/>
          <w:lang w:val="es-ES_tradnl"/>
        </w:rPr>
      </w:pPr>
      <w:r w:rsidRPr="003667EC">
        <w:rPr>
          <w:color w:val="000000"/>
          <w:lang w:val="es-ES_tradnl"/>
        </w:rPr>
        <w:t>2.1.2.2</w:t>
      </w:r>
      <w:r w:rsidRPr="003667EC">
        <w:rPr>
          <w:b/>
          <w:color w:val="000000"/>
          <w:lang w:val="es-ES_tradnl"/>
        </w:rPr>
        <w:tab/>
      </w:r>
      <w:r w:rsidRPr="003667EC">
        <w:rPr>
          <w:color w:val="000000"/>
          <w:lang w:val="es-ES_tradnl"/>
        </w:rPr>
        <w:t xml:space="preserve">La Oficina procesará las notificaciones de estación terrena de la categoría del § 2.1.2 </w:t>
      </w:r>
      <w:r w:rsidRPr="003667EC">
        <w:rPr>
          <w:i/>
          <w:color w:val="000000"/>
          <w:lang w:val="es-ES_tradnl"/>
        </w:rPr>
        <w:t>e)</w:t>
      </w:r>
      <w:r w:rsidRPr="003667EC">
        <w:rPr>
          <w:color w:val="000000"/>
          <w:lang w:val="es-ES_tradnl"/>
        </w:rPr>
        <w:t xml:space="preserve"> anterior junto con las de la estación espacial asociada y la conclusión según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 otorgará conforme a la conclusión de la estación espacial o en aplicación de los § 2.1.1 </w:t>
      </w:r>
      <w:r w:rsidRPr="003667EC">
        <w:rPr>
          <w:i/>
          <w:color w:val="000000"/>
          <w:lang w:val="es-ES_tradnl"/>
        </w:rPr>
        <w:t>a)</w:t>
      </w:r>
      <w:r w:rsidRPr="003667EC">
        <w:rPr>
          <w:color w:val="000000"/>
          <w:lang w:val="es-ES_tradnl"/>
        </w:rPr>
        <w:t xml:space="preserve"> (conclusión favorable) o 2.1.2.1 (conclusión desfavorable).</w:t>
      </w:r>
    </w:p>
    <w:p w:rsidR="00A60C28" w:rsidRPr="003667EC" w:rsidRDefault="00A60C28" w:rsidP="007E3FFE">
      <w:pPr>
        <w:pStyle w:val="Heading3"/>
        <w:rPr>
          <w:color w:val="000000"/>
          <w:lang w:val="es-ES_tradnl"/>
        </w:rPr>
      </w:pPr>
      <w:r w:rsidRPr="003667EC">
        <w:rPr>
          <w:color w:val="000000"/>
          <w:lang w:val="es-ES_tradnl"/>
        </w:rPr>
        <w:t>2.1.3</w:t>
      </w:r>
      <w:r w:rsidRPr="003667EC">
        <w:rPr>
          <w:color w:val="000000"/>
          <w:lang w:val="es-ES_tradnl"/>
        </w:rPr>
        <w:tab/>
        <w:t>Estación terrena fuera de la zona de servicio de la estación espacial asociada</w:t>
      </w:r>
    </w:p>
    <w:p w:rsidR="00A60C28" w:rsidRPr="003667EC" w:rsidRDefault="00A60C28">
      <w:pPr>
        <w:rPr>
          <w:color w:val="000000"/>
          <w:lang w:val="es-ES_tradnl"/>
        </w:rPr>
      </w:pPr>
      <w:r w:rsidRPr="003667EC">
        <w:rPr>
          <w:color w:val="000000"/>
          <w:lang w:val="es-ES_tradnl"/>
        </w:rPr>
        <w:t xml:space="preserve">Las estaciones terrenas que están fuera de la zona de servicio de la estación espacial asociada, serán motivo de una conclusión desfavorable de acuerdo con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convenga, considerando que en la coordinación de la estación espacial asociada no se había podido tomar en cuenta la estación terrena fuera de la zona de servicio.</w:t>
      </w:r>
    </w:p>
    <w:p w:rsidR="00A60C28" w:rsidRPr="003667EC" w:rsidRDefault="00A60C28">
      <w:pPr>
        <w:pStyle w:val="Heading2"/>
        <w:rPr>
          <w:color w:val="000000"/>
          <w:lang w:val="es-ES_tradnl"/>
        </w:rPr>
      </w:pPr>
      <w:r w:rsidRPr="003667EC">
        <w:rPr>
          <w:color w:val="000000"/>
          <w:lang w:val="es-ES_tradnl"/>
        </w:rPr>
        <w:t>2.2</w:t>
      </w:r>
      <w:r w:rsidRPr="003667EC">
        <w:rPr>
          <w:color w:val="000000"/>
          <w:lang w:val="es-ES_tradnl"/>
        </w:rPr>
        <w:tab/>
        <w:t>Examen de una modificación de la asignación a una estación terrena inscrita en el Registro</w:t>
      </w:r>
    </w:p>
    <w:p w:rsidR="00A60C28" w:rsidRPr="003667EC" w:rsidRDefault="00A60C28">
      <w:pPr>
        <w:rPr>
          <w:color w:val="000000"/>
          <w:lang w:val="es-ES_tradnl"/>
        </w:rPr>
      </w:pPr>
      <w:r w:rsidRPr="003667EC">
        <w:rPr>
          <w:color w:val="000000"/>
          <w:lang w:val="es-ES_tradnl"/>
        </w:rPr>
        <w:t>La modificación de una asignación a una estación terrena puede afectar a:</w:t>
      </w:r>
    </w:p>
    <w:p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modificación de la posición orbital de la estación espacial asociada, o</w:t>
      </w:r>
    </w:p>
    <w:p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sustitución de la estación espacial asociada por otra, o</w:t>
      </w:r>
    </w:p>
    <w:p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modificación de otra u otras característica(s) cualesquiera.</w:t>
      </w:r>
    </w:p>
    <w:p w:rsidR="00F01943" w:rsidRDefault="00F01943" w:rsidP="00F01943">
      <w:pPr>
        <w:rPr>
          <w:lang w:val="es-ES_tradnl"/>
        </w:rPr>
      </w:pPr>
      <w:r>
        <w:rPr>
          <w:lang w:val="es-ES_tradnl"/>
        </w:rPr>
        <w:br w:type="page"/>
      </w:r>
    </w:p>
    <w:p w:rsidR="00A60C28" w:rsidRPr="003667EC" w:rsidRDefault="00A60C28">
      <w:pPr>
        <w:pStyle w:val="Heading3"/>
        <w:rPr>
          <w:color w:val="000000"/>
          <w:lang w:val="es-ES_tradnl"/>
        </w:rPr>
      </w:pPr>
      <w:r w:rsidRPr="003667EC">
        <w:rPr>
          <w:color w:val="000000"/>
          <w:lang w:val="es-ES_tradnl"/>
        </w:rPr>
        <w:lastRenderedPageBreak/>
        <w:t>2.2.1</w:t>
      </w:r>
      <w:r w:rsidRPr="003667EC">
        <w:rPr>
          <w:color w:val="000000"/>
          <w:lang w:val="es-ES_tradnl"/>
        </w:rPr>
        <w:tab/>
        <w:t>Modificación de la posición orbital de la estación espacial asociada</w:t>
      </w:r>
    </w:p>
    <w:p w:rsidR="00A60C28" w:rsidRPr="003667EC" w:rsidRDefault="00A60C28">
      <w:pPr>
        <w:rPr>
          <w:color w:val="000000"/>
          <w:lang w:val="es-ES_tradnl"/>
        </w:rPr>
      </w:pPr>
      <w:r w:rsidRPr="003667EC">
        <w:rPr>
          <w:color w:val="000000"/>
          <w:lang w:val="es-ES_tradnl"/>
        </w:rPr>
        <w:t>La modificación de la posición orbital de la estación espacial asociada puede afectar a otras redes de satélite y puede hacer que la administración responsable de la estación espacial reaplique el procedimiento de coordinación. La Oficina considera que las estaciones terrenas interesadas se tuvieron en cuenta en la coordinación de la modificación de la estación espacial asociada y, en consecuencia, aplicará las reglas indicadas en el § 2.1 anterior.</w:t>
      </w:r>
    </w:p>
    <w:p w:rsidR="00A60C28" w:rsidRPr="003667EC" w:rsidRDefault="00A60C28">
      <w:pPr>
        <w:pStyle w:val="Heading3"/>
        <w:rPr>
          <w:color w:val="000000"/>
          <w:lang w:val="es-ES_tradnl"/>
        </w:rPr>
      </w:pPr>
      <w:r w:rsidRPr="003667EC">
        <w:rPr>
          <w:color w:val="000000"/>
          <w:lang w:val="es-ES_tradnl"/>
        </w:rPr>
        <w:t>2.2.2</w:t>
      </w:r>
      <w:r w:rsidRPr="003667EC">
        <w:rPr>
          <w:color w:val="000000"/>
          <w:lang w:val="es-ES_tradnl"/>
        </w:rPr>
        <w:tab/>
        <w:t>Sustitución de la estación espacial asociada</w:t>
      </w:r>
    </w:p>
    <w:p w:rsidR="00A60C28" w:rsidRPr="003667EC" w:rsidRDefault="00A60C28">
      <w:pPr>
        <w:rPr>
          <w:color w:val="000000"/>
          <w:lang w:val="es-ES_tradnl"/>
        </w:rPr>
      </w:pPr>
      <w:r w:rsidRPr="003667EC">
        <w:rPr>
          <w:color w:val="000000"/>
          <w:lang w:val="es-ES_tradnl"/>
        </w:rPr>
        <w:t>La Junta estima que, como resultado de la sustitución de la estación espacial asociada, la estación terrena participa en una red diferente. En consecuencia, la notificación de la modifi</w:t>
      </w:r>
      <w:r w:rsidRPr="003667EC">
        <w:rPr>
          <w:color w:val="000000"/>
          <w:lang w:val="es-ES_tradnl"/>
        </w:rPr>
        <w:softHyphen/>
        <w:t>cación se considerará como una primera notificación, se modificará la notificación y se infor</w:t>
      </w:r>
      <w:r w:rsidRPr="003667EC">
        <w:rPr>
          <w:color w:val="000000"/>
          <w:lang w:val="es-ES_tradnl"/>
        </w:rPr>
        <w:softHyphen/>
        <w:t xml:space="preserve">mará a la administración de acuerdo con ello. El examen previsto en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según corresponda, se realizará como se indica en el § 2.1 anterior.</w:t>
      </w:r>
    </w:p>
    <w:p w:rsidR="00A60C28" w:rsidRPr="003667EC" w:rsidRDefault="00A60C28">
      <w:pPr>
        <w:pStyle w:val="Heading3"/>
        <w:rPr>
          <w:color w:val="000000"/>
          <w:lang w:val="es-ES_tradnl"/>
        </w:rPr>
      </w:pPr>
      <w:r w:rsidRPr="003667EC">
        <w:rPr>
          <w:color w:val="000000"/>
          <w:lang w:val="es-ES_tradnl"/>
        </w:rPr>
        <w:t>2.2.3</w:t>
      </w:r>
      <w:r w:rsidRPr="003667EC">
        <w:rPr>
          <w:color w:val="000000"/>
          <w:lang w:val="es-ES_tradnl"/>
        </w:rPr>
        <w:tab/>
        <w:t>Modificación de otras características</w:t>
      </w:r>
    </w:p>
    <w:p w:rsidR="00A60C28" w:rsidRPr="003667EC" w:rsidRDefault="00A60C28">
      <w:pPr>
        <w:rPr>
          <w:color w:val="000000"/>
          <w:lang w:val="es-ES_tradnl"/>
        </w:rPr>
      </w:pPr>
      <w:r w:rsidRPr="003667EC">
        <w:rPr>
          <w:color w:val="000000"/>
          <w:lang w:val="es-ES_tradnl"/>
        </w:rPr>
        <w:t>La Junta considera que las características modificadas de las estaciones terrenas interesadas se tuvieron en cuenta en la coordinación de la estación espacial asociada y, en consecuencia, aplicará las Reglas indicadas en el § 2.1 anterior.</w:t>
      </w:r>
    </w:p>
    <w:p w:rsidR="00A60C28" w:rsidRPr="003667EC" w:rsidRDefault="00A60C28">
      <w:pPr>
        <w:pStyle w:val="Heading2"/>
        <w:rPr>
          <w:color w:val="000000"/>
          <w:lang w:val="es-ES_tradnl"/>
        </w:rPr>
      </w:pPr>
      <w:r w:rsidRPr="003667EC">
        <w:rPr>
          <w:color w:val="000000"/>
          <w:lang w:val="es-ES_tradnl"/>
        </w:rPr>
        <w:t>2.3</w:t>
      </w:r>
      <w:r w:rsidRPr="003667EC">
        <w:rPr>
          <w:color w:val="000000"/>
          <w:lang w:val="es-ES_tradnl"/>
        </w:rPr>
        <w:tab/>
        <w:t>Anulación de la asignación de una estación espacial</w:t>
      </w:r>
    </w:p>
    <w:p w:rsidR="00A60C28" w:rsidRDefault="00A60C28">
      <w:pPr>
        <w:rPr>
          <w:color w:val="000000"/>
          <w:lang w:val="es-ES_tradnl"/>
        </w:rPr>
      </w:pPr>
      <w:r w:rsidRPr="003667EC">
        <w:rPr>
          <w:color w:val="000000"/>
          <w:lang w:val="es-ES_tradnl"/>
        </w:rPr>
        <w:t>Si la administración notificante anula la asignación a una estación espacial, la Oficina exami</w:t>
      </w:r>
      <w:r w:rsidRPr="003667EC">
        <w:rPr>
          <w:color w:val="000000"/>
          <w:lang w:val="es-ES_tradnl"/>
        </w:rPr>
        <w:softHyphen/>
        <w:t>nará la estación o estaciones terrenas asociadas a dicha estación espacial y, conforme al número </w:t>
      </w:r>
      <w:r w:rsidRPr="003667EC">
        <w:rPr>
          <w:rStyle w:val="Artref"/>
          <w:b/>
          <w:color w:val="000000"/>
          <w:lang w:val="es-ES_tradnl"/>
        </w:rPr>
        <w:t>13.13</w:t>
      </w:r>
      <w:r w:rsidRPr="003667EC">
        <w:rPr>
          <w:color w:val="000000"/>
          <w:lang w:val="es-ES_tradnl"/>
        </w:rPr>
        <w:t>, propondrá a la administración notificante anular o modificar convenientemente las características fundamentales de la anotación.</w:t>
      </w:r>
    </w:p>
    <w:p w:rsidR="00F01943" w:rsidRPr="003667EC" w:rsidRDefault="00F01943" w:rsidP="00F01943">
      <w:pPr>
        <w:pStyle w:val="Heading1"/>
        <w:keepNext w:val="0"/>
        <w:keepLines w:val="0"/>
        <w:spacing w:line="280" w:lineRule="exact"/>
        <w:rPr>
          <w:lang w:val="es-ES_tradnl"/>
        </w:rPr>
      </w:pPr>
      <w:r w:rsidRPr="003667EC">
        <w:rPr>
          <w:lang w:val="es-ES_tradnl"/>
        </w:rPr>
        <w:t>3</w:t>
      </w:r>
      <w:r w:rsidRPr="003667EC">
        <w:rPr>
          <w:lang w:val="es-ES_tradnl"/>
        </w:rPr>
        <w:tab/>
        <w:t>Examen de una asignación de frecuencia a una estación terrena con respecto a la aplicación de los números </w:t>
      </w:r>
      <w:r w:rsidRPr="003667EC">
        <w:rPr>
          <w:rStyle w:val="Artref"/>
          <w:color w:val="000000"/>
          <w:lang w:val="es-ES_tradnl"/>
        </w:rPr>
        <w:t>9.15</w:t>
      </w:r>
      <w:r w:rsidRPr="003667EC">
        <w:rPr>
          <w:lang w:val="es-ES_tradnl"/>
        </w:rPr>
        <w:t xml:space="preserve">, </w:t>
      </w:r>
      <w:r w:rsidRPr="003667EC">
        <w:rPr>
          <w:rStyle w:val="Artref"/>
          <w:color w:val="000000"/>
          <w:lang w:val="es-ES_tradnl"/>
        </w:rPr>
        <w:t>9.17</w:t>
      </w:r>
      <w:r w:rsidRPr="003667EC">
        <w:rPr>
          <w:lang w:val="es-ES_tradnl"/>
        </w:rPr>
        <w:t xml:space="preserve">, </w:t>
      </w:r>
      <w:r w:rsidRPr="003667EC">
        <w:rPr>
          <w:rStyle w:val="Artref"/>
          <w:color w:val="000000"/>
          <w:lang w:val="es-ES_tradnl"/>
        </w:rPr>
        <w:t xml:space="preserve">9.17A </w:t>
      </w:r>
      <w:r w:rsidRPr="003667EC">
        <w:rPr>
          <w:lang w:val="es-ES_tradnl"/>
        </w:rPr>
        <w:t>y </w:t>
      </w:r>
      <w:r w:rsidRPr="003667EC">
        <w:rPr>
          <w:rStyle w:val="Artref"/>
          <w:color w:val="000000"/>
          <w:lang w:val="es-ES_tradnl"/>
        </w:rPr>
        <w:t>9.19</w:t>
      </w:r>
    </w:p>
    <w:p w:rsidR="00F01943" w:rsidRPr="003667EC" w:rsidRDefault="00F01943" w:rsidP="00F01943">
      <w:pPr>
        <w:rPr>
          <w:color w:val="000000"/>
          <w:lang w:val="es-ES_tradnl"/>
        </w:rPr>
      </w:pPr>
      <w:r w:rsidRPr="003667EC">
        <w:rPr>
          <w:color w:val="000000"/>
          <w:lang w:val="es-ES_tradnl"/>
        </w:rPr>
        <w:t>Véanse los comentarios de las Reglas de Procedimiento correspondientes al número </w:t>
      </w:r>
      <w:r w:rsidRPr="003667EC">
        <w:rPr>
          <w:rStyle w:val="Artref"/>
          <w:b/>
          <w:color w:val="000000"/>
          <w:lang w:val="es-ES_tradnl"/>
        </w:rPr>
        <w:t>9.27</w:t>
      </w:r>
      <w:r w:rsidRPr="003667EC">
        <w:rPr>
          <w:color w:val="000000"/>
          <w:lang w:val="es-ES_tradnl"/>
        </w:rPr>
        <w:t xml:space="preserve"> (§ 3.1 y 3.2).</w:t>
      </w:r>
    </w:p>
    <w:p w:rsidR="00F01943" w:rsidRPr="003667EC" w:rsidRDefault="004C44AE" w:rsidP="00F01943">
      <w:pPr>
        <w:pStyle w:val="Heading1"/>
        <w:keepNext w:val="0"/>
        <w:keepLines w:val="0"/>
        <w:spacing w:line="280" w:lineRule="exact"/>
        <w:rPr>
          <w:color w:val="000000"/>
          <w:u w:val="single"/>
          <w:lang w:val="es-ES_tradnl"/>
        </w:rPr>
      </w:pPr>
      <w:r w:rsidRPr="003667EC">
        <w:rPr>
          <w:lang w:val="es-ES_tradnl"/>
        </w:rPr>
        <w:br w:type="page"/>
      </w:r>
    </w:p>
    <w:p w:rsidR="00A60C28" w:rsidRPr="003667EC" w:rsidRDefault="00A60C28" w:rsidP="00BF0573">
      <w:pPr>
        <w:pStyle w:val="Heading1"/>
        <w:spacing w:before="480" w:line="280" w:lineRule="exact"/>
        <w:rPr>
          <w:color w:val="000000"/>
          <w:lang w:val="es-ES_tradnl"/>
        </w:rPr>
      </w:pPr>
      <w:r w:rsidRPr="003667EC">
        <w:rPr>
          <w:color w:val="000000"/>
          <w:lang w:val="es-ES_tradnl"/>
        </w:rPr>
        <w:lastRenderedPageBreak/>
        <w:t>4</w:t>
      </w:r>
      <w:r w:rsidRPr="003667EC">
        <w:rPr>
          <w:color w:val="000000"/>
          <w:lang w:val="es-ES_tradnl"/>
        </w:rPr>
        <w:tab/>
        <w:t>Examen de las notificaciones de asignación de frecuencia a estaciones en los servicios terrenales en las bandas compartidas con igualdad de derechos con el servicio espacial</w:t>
      </w:r>
    </w:p>
    <w:p w:rsidR="00A60C28" w:rsidRPr="003667EC" w:rsidRDefault="00A60C28">
      <w:pPr>
        <w:rPr>
          <w:color w:val="000000"/>
          <w:lang w:val="es-ES_tradnl"/>
        </w:rPr>
      </w:pPr>
      <w:r w:rsidRPr="003667EC">
        <w:rPr>
          <w:color w:val="000000"/>
          <w:lang w:val="es-ES_tradnl"/>
        </w:rPr>
        <w:t>4.1</w:t>
      </w:r>
      <w:r w:rsidRPr="003667EC">
        <w:rPr>
          <w:color w:val="000000"/>
          <w:lang w:val="es-ES_tradnl"/>
        </w:rPr>
        <w:tab/>
        <w:t>En su examen de una notificación de asignación de frecuencia para una estación de un servicio terrenal, en las bandas compartidas con igualdad de derechos con servicios espaciales, desde el punto de vista de su conformidad con los procedimientos relativos a la coordinación respecto de las estaciones terrenas de otras administraciones, la Oficina toma en cuenta a las estaciones terrenas que están inscritas en el Registro. A estos efectos, la Oficina utiliza la zona de coordinación asociada a la correspondiente estación terrena y calculada según el método de cálculo y los parámetros que estén en vigor en el momento de la notifi</w:t>
      </w:r>
      <w:r w:rsidR="009A2F2C" w:rsidRPr="003667EC">
        <w:rPr>
          <w:color w:val="000000"/>
          <w:lang w:val="es-ES_tradnl"/>
        </w:rPr>
        <w:softHyphen/>
      </w:r>
      <w:r w:rsidRPr="003667EC">
        <w:rPr>
          <w:color w:val="000000"/>
          <w:lang w:val="es-ES_tradnl"/>
        </w:rPr>
        <w:t>cación de la estación terrena.</w:t>
      </w:r>
    </w:p>
    <w:p w:rsidR="00A60C28" w:rsidRPr="003667EC" w:rsidRDefault="00A60C28" w:rsidP="00BF0573">
      <w:pPr>
        <w:spacing w:before="120"/>
        <w:rPr>
          <w:color w:val="000000"/>
          <w:lang w:val="es-ES_tradnl"/>
        </w:rPr>
      </w:pPr>
      <w:r w:rsidRPr="003667EC">
        <w:rPr>
          <w:color w:val="000000"/>
          <w:lang w:val="es-ES_tradnl"/>
        </w:rPr>
        <w:t>Si, dentro del periodo de tres años siguientes a la fecha de notificación</w:t>
      </w:r>
      <w:r w:rsidRPr="003667EC">
        <w:rPr>
          <w:rStyle w:val="FootnoteReference"/>
          <w:color w:val="000000"/>
          <w:sz w:val="20"/>
          <w:lang w:val="es-ES_tradnl"/>
        </w:rPr>
        <w:footnoteReference w:customMarkFollows="1" w:id="9"/>
        <w:t>9</w:t>
      </w:r>
      <w:r w:rsidRPr="003667EC">
        <w:rPr>
          <w:color w:val="000000"/>
          <w:lang w:val="es-ES_tradnl"/>
        </w:rPr>
        <w:t xml:space="preserve"> de la estación terrenal,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estación(es)</w:t>
      </w:r>
      <w:r w:rsidR="005164F3" w:rsidRPr="003667EC">
        <w:rPr>
          <w:color w:val="000000"/>
          <w:lang w:val="es-ES_tradnl"/>
        </w:rPr>
        <w:t xml:space="preserve"> </w:t>
      </w:r>
      <w:r w:rsidRPr="003667EC">
        <w:rPr>
          <w:color w:val="000000"/>
          <w:lang w:val="es-ES_tradnl"/>
        </w:rPr>
        <w:t xml:space="preserve">terrena(s) en virtud de los números </w:t>
      </w:r>
      <w:r w:rsidRPr="003667EC">
        <w:rPr>
          <w:rStyle w:val="Artref"/>
          <w:b/>
          <w:color w:val="000000"/>
          <w:lang w:val="es-ES_tradnl"/>
        </w:rPr>
        <w:t>9.15</w:t>
      </w:r>
      <w:r w:rsidRPr="003667EC">
        <w:rPr>
          <w:color w:val="000000"/>
          <w:lang w:val="es-ES_tradnl"/>
        </w:rPr>
        <w:t xml:space="preserve"> ó </w:t>
      </w:r>
      <w:r w:rsidRPr="003667EC">
        <w:rPr>
          <w:rStyle w:val="Artref"/>
          <w:b/>
          <w:color w:val="000000"/>
          <w:lang w:val="es-ES_tradnl"/>
        </w:rPr>
        <w:t>9.17</w:t>
      </w:r>
      <w:r w:rsidRPr="003667EC">
        <w:rPr>
          <w:color w:val="000000"/>
          <w:lang w:val="es-ES_tradnl"/>
        </w:rPr>
        <w:t>, y no se la aceptó, o se la aceptó con características técnicas diferentes, la Oficina examinará la situación de confor</w:t>
      </w:r>
      <w:r w:rsidR="00515A02" w:rsidRPr="003667EC">
        <w:rPr>
          <w:color w:val="000000"/>
          <w:lang w:val="es-ES_tradnl"/>
        </w:rPr>
        <w:softHyphen/>
      </w:r>
      <w:r w:rsidRPr="003667EC">
        <w:rPr>
          <w:color w:val="000000"/>
          <w:lang w:val="es-ES_tradnl"/>
        </w:rPr>
        <w:t xml:space="preserve">midad con las disposiciones pertinentes del Artículo </w:t>
      </w:r>
      <w:r w:rsidRPr="003667EC">
        <w:rPr>
          <w:rStyle w:val="Artref"/>
          <w:b/>
          <w:color w:val="000000"/>
          <w:lang w:val="es-ES_tradnl"/>
        </w:rPr>
        <w:t>14</w:t>
      </w:r>
      <w:r w:rsidRPr="003667EC">
        <w:rPr>
          <w:b/>
          <w:color w:val="000000"/>
          <w:lang w:val="es-ES_tradnl"/>
        </w:rPr>
        <w:t xml:space="preserve"> </w:t>
      </w:r>
      <w:r w:rsidRPr="003667EC">
        <w:rPr>
          <w:color w:val="000000"/>
          <w:lang w:val="es-ES_tradnl"/>
        </w:rPr>
        <w:t>y procederá en consecuencia.</w:t>
      </w:r>
    </w:p>
    <w:p w:rsidR="00A60C28" w:rsidRPr="003667EC" w:rsidRDefault="00A60C28" w:rsidP="00BF0573">
      <w:pPr>
        <w:pStyle w:val="Heading1"/>
        <w:spacing w:before="480" w:line="280" w:lineRule="exact"/>
        <w:rPr>
          <w:color w:val="000000"/>
          <w:lang w:val="es-ES_tradnl"/>
        </w:rPr>
      </w:pPr>
      <w:r w:rsidRPr="003667EC">
        <w:rPr>
          <w:color w:val="000000"/>
          <w:lang w:val="es-ES_tradnl"/>
        </w:rPr>
        <w:t>5</w:t>
      </w:r>
      <w:r w:rsidRPr="003667EC">
        <w:rPr>
          <w:color w:val="000000"/>
          <w:lang w:val="es-ES_tradnl"/>
        </w:rPr>
        <w:tab/>
        <w:t>Examen de las notificaciones de asignación de frecuencia a esta</w:t>
      </w:r>
      <w:r w:rsidRPr="003667EC">
        <w:rPr>
          <w:color w:val="000000"/>
          <w:lang w:val="es-ES_tradnl"/>
        </w:rPr>
        <w:softHyphen/>
        <w:t>ciones terrenas que funcionan en sentido opuesto de transmisión</w:t>
      </w:r>
    </w:p>
    <w:p w:rsidR="00A60C28" w:rsidRPr="003667EC" w:rsidRDefault="00A60C28">
      <w:pPr>
        <w:rPr>
          <w:color w:val="000000"/>
          <w:lang w:val="es-ES_tradnl"/>
        </w:rPr>
      </w:pPr>
      <w:r w:rsidRPr="003667EC">
        <w:rPr>
          <w:color w:val="000000"/>
          <w:lang w:val="es-ES_tradnl"/>
        </w:rPr>
        <w:t>5.1</w:t>
      </w:r>
      <w:r w:rsidRPr="003667EC">
        <w:rPr>
          <w:color w:val="000000"/>
          <w:lang w:val="es-ES_tradnl"/>
        </w:rPr>
        <w:tab/>
        <w:t>En su examen de una notificación de asignación de frecuencia para una estación terrena que funciona en sentido opuesto de transmisión, desde el punto de vista de su conformidad con los procedimientos relativos a la coordinación respecto de las estaciones terrenas y otras administraciones, la Oficina toma en cuenta a las estaciones terrenas que están inscritas en el Registro.</w:t>
      </w:r>
    </w:p>
    <w:p w:rsidR="009C3798" w:rsidRDefault="00A60C28" w:rsidP="00F01943">
      <w:pPr>
        <w:spacing w:before="120"/>
        <w:rPr>
          <w:color w:val="000000"/>
          <w:lang w:val="es-ES_tradnl"/>
        </w:rPr>
      </w:pPr>
      <w:r w:rsidRPr="003667EC">
        <w:rPr>
          <w:color w:val="000000"/>
          <w:lang w:val="es-ES_tradnl"/>
        </w:rPr>
        <w:t>Si dentro del periodo de tres años siguientes a la fecha de notificación</w:t>
      </w:r>
      <w:r w:rsidRPr="003667EC">
        <w:rPr>
          <w:color w:val="000000"/>
          <w:position w:val="6"/>
          <w:sz w:val="20"/>
          <w:lang w:val="es-ES_tradnl"/>
        </w:rPr>
        <w:t>9</w:t>
      </w:r>
      <w:r w:rsidRPr="003667EC">
        <w:rPr>
          <w:color w:val="000000"/>
          <w:lang w:val="es-ES_tradnl"/>
        </w:rPr>
        <w:t xml:space="preserve"> de la estación terrena que funciona en el sentido opuesto de transmisión,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 terrena en virtud del número </w:t>
      </w:r>
      <w:r w:rsidRPr="003667EC">
        <w:rPr>
          <w:rStyle w:val="Artref"/>
          <w:b/>
          <w:color w:val="000000"/>
          <w:lang w:val="es-ES_tradnl"/>
        </w:rPr>
        <w:t>9.17A</w:t>
      </w:r>
      <w:r w:rsidRPr="003667EC">
        <w:rPr>
          <w:color w:val="000000"/>
          <w:lang w:val="es-ES_tradnl"/>
        </w:rPr>
        <w:t>, y no se la aceptó, o se la aceptó con diferentes características técnicas, la Oficina examinará la situación de conformidad con las disposiciones pertinentes del Artículo </w:t>
      </w:r>
      <w:r w:rsidRPr="003667EC">
        <w:rPr>
          <w:rStyle w:val="Artref"/>
          <w:b/>
          <w:color w:val="000000"/>
          <w:lang w:val="es-ES_tradnl"/>
        </w:rPr>
        <w:t>14</w:t>
      </w:r>
      <w:r w:rsidRPr="003667EC">
        <w:rPr>
          <w:color w:val="000000"/>
          <w:lang w:val="es-ES_tradnl"/>
        </w:rPr>
        <w:t xml:space="preserve"> y procederá en consecuencia.</w:t>
      </w:r>
    </w:p>
    <w:p w:rsidR="00F01943" w:rsidRDefault="00F01943" w:rsidP="00F01943">
      <w:pPr>
        <w:rPr>
          <w:lang w:val="es-ES_tradnl"/>
        </w:rPr>
      </w:pPr>
      <w:r>
        <w:rPr>
          <w:lang w:val="es-ES_tradnl"/>
        </w:rPr>
        <w:br w:type="page"/>
      </w:r>
    </w:p>
    <w:p w:rsidR="00A60C28" w:rsidRPr="002E7999" w:rsidRDefault="00A60C28" w:rsidP="009243FB">
      <w:pPr>
        <w:pStyle w:val="Heading1"/>
        <w:spacing w:before="120" w:line="280" w:lineRule="exact"/>
        <w:rPr>
          <w:color w:val="000000"/>
          <w:lang w:val="es-ES_tradnl"/>
        </w:rPr>
      </w:pPr>
      <w:r w:rsidRPr="003667EC">
        <w:rPr>
          <w:color w:val="000000"/>
          <w:lang w:val="es-ES_tradnl"/>
        </w:rPr>
        <w:lastRenderedPageBreak/>
        <w:t>6</w:t>
      </w:r>
      <w:r w:rsidRPr="003667EC">
        <w:rPr>
          <w:color w:val="000000"/>
          <w:lang w:val="es-ES_tradnl"/>
        </w:rPr>
        <w:tab/>
        <w:t>Examen de las asignaciones de frecuencia a un enlace entre satélites de una estación espacial geoestacionaria que se comunica con una estación espacial no geoestacionaria</w:t>
      </w:r>
      <w:r w:rsidR="002E7999">
        <w:rPr>
          <w:color w:val="000000"/>
          <w:lang w:val="es-ES_tradnl"/>
        </w:rPr>
        <w:t xml:space="preserve">    </w:t>
      </w:r>
    </w:p>
    <w:p w:rsidR="00A60C28" w:rsidRPr="003667EC" w:rsidRDefault="00A60C28" w:rsidP="009A2F2C">
      <w:pPr>
        <w:rPr>
          <w:lang w:val="es-ES_tradnl"/>
        </w:rPr>
      </w:pPr>
      <w:r w:rsidRPr="003667EC">
        <w:rPr>
          <w:lang w:val="es-ES_tradnl"/>
        </w:rPr>
        <w:t>6.1</w:t>
      </w:r>
      <w:r w:rsidRPr="003667EC">
        <w:rPr>
          <w:lang w:val="es-ES_tradnl"/>
        </w:rPr>
        <w:tab/>
        <w:t xml:space="preserve">La Junta tomó nota del carácter específico de los enlaces entre satélites, en los que un extremo del enlace se encuentra en una estación espacial OSG y el otro en una estación espacial no OSG. Conforme al Artículo </w:t>
      </w:r>
      <w:r w:rsidRPr="003667EC">
        <w:rPr>
          <w:rStyle w:val="Artref"/>
          <w:b/>
          <w:bCs/>
          <w:color w:val="000000"/>
          <w:lang w:val="es-ES_tradnl"/>
        </w:rPr>
        <w:t>9</w:t>
      </w:r>
      <w:r w:rsidRPr="003667EC">
        <w:rPr>
          <w:lang w:val="es-ES_tradnl"/>
        </w:rPr>
        <w:t xml:space="preserve"> (número </w:t>
      </w:r>
      <w:r w:rsidRPr="003667EC">
        <w:rPr>
          <w:rStyle w:val="Artref"/>
          <w:b/>
          <w:bCs/>
          <w:color w:val="000000"/>
          <w:lang w:val="es-ES_tradnl"/>
        </w:rPr>
        <w:t>9.7</w:t>
      </w:r>
      <w:r w:rsidRPr="003667EC">
        <w:rPr>
          <w:lang w:val="es-ES_tradnl"/>
        </w:rPr>
        <w:t>), existe el requisito de efectuar la coordinación para las asignaciones de frecuencia de las redes OSG, aunque no haya requisito equiparable para las asignaciones de las redes no OSG. No queda pues claro si la coordi</w:t>
      </w:r>
      <w:r w:rsidR="009A2F2C" w:rsidRPr="003667EC">
        <w:rPr>
          <w:lang w:val="es-ES_tradnl"/>
        </w:rPr>
        <w:softHyphen/>
      </w:r>
      <w:r w:rsidRPr="003667EC">
        <w:rPr>
          <w:lang w:val="es-ES_tradnl"/>
        </w:rPr>
        <w:t>nación según la Sección II del Artículo </w:t>
      </w:r>
      <w:r w:rsidRPr="003667EC">
        <w:rPr>
          <w:rStyle w:val="Artref"/>
          <w:b/>
          <w:bCs/>
          <w:color w:val="000000"/>
          <w:lang w:val="es-ES_tradnl"/>
        </w:rPr>
        <w:t>9</w:t>
      </w:r>
      <w:r w:rsidRPr="003667EC">
        <w:rPr>
          <w:b/>
          <w:bCs/>
          <w:lang w:val="es-ES_tradnl"/>
        </w:rPr>
        <w:t xml:space="preserve"> </w:t>
      </w:r>
      <w:r w:rsidRPr="003667EC">
        <w:rPr>
          <w:lang w:val="es-ES_tradnl"/>
        </w:rPr>
        <w:t>se aplica a:</w:t>
      </w:r>
    </w:p>
    <w:p w:rsidR="00A60C28" w:rsidRPr="003667EC" w:rsidRDefault="00A60C28" w:rsidP="008254E1">
      <w:pPr>
        <w:pStyle w:val="enumlev1"/>
        <w:spacing w:before="60"/>
        <w:rPr>
          <w:color w:val="000000"/>
          <w:lang w:val="es-ES_tradnl"/>
        </w:rPr>
      </w:pPr>
      <w:r w:rsidRPr="003667EC">
        <w:rPr>
          <w:i/>
          <w:iCs/>
          <w:color w:val="000000"/>
          <w:lang w:val="es-ES_tradnl"/>
        </w:rPr>
        <w:t>a)</w:t>
      </w:r>
      <w:r w:rsidRPr="003667EC">
        <w:rPr>
          <w:color w:val="000000"/>
          <w:lang w:val="es-ES_tradnl"/>
        </w:rPr>
        <w:tab/>
        <w:t>ambos extremos del enlace entre satélites, es decir a la estación OSG del enlace así como a la no OSG, coordinando de este modo todo el enlace (como ocurre en otras formas de coordinación); o</w:t>
      </w:r>
    </w:p>
    <w:p w:rsidR="00A60C28" w:rsidRPr="003667EC" w:rsidRDefault="00A60C28" w:rsidP="008254E1">
      <w:pPr>
        <w:pStyle w:val="enumlev1"/>
        <w:spacing w:before="60"/>
        <w:rPr>
          <w:color w:val="000000"/>
          <w:lang w:val="es-ES_tradnl"/>
        </w:rPr>
      </w:pPr>
      <w:r w:rsidRPr="003667EC">
        <w:rPr>
          <w:i/>
          <w:iCs/>
          <w:color w:val="000000"/>
          <w:lang w:val="es-ES_tradnl"/>
        </w:rPr>
        <w:t>b)</w:t>
      </w:r>
      <w:r w:rsidRPr="003667EC">
        <w:rPr>
          <w:color w:val="000000"/>
          <w:lang w:val="es-ES_tradnl"/>
        </w:rPr>
        <w:tab/>
        <w:t>sólo a la estación OSG del enlace entre satélites, dejando el otro extremo sin coordinar; o</w:t>
      </w:r>
    </w:p>
    <w:p w:rsidR="00A60C28" w:rsidRPr="003667EC" w:rsidRDefault="00A60C28" w:rsidP="008254E1">
      <w:pPr>
        <w:pStyle w:val="enumlev1"/>
        <w:spacing w:before="60"/>
        <w:rPr>
          <w:color w:val="000000"/>
          <w:lang w:val="es-ES_tradnl"/>
        </w:rPr>
      </w:pPr>
      <w:r w:rsidRPr="003667EC">
        <w:rPr>
          <w:i/>
          <w:iCs/>
          <w:color w:val="000000"/>
          <w:lang w:val="es-ES_tradnl"/>
        </w:rPr>
        <w:t>c)</w:t>
      </w:r>
      <w:r w:rsidRPr="003667EC">
        <w:rPr>
          <w:color w:val="000000"/>
          <w:lang w:val="es-ES_tradnl"/>
        </w:rPr>
        <w:tab/>
        <w:t>a ninguna de las estaciones del enlace entre satélites, dejando todo el enlace entre satélites sin coordinar (como ocurre cuando no procede la coordinación, por ejemplo en las redes no OSG).</w:t>
      </w:r>
    </w:p>
    <w:p w:rsidR="00A60C28" w:rsidRPr="003667EC" w:rsidRDefault="00A60C28" w:rsidP="008254E1">
      <w:pPr>
        <w:spacing w:before="60"/>
        <w:rPr>
          <w:color w:val="000000"/>
          <w:lang w:val="es-ES_tradnl"/>
        </w:rPr>
      </w:pPr>
      <w:r w:rsidRPr="003667EC">
        <w:rPr>
          <w:color w:val="000000"/>
          <w:lang w:val="es-ES_tradnl"/>
        </w:rPr>
        <w:t>6.2</w:t>
      </w:r>
      <w:r w:rsidRPr="003667EC">
        <w:rPr>
          <w:color w:val="000000"/>
          <w:lang w:val="es-ES_tradnl"/>
        </w:rPr>
        <w:tab/>
        <w:t>A la vista de lo anterior, la Junta decidió que, hasta que la CMR aclare este aspecto, las asignaciones de los enlaces entre satélites entre estaciones espaciales OSG y no OSG se tratarán de la siguiente manera:</w:t>
      </w:r>
    </w:p>
    <w:p w:rsidR="00A60C28" w:rsidRPr="003667EC" w:rsidRDefault="00A60C28" w:rsidP="008254E1">
      <w:pPr>
        <w:spacing w:before="60"/>
        <w:rPr>
          <w:color w:val="000000"/>
          <w:lang w:val="es-ES_tradnl"/>
        </w:rPr>
      </w:pPr>
      <w:r w:rsidRPr="003667EC">
        <w:rPr>
          <w:color w:val="000000"/>
          <w:lang w:val="es-ES_tradnl"/>
        </w:rPr>
        <w:t>6.2.1</w:t>
      </w:r>
      <w:r w:rsidRPr="003667EC">
        <w:rPr>
          <w:color w:val="000000"/>
          <w:lang w:val="es-ES_tradnl"/>
        </w:rPr>
        <w:tab/>
        <w:t>Se enviará a la Oficina la descripción general del enlace entre satélites para su publicación anticipada conforme a la Sub-sección IA del Artículo </w:t>
      </w:r>
      <w:r w:rsidRPr="003667EC">
        <w:rPr>
          <w:rStyle w:val="Artref"/>
          <w:b/>
          <w:bCs/>
          <w:color w:val="000000"/>
          <w:lang w:val="es-ES_tradnl"/>
        </w:rPr>
        <w:t>9</w:t>
      </w:r>
      <w:r w:rsidRPr="003667EC">
        <w:rPr>
          <w:color w:val="000000"/>
          <w:lang w:val="es-ES_tradnl"/>
        </w:rPr>
        <w:t>.</w:t>
      </w:r>
    </w:p>
    <w:p w:rsidR="00A60C28" w:rsidRPr="003667EC" w:rsidRDefault="00A60C28" w:rsidP="008254E1">
      <w:pPr>
        <w:spacing w:before="60"/>
        <w:rPr>
          <w:color w:val="000000"/>
          <w:lang w:val="es-ES_tradnl"/>
        </w:rPr>
      </w:pPr>
      <w:r w:rsidRPr="003667EC">
        <w:rPr>
          <w:color w:val="000000"/>
          <w:lang w:val="es-ES_tradnl"/>
        </w:rPr>
        <w:t>6.2.2</w:t>
      </w:r>
      <w:r w:rsidRPr="003667EC">
        <w:rPr>
          <w:color w:val="000000"/>
          <w:lang w:val="es-ES_tradnl"/>
        </w:rPr>
        <w:tab/>
        <w:t>Provisionalmente, estas asignaciones no se consideran sujetas al procedimiento de coordinación con arreglo a la Sección II del Artículo </w:t>
      </w:r>
      <w:r w:rsidRPr="003667EC">
        <w:rPr>
          <w:rStyle w:val="Artref"/>
          <w:b/>
          <w:bCs/>
          <w:color w:val="000000"/>
          <w:lang w:val="es-ES_tradnl"/>
        </w:rPr>
        <w:t>9</w:t>
      </w:r>
      <w:r w:rsidRPr="003667EC">
        <w:rPr>
          <w:color w:val="000000"/>
          <w:lang w:val="es-ES_tradnl"/>
        </w:rPr>
        <w:t>.</w:t>
      </w:r>
    </w:p>
    <w:p w:rsidR="00A60C28" w:rsidRPr="008254E1" w:rsidRDefault="00A60C28" w:rsidP="008254E1">
      <w:pPr>
        <w:spacing w:before="60"/>
        <w:rPr>
          <w:color w:val="000000"/>
          <w:spacing w:val="-6"/>
          <w:lang w:val="es-ES_tradnl"/>
        </w:rPr>
      </w:pPr>
      <w:r w:rsidRPr="008254E1">
        <w:rPr>
          <w:color w:val="000000"/>
          <w:spacing w:val="-6"/>
          <w:lang w:val="es-ES_tradnl"/>
        </w:rPr>
        <w:t>6.2.3</w:t>
      </w:r>
      <w:r w:rsidRPr="008254E1">
        <w:rPr>
          <w:color w:val="000000"/>
          <w:spacing w:val="-6"/>
          <w:lang w:val="es-ES_tradnl"/>
        </w:rPr>
        <w:tab/>
        <w:t xml:space="preserve">En la fase de notificación, no se formulará ninguna conclusión según el </w:t>
      </w:r>
      <w:r w:rsidRPr="008254E1">
        <w:rPr>
          <w:rStyle w:val="Artref"/>
          <w:b/>
          <w:bCs/>
          <w:color w:val="000000"/>
          <w:spacing w:val="-6"/>
          <w:lang w:val="es-ES_tradnl"/>
        </w:rPr>
        <w:t>11.32</w:t>
      </w:r>
      <w:r w:rsidRPr="008254E1">
        <w:rPr>
          <w:color w:val="000000"/>
          <w:spacing w:val="-6"/>
          <w:lang w:val="es-ES_tradnl"/>
        </w:rPr>
        <w:t xml:space="preserve"> (Columna 13A2) y se insertará el símbolo «K» en la Columna 13B2 con el significado siguiente:</w:t>
      </w:r>
    </w:p>
    <w:p w:rsidR="00A60C28" w:rsidRPr="003667EC" w:rsidRDefault="00A60C28" w:rsidP="008254E1">
      <w:pPr>
        <w:spacing w:before="60"/>
        <w:rPr>
          <w:color w:val="000000"/>
          <w:lang w:val="es-ES_tradnl"/>
        </w:rPr>
      </w:pPr>
      <w:r w:rsidRPr="003667EC">
        <w:rPr>
          <w:color w:val="000000"/>
          <w:lang w:val="es-ES_tradnl"/>
        </w:rPr>
        <w:t>«K»:</w:t>
      </w:r>
      <w:r w:rsidRPr="003667EC">
        <w:rPr>
          <w:color w:val="000000"/>
          <w:lang w:val="es-ES_tradnl"/>
        </w:rPr>
        <w:tab/>
        <w:t>esta asignación de frecuencia a un enlace entre satélites de una estación espacial geoestacionaria que comunica con una estación espacial no geoestacionaria no se tiene en cuenta por la Oficina en su examen con arreglo al número </w:t>
      </w:r>
      <w:r w:rsidRPr="003667EC">
        <w:rPr>
          <w:rStyle w:val="Artref"/>
          <w:b/>
          <w:bCs/>
          <w:color w:val="000000"/>
          <w:lang w:val="es-ES_tradnl"/>
        </w:rPr>
        <w:t>11.32</w:t>
      </w:r>
      <w:r w:rsidRPr="003667EC">
        <w:rPr>
          <w:color w:val="000000"/>
          <w:lang w:val="es-ES_tradnl"/>
        </w:rPr>
        <w:t>.</w:t>
      </w:r>
    </w:p>
    <w:p w:rsidR="00A60C28" w:rsidRPr="003667EC" w:rsidRDefault="00A60C28" w:rsidP="008254E1">
      <w:pPr>
        <w:spacing w:before="60"/>
        <w:rPr>
          <w:color w:val="000000"/>
          <w:lang w:val="es-ES_tradnl"/>
        </w:rPr>
      </w:pPr>
      <w:r w:rsidRPr="003667EC">
        <w:rPr>
          <w:color w:val="000000"/>
          <w:lang w:val="es-ES_tradnl"/>
        </w:rPr>
        <w:t>6.</w:t>
      </w:r>
      <w:r w:rsidR="002E7999">
        <w:rPr>
          <w:color w:val="000000"/>
          <w:lang w:val="es-ES_tradnl"/>
        </w:rPr>
        <w:t>3</w:t>
      </w:r>
      <w:r w:rsidRPr="003667EC">
        <w:rPr>
          <w:color w:val="000000"/>
          <w:lang w:val="es-ES_tradnl"/>
        </w:rPr>
        <w:tab/>
        <w:t>Los casos ya inscritos en el Registro por la Oficina no se revisarán conforme a esta Regla.</w:t>
      </w:r>
    </w:p>
    <w:p w:rsidR="00A60C28" w:rsidRDefault="002E7999" w:rsidP="00363FC4">
      <w:pPr>
        <w:spacing w:before="40"/>
        <w:rPr>
          <w:color w:val="000000"/>
          <w:lang w:val="es-ES_tradnl"/>
        </w:rPr>
      </w:pPr>
      <w:r>
        <w:rPr>
          <w:color w:val="000000"/>
          <w:lang w:val="es-ES_tradnl"/>
        </w:rPr>
        <w:t>6.4</w:t>
      </w:r>
      <w:r w:rsidR="00A60C28" w:rsidRPr="003667EC">
        <w:rPr>
          <w:color w:val="000000"/>
          <w:lang w:val="es-ES_tradnl"/>
        </w:rPr>
        <w:tab/>
        <w:t>Esta Regla se aplica a los enlaces entre satélites OSG y no OSG en todas las bandas de frecuencias atribuidas al servicio entre satélites, así como a otros servicios espaciales en sentido espacio</w:t>
      </w:r>
      <w:r w:rsidR="00A60C28" w:rsidRPr="003667EC">
        <w:rPr>
          <w:color w:val="000000"/>
          <w:lang w:val="es-ES_tradnl"/>
        </w:rPr>
        <w:noBreakHyphen/>
        <w:t xml:space="preserve">espacio, con excepción de los casos en que la necesidad de coordinación viene explícitamente estipulada en el Reglamento de Radiocomunicaciones. En particular, esta Regla no se aplica a los casos en que la necesidad de coordinación con arreglo a los números </w:t>
      </w:r>
      <w:r w:rsidR="00A60C28" w:rsidRPr="003667EC">
        <w:rPr>
          <w:rStyle w:val="Artref"/>
          <w:b/>
          <w:bCs/>
          <w:color w:val="000000"/>
          <w:lang w:val="es-ES_tradnl"/>
        </w:rPr>
        <w:t>9.11A</w:t>
      </w:r>
      <w:r w:rsidR="00A60C28" w:rsidRPr="003667EC">
        <w:rPr>
          <w:color w:val="000000"/>
          <w:lang w:val="es-ES_tradnl"/>
        </w:rPr>
        <w:t xml:space="preserve">, </w:t>
      </w:r>
      <w:r w:rsidR="00A60C28" w:rsidRPr="003667EC">
        <w:rPr>
          <w:rStyle w:val="Artref"/>
          <w:b/>
          <w:bCs/>
          <w:color w:val="000000"/>
          <w:lang w:val="es-ES_tradnl"/>
        </w:rPr>
        <w:t>9.12A</w:t>
      </w:r>
      <w:r w:rsidR="00A60C28" w:rsidRPr="003667EC">
        <w:rPr>
          <w:color w:val="000000"/>
          <w:lang w:val="es-ES_tradnl"/>
        </w:rPr>
        <w:t xml:space="preserve"> o </w:t>
      </w:r>
      <w:r w:rsidR="00A60C28" w:rsidRPr="003667EC">
        <w:rPr>
          <w:rStyle w:val="Artref"/>
          <w:b/>
          <w:bCs/>
          <w:color w:val="000000"/>
          <w:lang w:val="es-ES_tradnl"/>
        </w:rPr>
        <w:t>9.13</w:t>
      </w:r>
      <w:r w:rsidR="00A60C28" w:rsidRPr="003667EC">
        <w:rPr>
          <w:color w:val="000000"/>
          <w:lang w:val="es-ES_tradnl"/>
        </w:rPr>
        <w:t>, según corresponda, se menciona en una nota del Cuadro de atribución de bandas de frecuencias (véase también la Regla de Procedimiento relativa al número </w:t>
      </w:r>
      <w:r w:rsidR="00A60C28" w:rsidRPr="003667EC">
        <w:rPr>
          <w:rStyle w:val="Artref"/>
          <w:b/>
          <w:bCs/>
          <w:color w:val="000000"/>
          <w:lang w:val="es-ES_tradnl"/>
        </w:rPr>
        <w:t>9.11A</w:t>
      </w:r>
      <w:r w:rsidR="00A60C28" w:rsidRPr="003667EC">
        <w:rPr>
          <w:color w:val="000000"/>
          <w:lang w:val="es-ES_tradnl"/>
        </w:rPr>
        <w:t>).</w:t>
      </w:r>
    </w:p>
    <w:p w:rsidR="00F01943" w:rsidRDefault="00F01943" w:rsidP="00363FC4">
      <w:pPr>
        <w:spacing w:before="40"/>
        <w:rPr>
          <w:b/>
          <w:bCs/>
          <w:lang w:val="es-ES_tradnl" w:eastAsia="zh-CN"/>
        </w:rPr>
      </w:pPr>
      <w:r>
        <w:rPr>
          <w:b/>
          <w:bCs/>
          <w:lang w:val="es-ES_tradnl" w:eastAsia="zh-CN"/>
        </w:rPr>
        <w:br w:type="page"/>
      </w:r>
    </w:p>
    <w:p w:rsidR="008254E1" w:rsidRPr="008254E1" w:rsidRDefault="008254E1" w:rsidP="00363FC4">
      <w:pPr>
        <w:spacing w:before="40"/>
        <w:rPr>
          <w:lang w:val="es-ES_tradnl" w:eastAsia="zh-CN"/>
        </w:rPr>
      </w:pPr>
      <w:r w:rsidRPr="008254E1">
        <w:rPr>
          <w:b/>
          <w:bCs/>
          <w:lang w:val="es-ES_tradnl" w:eastAsia="zh-CN"/>
        </w:rPr>
        <w:lastRenderedPageBreak/>
        <w:t>Nota</w:t>
      </w:r>
      <w:r w:rsidRPr="008254E1">
        <w:rPr>
          <w:lang w:val="es-ES_tradnl"/>
        </w:rPr>
        <w:t xml:space="preserve"> – </w:t>
      </w:r>
      <w:r w:rsidRPr="008254E1">
        <w:rPr>
          <w:lang w:val="es-ES_tradnl" w:eastAsia="zh-CN"/>
        </w:rPr>
        <w:t xml:space="preserve">La CMR-15 tomó una decisión relacionada con la Regla de Procedimiento relativa al número </w:t>
      </w:r>
      <w:r w:rsidRPr="008254E1">
        <w:rPr>
          <w:b/>
          <w:bCs/>
          <w:lang w:val="es-ES_tradnl" w:eastAsia="zh-CN"/>
        </w:rPr>
        <w:t>11.32</w:t>
      </w:r>
      <w:r w:rsidRPr="008254E1">
        <w:rPr>
          <w:lang w:val="es-ES_tradnl" w:eastAsia="zh-CN"/>
        </w:rPr>
        <w:t xml:space="preserve"> durante la 8ª Sesión Plenaria (véanse los pár</w:t>
      </w:r>
      <w:r w:rsidR="00624015">
        <w:rPr>
          <w:lang w:val="es-ES_tradnl" w:eastAsia="zh-CN"/>
        </w:rPr>
        <w:t>rafos 1.39 a 1.42 del Documento </w:t>
      </w:r>
      <w:r w:rsidRPr="008254E1">
        <w:rPr>
          <w:lang w:val="es-ES_tradnl" w:eastAsia="zh-CN"/>
        </w:rPr>
        <w:t>505 de la CMR-15) con la aprobación de Documento 416 de la CMR-15 en relación con el apartado 3.2.3.2 del Documento 4 (Add.2</w:t>
      </w:r>
      <w:proofErr w:type="gramStart"/>
      <w:r w:rsidRPr="008254E1">
        <w:rPr>
          <w:lang w:val="es-ES_tradnl" w:eastAsia="zh-CN"/>
        </w:rPr>
        <w:t>)(</w:t>
      </w:r>
      <w:proofErr w:type="gramEnd"/>
      <w:r w:rsidRPr="008254E1">
        <w:rPr>
          <w:lang w:val="es-ES_tradnl" w:eastAsia="zh-CN"/>
        </w:rPr>
        <w:t xml:space="preserve">Rev.1), </w:t>
      </w:r>
      <w:r w:rsidRPr="008254E1">
        <w:rPr>
          <w:lang w:val="es-ES_tradnl"/>
        </w:rPr>
        <w:t>y estipuló lo siguiente</w:t>
      </w:r>
      <w:r w:rsidRPr="008254E1">
        <w:rPr>
          <w:rFonts w:eastAsia="SimSun"/>
          <w:lang w:val="es-ES_tradnl" w:eastAsia="zh-CN"/>
        </w:rPr>
        <w:t>:</w:t>
      </w:r>
    </w:p>
    <w:p w:rsidR="009C3798" w:rsidRDefault="008254E1" w:rsidP="009C3798">
      <w:pPr>
        <w:rPr>
          <w:i/>
          <w:iCs/>
          <w:lang w:val="es-ES_tradnl"/>
        </w:rPr>
      </w:pPr>
      <w:r w:rsidRPr="008254E1">
        <w:rPr>
          <w:i/>
          <w:iCs/>
          <w:lang w:val="es-ES_tradnl"/>
        </w:rPr>
        <w:t xml:space="preserve">«Habida </w:t>
      </w:r>
      <w:r w:rsidRPr="008254E1">
        <w:rPr>
          <w:i/>
          <w:iCs/>
          <w:szCs w:val="24"/>
          <w:lang w:val="es-ES_tradnl"/>
        </w:rPr>
        <w:t>cuenta</w:t>
      </w:r>
      <w:r w:rsidRPr="008254E1">
        <w:rPr>
          <w:i/>
          <w:iCs/>
          <w:lang w:val="es-ES_tradnl"/>
        </w:rPr>
        <w:t xml:space="preserve"> de que las administraciones afectadas pueden presentar información sobre las distintas situaciones de coordinación en cualquier momento antes o después de la publicación de la Parte II-S, y a fin de no retrasar la tramitación de las notificaciones, la Oficina examina la notificación en virtud del número </w:t>
      </w:r>
      <w:r w:rsidRPr="008254E1">
        <w:rPr>
          <w:b/>
          <w:bCs/>
          <w:i/>
          <w:iCs/>
          <w:lang w:val="es-ES_tradnl"/>
        </w:rPr>
        <w:t>11.32</w:t>
      </w:r>
      <w:r w:rsidRPr="008254E1">
        <w:rPr>
          <w:i/>
          <w:iCs/>
          <w:lang w:val="es-ES_tradnl"/>
        </w:rPr>
        <w:t xml:space="preserve"> de la siguiente manera:</w:t>
      </w:r>
    </w:p>
    <w:p w:rsidR="008254E1" w:rsidRPr="00580ACB" w:rsidRDefault="008254E1" w:rsidP="009C3798">
      <w:pPr>
        <w:pStyle w:val="enumlev1"/>
        <w:spacing w:before="60"/>
        <w:ind w:left="851"/>
        <w:rPr>
          <w:i/>
          <w:iCs/>
          <w:lang w:val="es-ES_tradnl"/>
        </w:rPr>
      </w:pPr>
      <w:r w:rsidRPr="00580ACB">
        <w:rPr>
          <w:i/>
          <w:iCs/>
          <w:lang w:val="es-ES_tradnl"/>
        </w:rPr>
        <w:t>i)</w:t>
      </w:r>
      <w:r w:rsidRPr="00580ACB">
        <w:rPr>
          <w:i/>
          <w:iCs/>
          <w:lang w:val="es-ES_tradnl"/>
        </w:rPr>
        <w:tab/>
        <w:t>si el proceso de petición de información se completa antes de la Reunión de aprobación semanal de la Oficina, se tendrá en cuenta la situación de coordinación en función de los resultados del proceso de petición de información a la hora de formular las conclusiones;</w:t>
      </w:r>
    </w:p>
    <w:p w:rsidR="00E14361" w:rsidRPr="008475FA" w:rsidRDefault="008254E1" w:rsidP="006D45DA">
      <w:pPr>
        <w:pStyle w:val="enumlev1"/>
        <w:spacing w:before="60"/>
        <w:ind w:left="851"/>
        <w:rPr>
          <w:color w:val="000000"/>
          <w:lang w:val="es-ES_tradnl"/>
        </w:rPr>
      </w:pPr>
      <w:r w:rsidRPr="00580ACB">
        <w:rPr>
          <w:i/>
          <w:iCs/>
          <w:lang w:val="es-ES_tradnl"/>
        </w:rPr>
        <w:t>ii)</w:t>
      </w:r>
      <w:r w:rsidRPr="00580ACB">
        <w:rPr>
          <w:i/>
          <w:iCs/>
          <w:lang w:val="es-ES_tradnl"/>
        </w:rPr>
        <w:tab/>
        <w:t xml:space="preserve">si el proceso de petición de información no se completa antes de la Reunión de aprobación semanal de la Oficina, las conclusiones con respecto a la administración afectada se basarán en la situación de coordinación facilitada por la </w:t>
      </w:r>
      <w:r w:rsidRPr="008254E1">
        <w:rPr>
          <w:i/>
          <w:iCs/>
          <w:lang w:val="es-ES_tradnl"/>
        </w:rPr>
        <w:t xml:space="preserve">Administración </w:t>
      </w:r>
      <w:r w:rsidRPr="00580ACB">
        <w:rPr>
          <w:i/>
          <w:iCs/>
          <w:lang w:val="es-ES_tradnl"/>
        </w:rPr>
        <w:t>notificante en su notificación. La Oficina adoptará entonces las medidas pertinentes, es decir, revisar o no las conclusiones, una vez finalizado el proceso de petición de información.</w:t>
      </w:r>
      <w:r w:rsidRPr="008254E1">
        <w:rPr>
          <w:i/>
          <w:iCs/>
          <w:lang w:val="es-ES_tradnl"/>
        </w:rPr>
        <w:t>»</w:t>
      </w:r>
      <w:r w:rsidR="008475FA">
        <w:rPr>
          <w:i/>
          <w:iCs/>
          <w:lang w:val="es-ES_tradnl"/>
        </w:rPr>
        <w:t xml:space="preserve">    </w:t>
      </w:r>
    </w:p>
    <w:p w:rsidR="00A60C28" w:rsidRPr="003667EC" w:rsidRDefault="00A60C28" w:rsidP="00DA47A4">
      <w:pPr>
        <w:pStyle w:val="Heading8"/>
        <w:spacing w:before="240"/>
        <w:rPr>
          <w:color w:val="000000"/>
          <w:lang w:val="es-ES_tradnl"/>
        </w:rPr>
      </w:pPr>
      <w:r w:rsidRPr="003667EC">
        <w:rPr>
          <w:color w:val="000000"/>
          <w:lang w:val="es-ES_tradnl"/>
        </w:rPr>
        <w:t>11.32A</w:t>
      </w:r>
    </w:p>
    <w:p w:rsidR="00A60C28" w:rsidRPr="00BB5039" w:rsidRDefault="00BB5039" w:rsidP="009243FB">
      <w:pPr>
        <w:spacing w:before="120"/>
        <w:rPr>
          <w:color w:val="000000"/>
          <w:lang w:val="es-ES_tradnl"/>
        </w:rPr>
      </w:pPr>
      <w:r w:rsidRPr="00BB5039">
        <w:rPr>
          <w:lang w:val="es-ES_tradnl"/>
        </w:rPr>
        <w:t>El método de cálculo para evaluar la probabilidad de interferencia perjudicial y los criterios para la formulación de las conclusiones de la Oficina para la coordinación en virtud del número </w:t>
      </w:r>
      <w:r w:rsidRPr="00BB5039">
        <w:rPr>
          <w:rStyle w:val="Artref"/>
          <w:b/>
          <w:color w:val="000000"/>
          <w:lang w:val="es-ES_tradnl"/>
        </w:rPr>
        <w:t>9.7</w:t>
      </w:r>
      <w:r w:rsidRPr="00BB5039">
        <w:rPr>
          <w:lang w:val="es-ES_tradnl"/>
        </w:rPr>
        <w:t xml:space="preserve"> están contenidos en las Reglas de Procedimiento B3, salvo los casos mencionados en el número </w:t>
      </w:r>
      <w:r w:rsidRPr="00BB5039">
        <w:rPr>
          <w:b/>
          <w:bCs/>
          <w:szCs w:val="24"/>
          <w:lang w:val="es-ES_tradnl"/>
        </w:rPr>
        <w:t>11.32A.2</w:t>
      </w:r>
      <w:r w:rsidRPr="00BB5039">
        <w:rPr>
          <w:szCs w:val="24"/>
          <w:lang w:val="es-ES_tradnl"/>
        </w:rPr>
        <w:t xml:space="preserve"> y la Resolución </w:t>
      </w:r>
      <w:r w:rsidRPr="00BB5039">
        <w:rPr>
          <w:b/>
          <w:bCs/>
          <w:szCs w:val="24"/>
          <w:lang w:val="es-ES_tradnl"/>
        </w:rPr>
        <w:t>762 (CMR-15)</w:t>
      </w:r>
      <w:r w:rsidRPr="00BB5039">
        <w:rPr>
          <w:lang w:val="es-ES_tradnl"/>
        </w:rPr>
        <w:t>.</w:t>
      </w:r>
      <w:r>
        <w:rPr>
          <w:lang w:val="es-ES_tradnl"/>
        </w:rPr>
        <w:t xml:space="preserve">    </w:t>
      </w:r>
    </w:p>
    <w:p w:rsidR="00A60C28" w:rsidRPr="003667EC" w:rsidRDefault="00A60C28" w:rsidP="00DA47A4">
      <w:pPr>
        <w:pStyle w:val="Heading8"/>
        <w:spacing w:before="240"/>
        <w:rPr>
          <w:color w:val="000000"/>
          <w:lang w:val="es-ES_tradnl"/>
        </w:rPr>
      </w:pPr>
      <w:r w:rsidRPr="003667EC">
        <w:rPr>
          <w:color w:val="000000"/>
          <w:lang w:val="es-ES_tradnl"/>
        </w:rPr>
        <w:t>11.34</w:t>
      </w:r>
    </w:p>
    <w:p w:rsidR="00A60C28" w:rsidRPr="003667EC" w:rsidRDefault="00A60C28" w:rsidP="00DA47A4">
      <w:pPr>
        <w:pStyle w:val="Heading1"/>
        <w:spacing w:before="360"/>
        <w:rPr>
          <w:color w:val="000000"/>
          <w:lang w:val="es-ES_tradnl"/>
        </w:rPr>
      </w:pPr>
      <w:r w:rsidRPr="003667EC">
        <w:rPr>
          <w:color w:val="000000"/>
          <w:lang w:val="es-ES_tradnl"/>
        </w:rPr>
        <w:t>1</w:t>
      </w:r>
      <w:r w:rsidRPr="003667EC">
        <w:rPr>
          <w:color w:val="000000"/>
          <w:lang w:val="es-ES_tradnl"/>
        </w:rPr>
        <w:tab/>
        <w:t>Bandas regidas por el Apéndice </w:t>
      </w:r>
      <w:r w:rsidRPr="003667EC">
        <w:rPr>
          <w:rStyle w:val="Appref"/>
          <w:color w:val="000000"/>
          <w:lang w:val="es-ES_tradnl"/>
        </w:rPr>
        <w:t>25</w:t>
      </w:r>
    </w:p>
    <w:p w:rsidR="00A60C28" w:rsidRPr="003667EC" w:rsidRDefault="00A60C28">
      <w:pPr>
        <w:rPr>
          <w:color w:val="000000"/>
          <w:lang w:val="es-ES_tradnl"/>
        </w:rPr>
      </w:pPr>
      <w:r w:rsidRPr="003667EC">
        <w:rPr>
          <w:color w:val="000000"/>
          <w:lang w:val="es-ES_tradnl"/>
        </w:rPr>
        <w:t>1.1</w:t>
      </w:r>
      <w:r w:rsidRPr="003667EC">
        <w:rPr>
          <w:color w:val="000000"/>
          <w:lang w:val="es-ES_tradnl"/>
        </w:rPr>
        <w:tab/>
        <w:t>Con respecto a estos exámenes de conformidad con el Plan de adjudicación del Apéndice </w:t>
      </w:r>
      <w:r w:rsidRPr="003667EC">
        <w:rPr>
          <w:rStyle w:val="Appref"/>
          <w:b/>
          <w:color w:val="000000"/>
          <w:lang w:val="es-ES_tradnl"/>
        </w:rPr>
        <w:t>25</w:t>
      </w:r>
      <w:r w:rsidRPr="003667EC">
        <w:rPr>
          <w:color w:val="000000"/>
          <w:lang w:val="es-ES_tradnl"/>
        </w:rPr>
        <w:t>, la Junta tomó en cuenta los siguientes elementos:</w:t>
      </w:r>
    </w:p>
    <w:p w:rsidR="00A60C28" w:rsidRPr="003667EC" w:rsidRDefault="00A60C28" w:rsidP="00DA47A4">
      <w:pPr>
        <w:spacing w:before="120"/>
        <w:rPr>
          <w:color w:val="000000"/>
          <w:lang w:val="es-ES_tradnl"/>
        </w:rPr>
      </w:pPr>
      <w:r w:rsidRPr="003667EC">
        <w:rPr>
          <w:color w:val="000000"/>
          <w:lang w:val="es-ES_tradnl"/>
        </w:rPr>
        <w:t>1.1.1</w:t>
      </w:r>
      <w:r w:rsidRPr="003667EC">
        <w:rPr>
          <w:color w:val="000000"/>
          <w:lang w:val="es-ES_tradnl"/>
        </w:rPr>
        <w:tab/>
        <w:t>El Plan «original» establecido en la CAMRM-74, contiene sólo una indicación de las zonas de adjudicación sobre un canal determinado. Se verificó la conformidad de las asignaciones pertinentes con las atribuciones, utilizando esa información y otras disposiciones generales de carácter obligatorios del Reglamento de Radiocomunicaciones relativas al acuerdo de disposición de canales, la clase de emisión y la potencia de transmisión.</w:t>
      </w:r>
    </w:p>
    <w:p w:rsidR="00D70EFE" w:rsidRDefault="00D70EFE" w:rsidP="00D70EFE">
      <w:pPr>
        <w:spacing w:before="120"/>
        <w:rPr>
          <w:color w:val="000000"/>
          <w:lang w:val="es-ES_tradnl"/>
        </w:rPr>
      </w:pPr>
      <w:r>
        <w:rPr>
          <w:color w:val="000000"/>
          <w:lang w:val="es-ES_tradnl"/>
        </w:rPr>
        <w:br w:type="page"/>
      </w:r>
    </w:p>
    <w:p w:rsidR="00F01943" w:rsidRDefault="00F01943" w:rsidP="00D70EFE">
      <w:pPr>
        <w:spacing w:before="120"/>
        <w:rPr>
          <w:color w:val="000000"/>
          <w:lang w:val="es-ES_tradnl"/>
        </w:rPr>
      </w:pPr>
      <w:r w:rsidRPr="003667EC">
        <w:rPr>
          <w:color w:val="000000"/>
          <w:lang w:val="es-ES_tradnl"/>
        </w:rPr>
        <w:lastRenderedPageBreak/>
        <w:t>1.1.2</w:t>
      </w:r>
      <w:r w:rsidRPr="003667EC">
        <w:rPr>
          <w:color w:val="000000"/>
          <w:lang w:val="es-ES_tradnl"/>
        </w:rPr>
        <w:tab/>
        <w:t xml:space="preserve">Las actualizaciones del Plan, a través de la aplicación del procedimiento del antiguo Artículo 16 del Reglamento de Radiocomunicaciones (edición de 1990, revisada en 1994) y la Sección I del Apéndice </w:t>
      </w:r>
      <w:r w:rsidRPr="003667EC">
        <w:rPr>
          <w:rStyle w:val="Appref"/>
          <w:b/>
          <w:color w:val="000000"/>
          <w:lang w:val="es-ES_tradnl"/>
        </w:rPr>
        <w:t>25</w:t>
      </w:r>
      <w:r w:rsidRPr="003667EC">
        <w:rPr>
          <w:color w:val="000000"/>
          <w:lang w:val="es-ES_tradnl"/>
        </w:rPr>
        <w:t>, contienen más datos, en particular, información sobre la potencia de transmisión, características de la antena, horario de utilización y zona de servicio como resultado de la coordinación con las administraciones de que se trata. Por consiguiente, las características de las asignaciones notificadas deben corresponder a las características resultantes de la coordinación.</w:t>
      </w:r>
    </w:p>
    <w:p w:rsidR="00D70EFE" w:rsidRDefault="00A60C28" w:rsidP="00D70EFE">
      <w:pPr>
        <w:spacing w:before="120"/>
        <w:rPr>
          <w:color w:val="000000"/>
          <w:lang w:val="es-ES_tradnl"/>
        </w:rPr>
      </w:pPr>
      <w:r w:rsidRPr="003667EC">
        <w:rPr>
          <w:color w:val="000000"/>
          <w:lang w:val="es-ES_tradnl"/>
        </w:rPr>
        <w:t>1.1.3</w:t>
      </w:r>
      <w:r w:rsidRPr="003667EC">
        <w:rPr>
          <w:color w:val="000000"/>
          <w:lang w:val="es-ES_tradnl"/>
        </w:rPr>
        <w:tab/>
        <w:t xml:space="preserve">A los fines de la aplicación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C124BB">
        <w:rPr>
          <w:rStyle w:val="FootnoteReference"/>
          <w:b/>
          <w:color w:val="000000"/>
          <w:lang w:val="es-ES_tradnl"/>
        </w:rPr>
        <w:footnoteReference w:customMarkFollows="1" w:id="10"/>
        <w:t>*</w:t>
      </w:r>
      <w:r w:rsidRPr="003667EC">
        <w:rPr>
          <w:color w:val="000000"/>
          <w:lang w:val="es-ES_tradnl"/>
        </w:rPr>
        <w:t>, la ex IFRB pidió (y obtuvo) datos más precisos en relación con la utilización proyectada de los nuevos canales, que fueron puestos a disposición por la CAMR Mob-87. Sin embargo, muchas adminis</w:t>
      </w:r>
      <w:r w:rsidRPr="003667EC">
        <w:rPr>
          <w:color w:val="000000"/>
          <w:lang w:val="es-ES_tradnl"/>
        </w:rPr>
        <w:softHyphen/>
        <w:t>traciones indicaron que la información de que se trata debía considerarse una hipótesis de trabajo, ya que las características definitivas dependerían del acuerdo de adjudicación esta</w:t>
      </w:r>
      <w:r w:rsidR="009A2F2C" w:rsidRPr="003667EC">
        <w:rPr>
          <w:color w:val="000000"/>
          <w:lang w:val="es-ES_tradnl"/>
        </w:rPr>
        <w:softHyphen/>
      </w:r>
      <w:r w:rsidRPr="003667EC">
        <w:rPr>
          <w:color w:val="000000"/>
          <w:lang w:val="es-ES_tradnl"/>
        </w:rPr>
        <w:t>blecido (número de adjudicaciones por canal, características de las otras adjudicaciones y utilización real de las adjudicaciones por otras administraciones). Por consiguiente, las carac</w:t>
      </w:r>
      <w:r w:rsidRPr="003667EC">
        <w:rPr>
          <w:color w:val="000000"/>
          <w:lang w:val="es-ES_tradnl"/>
        </w:rPr>
        <w:softHyphen/>
        <w:t>terísticas de las atribuciones inscritas en los nuevos canales del Plan del Apéndice</w:t>
      </w:r>
      <w:r w:rsidR="003667EC" w:rsidRPr="003667EC">
        <w:rPr>
          <w:color w:val="000000"/>
          <w:lang w:val="es-ES_tradnl"/>
        </w:rPr>
        <w:t xml:space="preserve"> </w:t>
      </w:r>
      <w:r w:rsidRPr="003667EC">
        <w:rPr>
          <w:rStyle w:val="Appref"/>
          <w:b/>
          <w:color w:val="000000"/>
          <w:lang w:val="es-ES_tradnl"/>
        </w:rPr>
        <w:t>25</w:t>
      </w:r>
      <w:r w:rsidRPr="003667EC">
        <w:rPr>
          <w:color w:val="000000"/>
          <w:lang w:val="es-ES_tradnl"/>
        </w:rPr>
        <w:t>, como se indica en la Carta circular N.° 860 de la ex IFRB, del 22 de marzo de 1991, se consideran únicamente hipótesis de trabajo y no condiciones obligatorias.</w:t>
      </w:r>
      <w:r w:rsidR="0092491E">
        <w:rPr>
          <w:color w:val="000000"/>
          <w:lang w:val="es-ES_tradnl"/>
        </w:rPr>
        <w:t xml:space="preserve"> </w:t>
      </w:r>
    </w:p>
    <w:p w:rsidR="00A60C28" w:rsidRPr="003667EC" w:rsidRDefault="00A60C28" w:rsidP="00D70EFE">
      <w:pPr>
        <w:spacing w:before="120"/>
        <w:rPr>
          <w:color w:val="000000"/>
          <w:lang w:val="es-ES_tradnl"/>
        </w:rPr>
      </w:pPr>
      <w:r w:rsidRPr="003667EC">
        <w:rPr>
          <w:color w:val="000000"/>
          <w:lang w:val="es-ES_tradnl"/>
        </w:rPr>
        <w:t>1.1.4</w:t>
      </w:r>
      <w:r w:rsidRPr="003667EC">
        <w:rPr>
          <w:color w:val="000000"/>
          <w:lang w:val="es-ES_tradnl"/>
        </w:rPr>
        <w:tab/>
        <w:t>Sin embargo, las nuevas adjudicaciones en los antiguos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se han incluido por insistir en ello la administración interesada, y la búsqueda del canal menos afectado se ha basado en las características muy definitivas de la correspondiente necesidad (potencia, horario de utilización, horas de mayor funcionamiento, zona de servicio, información sobre tráfico); si las características hubieran sido diferentes, el canal menos afectado habría sido diferente.</w:t>
      </w:r>
    </w:p>
    <w:p w:rsidR="00A60C28" w:rsidRPr="003667EC" w:rsidRDefault="00A60C28" w:rsidP="00782C00">
      <w:pPr>
        <w:spacing w:before="120"/>
        <w:rPr>
          <w:color w:val="000000"/>
          <w:lang w:val="es-ES_tradnl"/>
        </w:rPr>
      </w:pPr>
      <w:r w:rsidRPr="003667EC">
        <w:rPr>
          <w:color w:val="000000"/>
          <w:lang w:val="es-ES_tradnl"/>
        </w:rPr>
        <w:t>1.2</w:t>
      </w:r>
      <w:r w:rsidRPr="003667EC">
        <w:rPr>
          <w:color w:val="000000"/>
          <w:lang w:val="es-ES_tradnl"/>
        </w:rPr>
        <w:tab/>
        <w:t>Habida cuenta de lo indicado, la Junta decidió adoptar las siguientes reglas para el examen de las notificaciones de asignaciones de frecuencia, en virtud del número </w:t>
      </w:r>
      <w:r w:rsidRPr="003667EC">
        <w:rPr>
          <w:rStyle w:val="Artref"/>
          <w:b/>
          <w:color w:val="000000"/>
          <w:lang w:val="es-ES_tradnl"/>
        </w:rPr>
        <w:t>11.34</w:t>
      </w:r>
      <w:r w:rsidRPr="003667EC">
        <w:rPr>
          <w:color w:val="000000"/>
          <w:lang w:val="es-ES_tradnl"/>
        </w:rPr>
        <w:t>, desde el punto de vista de su conformidad con las correspondientes adjudicaciones del Plan del Apéndice </w:t>
      </w:r>
      <w:r w:rsidRPr="003667EC">
        <w:rPr>
          <w:rStyle w:val="Appref"/>
          <w:b/>
          <w:color w:val="000000"/>
          <w:lang w:val="es-ES_tradnl"/>
        </w:rPr>
        <w:t>25</w:t>
      </w:r>
      <w:r w:rsidRPr="003667EC">
        <w:rPr>
          <w:color w:val="000000"/>
          <w:lang w:val="es-ES_tradnl"/>
        </w:rPr>
        <w:t>:</w:t>
      </w:r>
    </w:p>
    <w:p w:rsidR="00A60C28" w:rsidRPr="003667EC" w:rsidRDefault="00A60C28" w:rsidP="00782C00">
      <w:pPr>
        <w:spacing w:before="120"/>
        <w:rPr>
          <w:color w:val="000000"/>
          <w:lang w:val="es-ES_tradnl"/>
        </w:rPr>
      </w:pPr>
      <w:r w:rsidRPr="003667EC">
        <w:rPr>
          <w:color w:val="000000"/>
          <w:lang w:val="es-ES_tradnl"/>
        </w:rPr>
        <w:t>1.2.1</w:t>
      </w:r>
      <w:r w:rsidRPr="003667EC">
        <w:rPr>
          <w:color w:val="000000"/>
          <w:lang w:val="es-ES_tradnl"/>
        </w:rPr>
        <w:tab/>
        <w:t xml:space="preserve">Las características de las notificaciones de asignación de frecuencia, que corresponden a las adjudicaciones del Plan «original» del Apéndice </w:t>
      </w:r>
      <w:r w:rsidRPr="003667EC">
        <w:rPr>
          <w:rStyle w:val="Appref"/>
          <w:b/>
          <w:color w:val="000000"/>
          <w:lang w:val="es-ES_tradnl"/>
        </w:rPr>
        <w:t>25</w:t>
      </w:r>
      <w:r w:rsidRPr="003667EC">
        <w:rPr>
          <w:color w:val="000000"/>
          <w:lang w:val="es-ES_tradnl"/>
        </w:rPr>
        <w:t xml:space="preserve"> (aprobado por la CAMRM</w:t>
      </w:r>
      <w:r w:rsidRPr="003667EC">
        <w:rPr>
          <w:color w:val="000000"/>
          <w:lang w:val="es-ES_tradnl"/>
        </w:rPr>
        <w:noBreakHyphen/>
        <w:t>74) o las adjudicaciones inscritas en los nuevos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que fueron puestas a disposición por la CAMR Mob-87, se examinaron sólo con respecto a las condiciones generales aplicables a la utilización de los canales para la radiotelefonía dúplex (de conformidad con el acuerdo de disposición de canales de la Sección I, Sub-sección A, de la Parte B del Apéndice </w:t>
      </w:r>
      <w:r w:rsidRPr="003667EC">
        <w:rPr>
          <w:rStyle w:val="Appref"/>
          <w:b/>
          <w:color w:val="000000"/>
          <w:lang w:val="es-ES_tradnl"/>
        </w:rPr>
        <w:t>17</w:t>
      </w:r>
      <w:r w:rsidRPr="003667EC">
        <w:rPr>
          <w:color w:val="000000"/>
          <w:lang w:val="es-ES_tradnl"/>
        </w:rPr>
        <w:t xml:space="preserve">: de conformidad con los números </w:t>
      </w:r>
      <w:r w:rsidRPr="003667EC">
        <w:rPr>
          <w:rStyle w:val="Artref"/>
          <w:b/>
          <w:color w:val="000000"/>
          <w:lang w:val="es-ES_tradnl"/>
        </w:rPr>
        <w:t>52.177</w:t>
      </w:r>
      <w:r w:rsidRPr="003667EC">
        <w:rPr>
          <w:color w:val="000000"/>
          <w:lang w:val="es-ES_tradnl"/>
        </w:rPr>
        <w:t xml:space="preserve">, </w:t>
      </w:r>
      <w:r w:rsidRPr="003667EC">
        <w:rPr>
          <w:rStyle w:val="Artref"/>
          <w:b/>
          <w:color w:val="000000"/>
          <w:lang w:val="es-ES_tradnl"/>
        </w:rPr>
        <w:t>52.217</w:t>
      </w:r>
      <w:r w:rsidRPr="003667EC">
        <w:rPr>
          <w:color w:val="000000"/>
          <w:lang w:val="es-ES_tradnl"/>
        </w:rPr>
        <w:t xml:space="preserve">, </w:t>
      </w:r>
      <w:r w:rsidRPr="003667EC">
        <w:rPr>
          <w:rStyle w:val="Artref"/>
          <w:b/>
          <w:color w:val="000000"/>
          <w:lang w:val="es-ES_tradnl"/>
        </w:rPr>
        <w:t>52.219</w:t>
      </w:r>
      <w:r w:rsidRPr="003667EC">
        <w:rPr>
          <w:color w:val="000000"/>
          <w:lang w:val="es-ES_tradnl"/>
        </w:rPr>
        <w:t xml:space="preserve"> y </w:t>
      </w:r>
      <w:r w:rsidRPr="003667EC">
        <w:rPr>
          <w:rStyle w:val="Artref"/>
          <w:b/>
          <w:color w:val="000000"/>
          <w:lang w:val="es-ES_tradnl"/>
        </w:rPr>
        <w:t>52.220</w:t>
      </w:r>
      <w:r w:rsidRPr="003667EC">
        <w:rPr>
          <w:color w:val="000000"/>
          <w:lang w:val="es-ES_tradnl"/>
        </w:rPr>
        <w:t xml:space="preserve">) y, cuando proceda, con respecto a las condiciones definidas en el Plan del Apéndice </w:t>
      </w:r>
      <w:r w:rsidRPr="003667EC">
        <w:rPr>
          <w:rStyle w:val="Appref"/>
          <w:b/>
          <w:color w:val="000000"/>
          <w:lang w:val="es-ES_tradnl"/>
        </w:rPr>
        <w:t>25</w:t>
      </w:r>
      <w:r w:rsidRPr="003667EC">
        <w:rPr>
          <w:color w:val="000000"/>
          <w:lang w:val="es-ES_tradnl"/>
        </w:rPr>
        <w:t xml:space="preserve"> relativas al emplazamiento de la estación costera transmisora.</w:t>
      </w:r>
    </w:p>
    <w:p w:rsidR="00D01428" w:rsidRDefault="00D01428" w:rsidP="00BF0573">
      <w:pPr>
        <w:spacing w:before="120"/>
        <w:rPr>
          <w:color w:val="000000"/>
          <w:lang w:val="es-ES_tradnl"/>
        </w:rPr>
      </w:pPr>
      <w:r>
        <w:rPr>
          <w:color w:val="000000"/>
          <w:lang w:val="es-ES_tradnl"/>
        </w:rPr>
        <w:br w:type="page"/>
      </w:r>
    </w:p>
    <w:p w:rsidR="00A60C28" w:rsidRPr="003667EC" w:rsidRDefault="00A60C28" w:rsidP="00BF0573">
      <w:pPr>
        <w:spacing w:before="120"/>
        <w:rPr>
          <w:color w:val="000000"/>
          <w:lang w:val="es-ES_tradnl"/>
        </w:rPr>
      </w:pPr>
      <w:r w:rsidRPr="003667EC">
        <w:rPr>
          <w:color w:val="000000"/>
          <w:lang w:val="es-ES_tradnl"/>
        </w:rPr>
        <w:lastRenderedPageBreak/>
        <w:t>1.2.2</w:t>
      </w:r>
      <w:r w:rsidRPr="003667EC">
        <w:rPr>
          <w:color w:val="000000"/>
          <w:lang w:val="es-ES_tradnl"/>
        </w:rPr>
        <w:tab/>
        <w:t>Las características de la notificación de asignación de frecuencia, que corres</w:t>
      </w:r>
      <w:r w:rsidRPr="003667EC">
        <w:rPr>
          <w:color w:val="000000"/>
          <w:lang w:val="es-ES_tradnl"/>
        </w:rPr>
        <w:softHyphen/>
        <w:t xml:space="preserve">pondan a las adjudicaciones inscritas en el Plan del Apéndice </w:t>
      </w:r>
      <w:r w:rsidRPr="003667EC">
        <w:rPr>
          <w:rStyle w:val="Appref"/>
          <w:b/>
          <w:color w:val="000000"/>
          <w:lang w:val="es-ES_tradnl"/>
        </w:rPr>
        <w:t>25</w:t>
      </w:r>
      <w:r w:rsidRPr="003667EC">
        <w:rPr>
          <w:color w:val="000000"/>
          <w:lang w:val="es-ES_tradnl"/>
        </w:rPr>
        <w:t>, en aplicación de los procedi</w:t>
      </w:r>
      <w:r w:rsidRPr="003667EC">
        <w:rPr>
          <w:color w:val="000000"/>
          <w:lang w:val="es-ES_tradnl"/>
        </w:rPr>
        <w:softHyphen/>
        <w:t xml:space="preserve">mientos del antiguo Artículo 16 del Reglamento de Radiocomunicaciones, o el procedimiento de la Sección I del Apéndice </w:t>
      </w:r>
      <w:r w:rsidRPr="003667EC">
        <w:rPr>
          <w:rStyle w:val="Appref"/>
          <w:b/>
          <w:color w:val="000000"/>
          <w:lang w:val="es-ES_tradnl"/>
        </w:rPr>
        <w:t>25</w:t>
      </w:r>
      <w:r w:rsidRPr="003667EC">
        <w:rPr>
          <w:color w:val="000000"/>
          <w:lang w:val="es-ES_tradnl"/>
        </w:rPr>
        <w:t>, así como las inscritas en los antiguos canales del Plan del Apéndice </w:t>
      </w:r>
      <w:r w:rsidRPr="003667EC">
        <w:rPr>
          <w:rStyle w:val="Appref"/>
          <w:b/>
          <w:color w:val="000000"/>
          <w:lang w:val="es-ES_tradnl"/>
        </w:rPr>
        <w:t>25</w:t>
      </w:r>
      <w:r w:rsidRPr="003667EC">
        <w:rPr>
          <w:bCs/>
          <w:color w:val="000000"/>
          <w:lang w:val="es-ES_tradnl"/>
        </w:rPr>
        <w:t>,</w:t>
      </w:r>
      <w:r w:rsidRPr="003667EC">
        <w:rPr>
          <w:color w:val="000000"/>
          <w:lang w:val="es-ES_tradnl"/>
        </w:rPr>
        <w:t xml:space="preserve"> de conformidad con el § 5 del Anexo a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BF0573" w:rsidRPr="005A408A">
        <w:rPr>
          <w:rStyle w:val="FootnoteReference"/>
          <w:lang w:val="es-ES_tradnl"/>
        </w:rPr>
        <w:t>*</w:t>
      </w:r>
      <w:r w:rsidRPr="00BF0573">
        <w:rPr>
          <w:color w:val="FFFFFF" w:themeColor="background1"/>
          <w:lang w:val="es-ES_tradnl"/>
        </w:rPr>
        <w:t xml:space="preserve"> </w:t>
      </w:r>
      <w:r w:rsidRPr="003667EC">
        <w:rPr>
          <w:color w:val="000000"/>
          <w:lang w:val="es-ES_tradnl"/>
        </w:rPr>
        <w:t>(determi</w:t>
      </w:r>
      <w:r w:rsidRPr="003667EC">
        <w:rPr>
          <w:color w:val="000000"/>
          <w:lang w:val="es-ES_tradnl"/>
        </w:rPr>
        <w:softHyphen/>
        <w:t>nación del canal menos afectado por insistir en ello la administración), se examinarán, con respecto a su conformidad con todas las condiciones estipuladas para la adjudicación en cuestión en el Plan del Apéndice </w:t>
      </w:r>
      <w:r w:rsidRPr="003667EC">
        <w:rPr>
          <w:rStyle w:val="Appref"/>
          <w:b/>
          <w:color w:val="000000"/>
          <w:lang w:val="es-ES_tradnl"/>
        </w:rPr>
        <w:t>25</w:t>
      </w:r>
      <w:r w:rsidRPr="003667EC">
        <w:rPr>
          <w:color w:val="000000"/>
          <w:lang w:val="es-ES_tradnl"/>
        </w:rPr>
        <w:t xml:space="preserve"> (es decir, emplazamiento de la estación costera trans</w:t>
      </w:r>
      <w:r w:rsidRPr="003667EC">
        <w:rPr>
          <w:color w:val="000000"/>
          <w:lang w:val="es-ES_tradnl"/>
        </w:rPr>
        <w:softHyphen/>
        <w:t>misora en relación con la zona de adjudicación, límite de potencia, horario de utilización).</w:t>
      </w:r>
    </w:p>
    <w:p w:rsidR="00A60C28" w:rsidRPr="003667EC" w:rsidRDefault="00A60C28" w:rsidP="00782C00">
      <w:pPr>
        <w:spacing w:before="120"/>
        <w:rPr>
          <w:color w:val="000000"/>
          <w:lang w:val="es-ES_tradnl"/>
        </w:rPr>
      </w:pPr>
      <w:r w:rsidRPr="003667EC">
        <w:rPr>
          <w:color w:val="000000"/>
          <w:lang w:val="es-ES_tradnl"/>
        </w:rPr>
        <w:t>1.2.3</w:t>
      </w:r>
      <w:r w:rsidRPr="003667EC">
        <w:rPr>
          <w:color w:val="000000"/>
          <w:lang w:val="es-ES_tradnl"/>
        </w:rPr>
        <w:tab/>
        <w:t>La no conformidad con las características pertinentes del Plan del Apéndice </w:t>
      </w:r>
      <w:r w:rsidRPr="003667EC">
        <w:rPr>
          <w:rStyle w:val="Appref"/>
          <w:b/>
          <w:color w:val="000000"/>
          <w:lang w:val="es-ES_tradnl"/>
        </w:rPr>
        <w:t>25</w:t>
      </w:r>
      <w:r w:rsidRPr="003667EC">
        <w:rPr>
          <w:color w:val="000000"/>
          <w:lang w:val="es-ES_tradnl"/>
        </w:rPr>
        <w:t xml:space="preserve"> dará lugar a una conclusión desfavorable en virtud del número </w:t>
      </w:r>
      <w:r w:rsidRPr="003667EC">
        <w:rPr>
          <w:rStyle w:val="Artref"/>
          <w:b/>
          <w:color w:val="000000"/>
          <w:lang w:val="es-ES_tradnl"/>
        </w:rPr>
        <w:t>11.34</w:t>
      </w:r>
      <w:r w:rsidRPr="003667EC">
        <w:rPr>
          <w:bCs/>
          <w:color w:val="000000"/>
          <w:lang w:val="es-ES_tradnl"/>
        </w:rPr>
        <w:t>,</w:t>
      </w:r>
      <w:r w:rsidRPr="003667EC">
        <w:rPr>
          <w:color w:val="000000"/>
          <w:lang w:val="es-ES_tradnl"/>
        </w:rPr>
        <w:t xml:space="preserve"> y la modificación de estas características estará sujeta a la aplicación del procedimiento de la Sección I del Apéndice </w:t>
      </w:r>
      <w:r w:rsidRPr="003667EC">
        <w:rPr>
          <w:rStyle w:val="Appref"/>
          <w:b/>
          <w:color w:val="000000"/>
          <w:lang w:val="es-ES_tradnl"/>
        </w:rPr>
        <w:t>25</w:t>
      </w:r>
      <w:r w:rsidRPr="003667EC">
        <w:rPr>
          <w:color w:val="000000"/>
          <w:lang w:val="es-ES_tradnl"/>
        </w:rPr>
        <w:t xml:space="preserve"> al Reglamento de Radiocomunicaciones.</w:t>
      </w:r>
      <w:r w:rsidR="00BF0573" w:rsidRPr="00BF0573">
        <w:rPr>
          <w:rStyle w:val="FootnoteReference"/>
          <w:b/>
          <w:color w:val="FFFFFF" w:themeColor="background1"/>
          <w:lang w:val="es-ES_tradnl"/>
        </w:rPr>
        <w:t xml:space="preserve"> </w:t>
      </w:r>
      <w:r w:rsidR="00BF0573" w:rsidRPr="00BF0573">
        <w:rPr>
          <w:rStyle w:val="FootnoteReference"/>
          <w:b/>
          <w:color w:val="FFFFFF" w:themeColor="background1"/>
          <w:lang w:val="es-ES_tradnl"/>
        </w:rPr>
        <w:footnoteReference w:id="11"/>
      </w:r>
    </w:p>
    <w:p w:rsidR="00A60C28" w:rsidRPr="003667EC" w:rsidRDefault="00A60C28" w:rsidP="00782C00">
      <w:pPr>
        <w:pStyle w:val="Heading1"/>
        <w:spacing w:before="480" w:line="280" w:lineRule="exact"/>
        <w:rPr>
          <w:color w:val="000000"/>
          <w:lang w:val="es-ES_tradnl"/>
        </w:rPr>
      </w:pPr>
      <w:r w:rsidRPr="003667EC">
        <w:rPr>
          <w:color w:val="000000"/>
          <w:lang w:val="es-ES_tradnl"/>
        </w:rPr>
        <w:t>2</w:t>
      </w:r>
      <w:r w:rsidRPr="003667EC">
        <w:rPr>
          <w:color w:val="000000"/>
          <w:lang w:val="es-ES_tradnl"/>
        </w:rPr>
        <w:tab/>
        <w:t>Bandas regidas por los Planes regionales de asignación o adjudicación</w:t>
      </w:r>
    </w:p>
    <w:p w:rsidR="00A60C28" w:rsidRPr="003667EC" w:rsidRDefault="00A60C28">
      <w:pPr>
        <w:rPr>
          <w:color w:val="000000"/>
          <w:lang w:val="es-ES_tradnl"/>
        </w:rPr>
      </w:pPr>
      <w:r w:rsidRPr="003667EC">
        <w:rPr>
          <w:color w:val="000000"/>
          <w:lang w:val="es-ES_tradnl"/>
        </w:rPr>
        <w:t>2.1</w:t>
      </w:r>
      <w:r w:rsidRPr="003667EC">
        <w:rPr>
          <w:color w:val="000000"/>
          <w:lang w:val="es-ES_tradnl"/>
        </w:rPr>
        <w:tab/>
        <w:t>Cuando del examen de una notificación se desprenda que no está en conformidad con el Plan anexo a un acuerdo regional la Oficina adoptará las siguientes medidas:</w:t>
      </w:r>
    </w:p>
    <w:p w:rsidR="00A60C28" w:rsidRPr="003667EC" w:rsidRDefault="00A60C28" w:rsidP="00782C00">
      <w:pPr>
        <w:spacing w:before="120"/>
        <w:rPr>
          <w:color w:val="000000"/>
          <w:lang w:val="es-ES_tradnl"/>
        </w:rPr>
      </w:pPr>
      <w:r w:rsidRPr="003667EC">
        <w:rPr>
          <w:color w:val="000000"/>
          <w:lang w:val="es-ES_tradnl"/>
        </w:rPr>
        <w:t>2.1.1</w:t>
      </w:r>
      <w:r w:rsidRPr="003667EC">
        <w:rPr>
          <w:color w:val="000000"/>
          <w:lang w:val="es-ES_tradnl"/>
        </w:rPr>
        <w:tab/>
        <w:t>Las asignaciones de frecuencia en las bandas regidas por los Acuerdos Regionales a los que se hace referencia explícitamente en el Cuadro de atribución de bandas de frecuencias se tramitarán de la siguiente manera:</w:t>
      </w:r>
    </w:p>
    <w:p w:rsidR="00A60C28" w:rsidRDefault="00A60C28">
      <w:pPr>
        <w:rPr>
          <w:color w:val="000000"/>
          <w:lang w:val="es-ES_tradnl"/>
        </w:rPr>
      </w:pPr>
      <w:r w:rsidRPr="003667EC">
        <w:rPr>
          <w:color w:val="000000"/>
          <w:lang w:val="es-ES_tradnl"/>
        </w:rPr>
        <w:t>2.1.1.1</w:t>
      </w:r>
      <w:r w:rsidRPr="003667EC">
        <w:rPr>
          <w:color w:val="000000"/>
          <w:lang w:val="es-ES_tradnl"/>
        </w:rPr>
        <w:tab/>
        <w:t>las notificaciones de asignaciones de frecuencia sometidas sin referencia al número </w:t>
      </w:r>
      <w:r w:rsidRPr="003667EC">
        <w:rPr>
          <w:rStyle w:val="Artref"/>
          <w:b/>
          <w:color w:val="000000"/>
          <w:lang w:val="es-ES_tradnl"/>
        </w:rPr>
        <w:t>4.4</w:t>
      </w:r>
      <w:r w:rsidRPr="003667EC">
        <w:rPr>
          <w:color w:val="000000"/>
          <w:lang w:val="es-ES_tradnl"/>
        </w:rPr>
        <w:t xml:space="preserve"> se devolverán a la administración notificante;</w:t>
      </w:r>
    </w:p>
    <w:p w:rsidR="00A60C28" w:rsidRPr="003667EC" w:rsidRDefault="00A60C28" w:rsidP="007E3FFE">
      <w:pPr>
        <w:rPr>
          <w:color w:val="000000"/>
          <w:lang w:val="es-ES_tradnl"/>
        </w:rPr>
      </w:pPr>
      <w:r w:rsidRPr="003667EC">
        <w:rPr>
          <w:color w:val="000000"/>
          <w:lang w:val="es-ES_tradnl"/>
        </w:rPr>
        <w:t>2.1.1.2</w:t>
      </w:r>
      <w:r w:rsidRPr="003667EC">
        <w:rPr>
          <w:color w:val="000000"/>
          <w:lang w:val="es-ES_tradnl"/>
        </w:rPr>
        <w:tab/>
        <w:t>las notificaciones de asignaciones de frecuencia sometidas en virtud de las dispo</w:t>
      </w:r>
      <w:r w:rsidR="009A2F2C" w:rsidRPr="003667EC">
        <w:rPr>
          <w:color w:val="000000"/>
          <w:lang w:val="es-ES_tradnl"/>
        </w:rPr>
        <w:softHyphen/>
      </w:r>
      <w:r w:rsidRPr="003667EC">
        <w:rPr>
          <w:color w:val="000000"/>
          <w:lang w:val="es-ES_tradnl"/>
        </w:rPr>
        <w:t xml:space="preserve">siciones del número </w:t>
      </w:r>
      <w:r w:rsidRPr="003667EC">
        <w:rPr>
          <w:rStyle w:val="Artref"/>
          <w:b/>
          <w:color w:val="000000"/>
          <w:lang w:val="es-ES_tradnl"/>
        </w:rPr>
        <w:t xml:space="preserve">4.4 </w:t>
      </w:r>
      <w:r w:rsidRPr="003667EC">
        <w:rPr>
          <w:color w:val="000000"/>
          <w:lang w:val="es-ES_tradnl"/>
        </w:rPr>
        <w:t>se inscribirán con una conclusión desfavorable en relación con el número </w:t>
      </w:r>
      <w:r w:rsidRPr="003667EC">
        <w:rPr>
          <w:rStyle w:val="Artref"/>
          <w:b/>
          <w:color w:val="000000"/>
          <w:lang w:val="es-ES_tradnl"/>
        </w:rPr>
        <w:t>11.31</w:t>
      </w:r>
      <w:r w:rsidRPr="003667EC">
        <w:rPr>
          <w:color w:val="000000"/>
          <w:lang w:val="es-ES_tradnl"/>
        </w:rPr>
        <w:t xml:space="preserve"> y bajo las condiciones del número </w:t>
      </w:r>
      <w:r w:rsidRPr="003667EC">
        <w:rPr>
          <w:rStyle w:val="Artref"/>
          <w:b/>
          <w:color w:val="000000"/>
          <w:lang w:val="es-ES_tradnl"/>
        </w:rPr>
        <w:t>4.4</w:t>
      </w:r>
      <w:r w:rsidRPr="003667EC">
        <w:rPr>
          <w:color w:val="000000"/>
          <w:lang w:val="es-ES_tradnl"/>
        </w:rPr>
        <w:t>.</w:t>
      </w:r>
    </w:p>
    <w:p w:rsidR="00A60C28" w:rsidRPr="003667EC" w:rsidRDefault="00A60C28" w:rsidP="005A408A">
      <w:pPr>
        <w:spacing w:before="120"/>
        <w:rPr>
          <w:color w:val="000000"/>
          <w:lang w:val="es-ES_tradnl"/>
        </w:rPr>
      </w:pPr>
      <w:r w:rsidRPr="003667EC">
        <w:rPr>
          <w:color w:val="000000"/>
          <w:lang w:val="es-ES_tradnl"/>
        </w:rPr>
        <w:t>2.2</w:t>
      </w:r>
      <w:r w:rsidRPr="003667EC">
        <w:rPr>
          <w:color w:val="000000"/>
          <w:lang w:val="es-ES_tradnl"/>
        </w:rPr>
        <w:tab/>
        <w:t>Las asignaciones de frecuencia en las bandas regidas por Acuerdos Regionales que no están mencionadas explícitamente en el Cuadro de atribuciones de bandas de frecuencias se tramitarán de la siguiente manera:</w:t>
      </w:r>
    </w:p>
    <w:p w:rsidR="00A60C28" w:rsidRPr="003667EC" w:rsidRDefault="00A60C28" w:rsidP="005A408A">
      <w:pPr>
        <w:spacing w:before="120"/>
        <w:rPr>
          <w:color w:val="000000"/>
          <w:lang w:val="es-ES_tradnl"/>
        </w:rPr>
      </w:pPr>
      <w:r w:rsidRPr="003667EC">
        <w:rPr>
          <w:color w:val="000000"/>
          <w:lang w:val="es-ES_tradnl"/>
        </w:rPr>
        <w:t>2.2.1</w:t>
      </w:r>
      <w:r w:rsidRPr="003667EC">
        <w:rPr>
          <w:color w:val="000000"/>
          <w:lang w:val="es-ES_tradnl"/>
        </w:rPr>
        <w:tab/>
        <w:t>En el caso de los Acuerdos que permiten la posibilidad de poner en servicio asignaciones que no son conformes al Plan pertinente (es decir, GE75, RJ81, GE85-MM-R1 y GE85</w:t>
      </w:r>
      <w:r w:rsidR="005164F3" w:rsidRPr="003667EC">
        <w:rPr>
          <w:color w:val="000000"/>
          <w:lang w:val="es-ES_tradnl"/>
        </w:rPr>
        <w:noBreakHyphen/>
      </w:r>
      <w:r w:rsidRPr="003667EC">
        <w:rPr>
          <w:color w:val="000000"/>
          <w:lang w:val="es-ES_tradnl"/>
        </w:rPr>
        <w:t>EMA): la asignación se examinará con arreglo a las condiciones especificadas en los Acuerdos y, si las condiciones están reunidas, la asignación se inscribirá en consecuencia. Si las condiciones no están reunidas las asignaciones se tramitarán con arreglo al § 2.2.2 siguiente</w:t>
      </w:r>
      <w:r w:rsidR="00FE6D36" w:rsidRPr="003667EC">
        <w:rPr>
          <w:color w:val="000000"/>
          <w:lang w:val="es-ES_tradnl"/>
        </w:rPr>
        <w:t>, a excepción de las notificaciones regidas por el Acuerdo GE06.</w:t>
      </w:r>
    </w:p>
    <w:p w:rsidR="00D01428" w:rsidRDefault="00D01428" w:rsidP="005A408A">
      <w:pPr>
        <w:spacing w:before="120"/>
        <w:rPr>
          <w:color w:val="000000"/>
          <w:lang w:val="es-ES_tradnl"/>
        </w:rPr>
      </w:pPr>
      <w:r>
        <w:rPr>
          <w:color w:val="000000"/>
          <w:lang w:val="es-ES_tradnl"/>
        </w:rPr>
        <w:br w:type="page"/>
      </w:r>
    </w:p>
    <w:p w:rsidR="00A60C28" w:rsidRPr="003667EC" w:rsidRDefault="00A60C28" w:rsidP="005A408A">
      <w:pPr>
        <w:spacing w:before="120"/>
        <w:rPr>
          <w:color w:val="000000"/>
          <w:lang w:val="es-ES_tradnl"/>
        </w:rPr>
      </w:pPr>
      <w:r w:rsidRPr="003667EC">
        <w:rPr>
          <w:color w:val="000000"/>
          <w:lang w:val="es-ES_tradnl"/>
        </w:rPr>
        <w:lastRenderedPageBreak/>
        <w:t>2.2.2</w:t>
      </w:r>
      <w:r w:rsidRPr="003667EC">
        <w:rPr>
          <w:color w:val="000000"/>
          <w:lang w:val="es-ES_tradnl"/>
        </w:rPr>
        <w:tab/>
        <w:t xml:space="preserve">En el caso de los Acuerdos que no contienen indicación en cuanto a la puesta en servicio de asignaciones que no son conformes al Plan pertinente (por ejemplo, las bandas regidas por los Acuerdos Regionales ST61, GE84 y GE89), la notificación se devolverá a la administración con la propuesta de que se aplique el procedimiento necesario o se introduzcan las modificaciones necesarias en la notificación, a fin de que sea conforme con el Plan. Sin embargo, si la administración insiste en que se reconsidere la notificación, la asignación se inscribirá con una conclusión favorable en virtud del número </w:t>
      </w:r>
      <w:r w:rsidRPr="003667EC">
        <w:rPr>
          <w:rStyle w:val="Artref"/>
          <w:b/>
          <w:color w:val="000000"/>
          <w:lang w:val="es-ES_tradnl"/>
        </w:rPr>
        <w:t>11.31</w:t>
      </w:r>
      <w:r w:rsidRPr="003667EC">
        <w:rPr>
          <w:color w:val="000000"/>
          <w:lang w:val="es-ES_tradnl"/>
        </w:rPr>
        <w:t>, junto con el (los) nombre(s) de la(s) administración(es) cuyas asignaciones en virtud del Plan se vean probable</w:t>
      </w:r>
      <w:r w:rsidRPr="003667EC">
        <w:rPr>
          <w:color w:val="000000"/>
          <w:lang w:val="es-ES_tradnl"/>
        </w:rPr>
        <w:softHyphen/>
        <w:t>mente afectadas, indicándose que la asignación inscrita funcionará, con respecto a esa(s) administración(es), en condiciones que no cause interferencia perjudicial a una estación que funciona de conformidad con el Plan, ni dará lugar a reclamar protección contra las inter</w:t>
      </w:r>
      <w:r w:rsidRPr="003667EC">
        <w:rPr>
          <w:color w:val="000000"/>
          <w:lang w:val="es-ES_tradnl"/>
        </w:rPr>
        <w:softHyphen/>
        <w:t>ferencias perjudiciales causadas por la última estación.</w:t>
      </w:r>
    </w:p>
    <w:p w:rsidR="00FE6D36" w:rsidRDefault="00FE6D36" w:rsidP="005A408A">
      <w:pPr>
        <w:spacing w:before="120"/>
        <w:rPr>
          <w:color w:val="000000"/>
          <w:lang w:val="es-ES_tradnl"/>
        </w:rPr>
      </w:pPr>
      <w:r w:rsidRPr="003667EC">
        <w:rPr>
          <w:color w:val="000000"/>
          <w:lang w:val="es-ES_tradnl"/>
        </w:rPr>
        <w:t>2.2.3</w:t>
      </w:r>
      <w:r w:rsidRPr="003667EC">
        <w:rPr>
          <w:color w:val="000000"/>
          <w:lang w:val="es-ES_tradnl"/>
        </w:rPr>
        <w:tab/>
        <w:t>Las notificaciones regidas por el Acuerdo GE06, que no son conformes con los Planes de radiodifusión o con la Lista de asignaciones a otros servicios terrenales primarios, se tramitarán de acuerdo con el procedimiento aplicable, como se estipula en el Artículo 5 del Acuerdo GE06.</w:t>
      </w:r>
    </w:p>
    <w:p w:rsidR="00A60C28" w:rsidRPr="003667EC" w:rsidRDefault="00A60C28" w:rsidP="004C44AE">
      <w:pPr>
        <w:pStyle w:val="Heading8"/>
        <w:rPr>
          <w:color w:val="000000"/>
          <w:lang w:val="es-ES_tradnl"/>
        </w:rPr>
      </w:pPr>
      <w:r w:rsidRPr="003667EC">
        <w:rPr>
          <w:color w:val="000000"/>
          <w:lang w:val="es-ES_tradnl"/>
        </w:rPr>
        <w:t>11.36</w:t>
      </w:r>
    </w:p>
    <w:p w:rsidR="00A60C28" w:rsidRPr="003667EC" w:rsidRDefault="00A60C28" w:rsidP="005A408A">
      <w:pPr>
        <w:spacing w:before="120"/>
        <w:rPr>
          <w:color w:val="000000"/>
          <w:lang w:val="es-ES_tradnl"/>
        </w:rPr>
      </w:pPr>
      <w:r w:rsidRPr="003667EC">
        <w:rPr>
          <w:color w:val="000000"/>
          <w:lang w:val="es-ES_tradnl"/>
        </w:rPr>
        <w:t xml:space="preserve">Véanse los comentarios de las Reglas de Procedimiento referentes al número </w:t>
      </w:r>
      <w:r w:rsidRPr="003667EC">
        <w:rPr>
          <w:rStyle w:val="Artref"/>
          <w:b/>
          <w:color w:val="000000"/>
          <w:lang w:val="es-ES_tradnl"/>
        </w:rPr>
        <w:t>4.4</w:t>
      </w:r>
      <w:r w:rsidRPr="003667EC">
        <w:rPr>
          <w:color w:val="000000"/>
          <w:lang w:val="es-ES_tradnl"/>
        </w:rPr>
        <w:t xml:space="preserve"> acerca de las bandas de frecuencias cuya utilización está prohibida excepto para el uso indicado en el Reglamento de Radiocomunicaciones.</w:t>
      </w:r>
    </w:p>
    <w:p w:rsidR="00A60C28" w:rsidRPr="003667EC" w:rsidRDefault="00A60C28" w:rsidP="004C44AE">
      <w:pPr>
        <w:pStyle w:val="Heading8"/>
        <w:rPr>
          <w:color w:val="000000"/>
          <w:lang w:val="es-ES_tradnl"/>
        </w:rPr>
      </w:pPr>
      <w:r w:rsidRPr="003667EC">
        <w:rPr>
          <w:color w:val="000000"/>
          <w:lang w:val="es-ES_tradnl"/>
        </w:rPr>
        <w:t>11.37</w:t>
      </w:r>
    </w:p>
    <w:p w:rsidR="00A60C28" w:rsidRDefault="00A60C28" w:rsidP="005E750A">
      <w:pPr>
        <w:rPr>
          <w:color w:val="000000"/>
          <w:lang w:val="es-ES_tradnl"/>
        </w:rPr>
      </w:pPr>
      <w:r w:rsidRPr="003667EC">
        <w:rPr>
          <w:color w:val="000000"/>
          <w:lang w:val="es-ES_tradnl"/>
        </w:rPr>
        <w:t>Una asignación puede inscribirse en el Registro en relación con el número </w:t>
      </w:r>
      <w:r w:rsidRPr="003667EC">
        <w:rPr>
          <w:rStyle w:val="Artref"/>
          <w:b/>
          <w:color w:val="000000"/>
          <w:lang w:val="es-ES_tradnl"/>
        </w:rPr>
        <w:t>4.4</w:t>
      </w:r>
      <w:r w:rsidRPr="003667EC">
        <w:rPr>
          <w:color w:val="000000"/>
          <w:lang w:val="es-ES_tradnl"/>
        </w:rPr>
        <w:t xml:space="preserve"> únicamente en el caso de haber sido objeto de una conclusión desfavorable con respecto al número </w:t>
      </w:r>
      <w:r w:rsidRPr="003667EC">
        <w:rPr>
          <w:rStyle w:val="Artref"/>
          <w:b/>
          <w:color w:val="000000"/>
          <w:lang w:val="es-ES_tradnl"/>
        </w:rPr>
        <w:t>11.31</w:t>
      </w:r>
      <w:r w:rsidRPr="003667EC">
        <w:rPr>
          <w:color w:val="000000"/>
          <w:lang w:val="es-ES_tradnl"/>
        </w:rPr>
        <w:t xml:space="preserve">, por ejemplo, caso de no ser conforme con el Cuadro de atribución de bandas de frecuencias (véase el número </w:t>
      </w:r>
      <w:r w:rsidRPr="003667EC">
        <w:rPr>
          <w:rStyle w:val="Artref"/>
          <w:b/>
          <w:color w:val="000000"/>
          <w:lang w:val="es-ES_tradnl"/>
        </w:rPr>
        <w:t>11.36</w:t>
      </w:r>
      <w:r w:rsidRPr="003667EC">
        <w:rPr>
          <w:color w:val="000000"/>
          <w:lang w:val="es-ES_tradnl"/>
        </w:rPr>
        <w:t xml:space="preserve">). Esto implica que el número </w:t>
      </w:r>
      <w:r w:rsidRPr="003667EC">
        <w:rPr>
          <w:rStyle w:val="Artref"/>
          <w:b/>
          <w:color w:val="000000"/>
          <w:lang w:val="es-ES_tradnl"/>
        </w:rPr>
        <w:t>4.4</w:t>
      </w:r>
      <w:r w:rsidRPr="003667EC">
        <w:rPr>
          <w:color w:val="000000"/>
          <w:lang w:val="es-ES_tradnl"/>
        </w:rPr>
        <w:t xml:space="preserve"> es también aplicable a la no conformidad con la solicitud de coordinación del número </w:t>
      </w:r>
      <w:r w:rsidRPr="003667EC">
        <w:rPr>
          <w:rStyle w:val="Artref"/>
          <w:b/>
          <w:color w:val="000000"/>
          <w:lang w:val="es-ES_tradnl"/>
        </w:rPr>
        <w:t>9.21</w:t>
      </w:r>
      <w:r w:rsidRPr="003667EC">
        <w:rPr>
          <w:color w:val="000000"/>
          <w:lang w:val="es-ES_tradnl"/>
        </w:rPr>
        <w:t xml:space="preserve"> cuando se hace referencia al mismo en una nota del citado Cuadro (véase el número </w:t>
      </w:r>
      <w:r w:rsidRPr="003667EC">
        <w:rPr>
          <w:rStyle w:val="Artref"/>
          <w:b/>
          <w:color w:val="000000"/>
          <w:lang w:val="es-ES_tradnl"/>
        </w:rPr>
        <w:t>11.31.1</w:t>
      </w:r>
      <w:r w:rsidRPr="003667EC">
        <w:rPr>
          <w:color w:val="000000"/>
          <w:lang w:val="es-ES_tradnl"/>
        </w:rPr>
        <w:t xml:space="preserve">). Una consecuencia de lo dicho es que no podrá registrarse en virtud del número </w:t>
      </w:r>
      <w:r w:rsidRPr="003667EC">
        <w:rPr>
          <w:rStyle w:val="Artref"/>
          <w:b/>
          <w:color w:val="000000"/>
          <w:lang w:val="es-ES_tradnl"/>
        </w:rPr>
        <w:t>4.4</w:t>
      </w:r>
      <w:r w:rsidRPr="003667EC">
        <w:rPr>
          <w:color w:val="000000"/>
          <w:lang w:val="es-ES_tradnl"/>
        </w:rPr>
        <w:t xml:space="preserve"> una asignación conforme con el</w:t>
      </w:r>
      <w:r w:rsidR="00285A0D">
        <w:rPr>
          <w:color w:val="000000"/>
          <w:lang w:val="es-ES_tradnl"/>
        </w:rPr>
        <w:t> </w:t>
      </w:r>
      <w:r w:rsidRPr="003667EC">
        <w:rPr>
          <w:color w:val="000000"/>
          <w:lang w:val="es-ES_tradnl"/>
        </w:rPr>
        <w:t>Cuadro de atribución de bandas de frecuencias pero para la que no se ha completado el</w:t>
      </w:r>
      <w:r w:rsidR="003667EC" w:rsidRPr="003667EC">
        <w:rPr>
          <w:color w:val="000000"/>
          <w:lang w:val="es-ES_tradnl"/>
        </w:rPr>
        <w:t> </w:t>
      </w:r>
      <w:r w:rsidRPr="003667EC">
        <w:rPr>
          <w:color w:val="000000"/>
          <w:lang w:val="es-ES_tradnl"/>
        </w:rPr>
        <w:t xml:space="preserve">procedimiento de coordinación correspondiente (por ejemplo, los números </w:t>
      </w:r>
      <w:r w:rsidRPr="003667EC">
        <w:rPr>
          <w:rStyle w:val="Artref"/>
          <w:b/>
          <w:color w:val="000000"/>
          <w:lang w:val="es-ES_tradnl"/>
        </w:rPr>
        <w:t>9.7</w:t>
      </w:r>
      <w:r w:rsidRPr="003667EC">
        <w:rPr>
          <w:color w:val="000000"/>
          <w:lang w:val="es-ES_tradnl"/>
        </w:rPr>
        <w:t xml:space="preserve"> a </w:t>
      </w:r>
      <w:r w:rsidRPr="003667EC">
        <w:rPr>
          <w:rStyle w:val="Artref"/>
          <w:b/>
          <w:color w:val="000000"/>
          <w:lang w:val="es-ES_tradnl"/>
        </w:rPr>
        <w:t>9.19</w:t>
      </w:r>
      <w:r w:rsidR="009056FF">
        <w:rPr>
          <w:rStyle w:val="Artref"/>
          <w:b/>
          <w:color w:val="000000"/>
          <w:lang w:val="es-ES_tradnl"/>
        </w:rPr>
        <w:t>)</w:t>
      </w:r>
      <w:r w:rsidR="00261E6D">
        <w:rPr>
          <w:color w:val="000000"/>
          <w:lang w:val="es-ES_tradnl"/>
        </w:rPr>
        <w:t>.</w:t>
      </w:r>
      <w:r w:rsidR="005E750A">
        <w:rPr>
          <w:color w:val="000000"/>
          <w:lang w:val="es-ES_tradnl"/>
        </w:rPr>
        <w:t xml:space="preserve"> </w:t>
      </w:r>
      <w:r w:rsidRPr="003667EC">
        <w:rPr>
          <w:color w:val="000000"/>
          <w:lang w:val="es-ES_tradnl"/>
        </w:rPr>
        <w:t xml:space="preserve">Existen otras disposiciones (como por ejemplo los números </w:t>
      </w:r>
      <w:r w:rsidRPr="003667EC">
        <w:rPr>
          <w:rStyle w:val="Artref"/>
          <w:b/>
          <w:color w:val="000000"/>
          <w:lang w:val="es-ES_tradnl"/>
        </w:rPr>
        <w:t>11.32A</w:t>
      </w:r>
      <w:r w:rsidRPr="003667EC">
        <w:rPr>
          <w:color w:val="000000"/>
          <w:lang w:val="es-ES_tradnl"/>
        </w:rPr>
        <w:t xml:space="preserve">, </w:t>
      </w:r>
      <w:r w:rsidRPr="003667EC">
        <w:rPr>
          <w:rStyle w:val="Artref"/>
          <w:b/>
          <w:color w:val="000000"/>
          <w:lang w:val="es-ES_tradnl"/>
        </w:rPr>
        <w:t>11.33</w:t>
      </w:r>
      <w:r w:rsidRPr="003667EC">
        <w:rPr>
          <w:color w:val="000000"/>
          <w:lang w:val="es-ES_tradnl"/>
        </w:rPr>
        <w:t xml:space="preserve"> y </w:t>
      </w:r>
      <w:r w:rsidRPr="003667EC">
        <w:rPr>
          <w:rStyle w:val="Artref"/>
          <w:b/>
          <w:color w:val="000000"/>
          <w:lang w:val="es-ES_tradnl"/>
        </w:rPr>
        <w:t>11.41</w:t>
      </w:r>
      <w:r w:rsidR="009056FF" w:rsidRPr="009056FF">
        <w:rPr>
          <w:rStyle w:val="Artref"/>
          <w:bCs/>
          <w:color w:val="000000"/>
          <w:lang w:val="es-ES_tradnl"/>
        </w:rPr>
        <w:t>)</w:t>
      </w:r>
      <w:r w:rsidRPr="003667EC">
        <w:rPr>
          <w:color w:val="000000"/>
          <w:lang w:val="es-ES_tradnl"/>
        </w:rPr>
        <w:t xml:space="preserve"> que, en determinadas circunstancias, pueden llevar a la inscripción cuando no se ha efectuado satis</w:t>
      </w:r>
      <w:r w:rsidR="005164F3" w:rsidRPr="003667EC">
        <w:rPr>
          <w:color w:val="000000"/>
          <w:lang w:val="es-ES_tradnl"/>
        </w:rPr>
        <w:softHyphen/>
      </w:r>
      <w:r w:rsidRPr="003667EC">
        <w:rPr>
          <w:color w:val="000000"/>
          <w:lang w:val="es-ES_tradnl"/>
        </w:rPr>
        <w:t>factoriamente la coordinación.</w:t>
      </w:r>
    </w:p>
    <w:p w:rsidR="00D01428" w:rsidRDefault="00D01428" w:rsidP="00D70EFE">
      <w:pPr>
        <w:rPr>
          <w:color w:val="000000"/>
          <w:lang w:val="es-ES_tradnl"/>
        </w:rPr>
      </w:pPr>
      <w:r>
        <w:rPr>
          <w:color w:val="000000"/>
          <w:lang w:val="es-ES_tradnl"/>
        </w:rPr>
        <w:br w:type="page"/>
      </w:r>
    </w:p>
    <w:p w:rsidR="00DB387B" w:rsidRPr="00A80144" w:rsidRDefault="00DB387B" w:rsidP="006D45DA">
      <w:pPr>
        <w:keepNext/>
        <w:keepLines/>
        <w:pBdr>
          <w:top w:val="double" w:sz="6" w:space="1" w:color="auto"/>
          <w:left w:val="double" w:sz="6" w:space="1" w:color="auto"/>
          <w:bottom w:val="double" w:sz="6" w:space="1" w:color="auto"/>
          <w:right w:val="double" w:sz="6" w:space="25" w:color="auto"/>
        </w:pBdr>
        <w:tabs>
          <w:tab w:val="clear" w:pos="1134"/>
          <w:tab w:val="clear" w:pos="1871"/>
          <w:tab w:val="left" w:pos="1985"/>
        </w:tabs>
        <w:spacing w:before="120" w:line="250" w:lineRule="exact"/>
        <w:ind w:left="85" w:right="7938"/>
        <w:jc w:val="left"/>
        <w:outlineLvl w:val="7"/>
        <w:rPr>
          <w:b/>
          <w:color w:val="000000"/>
          <w:lang w:val="es-ES_tradnl"/>
        </w:rPr>
      </w:pPr>
      <w:r w:rsidRPr="00514FDE">
        <w:rPr>
          <w:rFonts w:ascii="Times New Roman Bold" w:hAnsi="Times New Roman Bold" w:cs="Times New Roman Bold"/>
          <w:b/>
          <w:color w:val="000000"/>
          <w:spacing w:val="-6"/>
          <w:lang w:val="es-ES_tradnl"/>
        </w:rPr>
        <w:lastRenderedPageBreak/>
        <w:t xml:space="preserve">11.41 </w:t>
      </w:r>
      <w:r w:rsidRPr="00514FDE">
        <w:rPr>
          <w:rFonts w:ascii="Times New Roman Bold" w:hAnsi="Times New Roman Bold" w:cs="Times New Roman Bold"/>
          <w:b/>
          <w:spacing w:val="-6"/>
          <w:lang w:val="es-ES_tradnl"/>
        </w:rPr>
        <w:t xml:space="preserve">y </w:t>
      </w:r>
      <w:r w:rsidR="00514FDE">
        <w:rPr>
          <w:rFonts w:ascii="Times New Roman Bold" w:hAnsi="Times New Roman Bold" w:cs="Times New Roman Bold"/>
          <w:b/>
          <w:spacing w:val="-6"/>
          <w:lang w:val="es-ES_tradnl"/>
        </w:rPr>
        <w:t>1</w:t>
      </w:r>
      <w:r w:rsidRPr="00514FDE">
        <w:rPr>
          <w:rFonts w:ascii="Times New Roman Bold" w:hAnsi="Times New Roman Bold" w:cs="Times New Roman Bold"/>
          <w:b/>
          <w:spacing w:val="-6"/>
          <w:lang w:val="es-ES_tradnl"/>
        </w:rPr>
        <w:t>1.41.2</w:t>
      </w:r>
      <w:r w:rsidRPr="00A80144">
        <w:rPr>
          <w:b/>
          <w:lang w:val="es-ES_tradnl"/>
        </w:rPr>
        <w:tab/>
      </w:r>
    </w:p>
    <w:p w:rsidR="00DB387B" w:rsidRPr="00A80144" w:rsidRDefault="00A80144" w:rsidP="00514FDE">
      <w:pPr>
        <w:spacing w:before="60" w:line="250" w:lineRule="exact"/>
        <w:rPr>
          <w:color w:val="000000"/>
          <w:lang w:val="es-ES_tradnl"/>
        </w:rPr>
      </w:pPr>
      <w:r w:rsidRPr="00A80144">
        <w:rPr>
          <w:lang w:val="es-ES_tradnl"/>
        </w:rPr>
        <w:t xml:space="preserve">Las disposiciones del número </w:t>
      </w:r>
      <w:r w:rsidRPr="00A80144">
        <w:rPr>
          <w:b/>
          <w:bCs/>
          <w:lang w:val="es-ES_tradnl"/>
        </w:rPr>
        <w:t>11.41.2</w:t>
      </w:r>
      <w:r w:rsidRPr="00A80144">
        <w:rPr>
          <w:lang w:val="es-ES_tradnl"/>
        </w:rPr>
        <w:t xml:space="preserve"> exigen que la administración notificante, al presentar notificaciones en aplicación del número </w:t>
      </w:r>
      <w:r w:rsidRPr="00A80144">
        <w:rPr>
          <w:b/>
          <w:bCs/>
          <w:lang w:val="es-ES_tradnl"/>
        </w:rPr>
        <w:t>11.41</w:t>
      </w:r>
      <w:r w:rsidRPr="00A80144">
        <w:rPr>
          <w:lang w:val="es-ES_tradnl"/>
        </w:rPr>
        <w:t xml:space="preserve"> indique a la Oficina que han sido infructuosos los esfuerzos realizados para efectuar la coordinación con las administraciones cuyas asignaciones hayan dado lugar a conclusiones desfavorables con arreglo al número </w:t>
      </w:r>
      <w:r w:rsidRPr="00A80144">
        <w:rPr>
          <w:b/>
          <w:bCs/>
          <w:lang w:val="es-ES_tradnl"/>
        </w:rPr>
        <w:t>11.38</w:t>
      </w:r>
      <w:r w:rsidRPr="00A80144">
        <w:rPr>
          <w:lang w:val="es-ES_tradnl"/>
        </w:rPr>
        <w:t xml:space="preserve">. En ausencia de tal indicación, una nueva presentación conforme al número </w:t>
      </w:r>
      <w:r w:rsidRPr="00A80144">
        <w:rPr>
          <w:b/>
          <w:bCs/>
          <w:lang w:val="es-ES_tradnl"/>
        </w:rPr>
        <w:t>11.41</w:t>
      </w:r>
      <w:r w:rsidRPr="00A80144">
        <w:rPr>
          <w:lang w:val="es-ES_tradnl"/>
        </w:rPr>
        <w:t xml:space="preserve"> tras la devolución de una notificación en virtud del número </w:t>
      </w:r>
      <w:r w:rsidRPr="00A80144">
        <w:rPr>
          <w:b/>
          <w:bCs/>
          <w:lang w:val="es-ES_tradnl"/>
        </w:rPr>
        <w:t>11.38</w:t>
      </w:r>
      <w:r w:rsidRPr="00A80144">
        <w:rPr>
          <w:lang w:val="es-ES_tradnl"/>
        </w:rPr>
        <w:t xml:space="preserve"> se considerará no admisible y se devolverá a la administración correspondiente.</w:t>
      </w:r>
    </w:p>
    <w:p w:rsidR="00A60C28" w:rsidRPr="003667EC" w:rsidRDefault="00A60C28" w:rsidP="00514FDE">
      <w:pPr>
        <w:pStyle w:val="Heading8"/>
        <w:spacing w:before="240" w:line="250" w:lineRule="exact"/>
        <w:rPr>
          <w:lang w:val="es-ES_tradnl"/>
        </w:rPr>
      </w:pPr>
      <w:r w:rsidRPr="003667EC">
        <w:rPr>
          <w:lang w:val="es-ES_tradnl"/>
        </w:rPr>
        <w:t>11.43A</w:t>
      </w:r>
    </w:p>
    <w:p w:rsidR="00A60C28" w:rsidRPr="003667EC" w:rsidRDefault="00A60C28" w:rsidP="00514FDE">
      <w:pPr>
        <w:spacing w:before="120" w:line="250" w:lineRule="exact"/>
        <w:rPr>
          <w:color w:val="000000"/>
          <w:lang w:val="es-ES_tradnl"/>
        </w:rPr>
      </w:pPr>
      <w:r w:rsidRPr="003667EC">
        <w:rPr>
          <w:color w:val="000000"/>
          <w:lang w:val="es-ES_tradnl"/>
        </w:rPr>
        <w:t>1</w:t>
      </w:r>
      <w:r w:rsidRPr="003667EC">
        <w:rPr>
          <w:color w:val="000000"/>
          <w:lang w:val="es-ES_tradnl"/>
        </w:rPr>
        <w:tab/>
        <w:t>La modificación de una red espacial puede efectuarse durante el proceso de coor</w:t>
      </w:r>
      <w:r w:rsidRPr="003667EC">
        <w:rPr>
          <w:color w:val="000000"/>
          <w:lang w:val="es-ES_tradnl"/>
        </w:rPr>
        <w:softHyphen/>
        <w:t>dinación; este caso queda contemplado en los comentarios de las Reglas de Procedimiento referentes a los números </w:t>
      </w:r>
      <w:r w:rsidRPr="003667EC">
        <w:rPr>
          <w:rStyle w:val="Artref"/>
          <w:b/>
          <w:color w:val="000000"/>
          <w:lang w:val="es-ES_tradnl"/>
        </w:rPr>
        <w:t>9.27</w:t>
      </w:r>
      <w:r w:rsidRPr="003667EC">
        <w:rPr>
          <w:color w:val="000000"/>
          <w:lang w:val="es-ES_tradnl"/>
        </w:rPr>
        <w:t xml:space="preserve"> (§ 3), </w:t>
      </w:r>
      <w:r w:rsidRPr="003667EC">
        <w:rPr>
          <w:rStyle w:val="Artref"/>
          <w:b/>
          <w:color w:val="000000"/>
          <w:lang w:val="es-ES_tradnl"/>
        </w:rPr>
        <w:t>9.58</w:t>
      </w:r>
      <w:r w:rsidRPr="003667EC">
        <w:rPr>
          <w:color w:val="000000"/>
          <w:lang w:val="es-ES_tradnl"/>
        </w:rPr>
        <w:t xml:space="preserve">, </w:t>
      </w:r>
      <w:r w:rsidRPr="003667EC">
        <w:rPr>
          <w:rStyle w:val="Artref"/>
          <w:b/>
          <w:color w:val="000000"/>
          <w:lang w:val="es-ES_tradnl"/>
        </w:rPr>
        <w:t>11.28</w:t>
      </w:r>
      <w:r w:rsidRPr="003667EC">
        <w:rPr>
          <w:color w:val="000000"/>
          <w:lang w:val="es-ES_tradnl"/>
        </w:rPr>
        <w:t xml:space="preserve"> y </w:t>
      </w:r>
      <w:r w:rsidRPr="003667EC">
        <w:rPr>
          <w:rStyle w:val="Artref"/>
          <w:b/>
          <w:color w:val="000000"/>
          <w:lang w:val="es-ES_tradnl"/>
        </w:rPr>
        <w:t>11.32</w:t>
      </w:r>
      <w:r w:rsidRPr="003667EC">
        <w:rPr>
          <w:color w:val="000000"/>
          <w:lang w:val="es-ES_tradnl"/>
        </w:rPr>
        <w:t>.</w:t>
      </w:r>
    </w:p>
    <w:p w:rsidR="009056FF" w:rsidRPr="009056FF" w:rsidRDefault="009056FF" w:rsidP="009243FB">
      <w:pPr>
        <w:rPr>
          <w:rFonts w:asciiTheme="majorBidi" w:hAnsiTheme="majorBidi" w:cstheme="majorBidi"/>
          <w:lang w:val="es-ES_tradnl"/>
        </w:rPr>
      </w:pPr>
      <w:r w:rsidRPr="009056FF">
        <w:rPr>
          <w:rFonts w:asciiTheme="majorBidi" w:hAnsiTheme="majorBidi" w:cstheme="majorBidi"/>
          <w:lang w:val="es-ES_tradnl"/>
        </w:rPr>
        <w:t>2</w:t>
      </w:r>
      <w:r w:rsidRPr="009056FF">
        <w:rPr>
          <w:rFonts w:asciiTheme="majorBidi" w:hAnsiTheme="majorBidi" w:cstheme="majorBidi"/>
          <w:lang w:val="es-ES_tradnl"/>
        </w:rPr>
        <w:tab/>
        <w:t xml:space="preserve">Respecto a los procedimientos aplicables a los casos de modificaciones de asignaciones a redes de satélite inscritas en el Registro, la CAMR Orb-88 decidió que, en el caso de redes de satélites geoestacionarios, toda modificación de las características básicas de una asignación, en aplicación del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(antiguo número </w:t>
      </w:r>
      <w:r w:rsidRPr="009056FF">
        <w:rPr>
          <w:rFonts w:asciiTheme="majorBidi" w:hAnsiTheme="majorBidi" w:cstheme="majorBidi"/>
          <w:b/>
          <w:bCs/>
          <w:lang w:val="es-ES_tradnl"/>
        </w:rPr>
        <w:t>1548</w:t>
      </w:r>
      <w:r w:rsidRPr="009056FF">
        <w:rPr>
          <w:rFonts w:asciiTheme="majorBidi" w:hAnsiTheme="majorBidi" w:cstheme="majorBidi"/>
          <w:lang w:val="es-ES_tradnl"/>
        </w:rPr>
        <w:t xml:space="preserve"> del RR), debía estar sujeta únicamente al procedimiento de coordinación (Sección II del Artículo </w:t>
      </w:r>
      <w:r w:rsidRPr="009056FF">
        <w:rPr>
          <w:rFonts w:asciiTheme="majorBidi" w:hAnsiTheme="majorBidi" w:cstheme="majorBidi"/>
          <w:b/>
          <w:bCs/>
          <w:lang w:val="es-ES_tradnl"/>
        </w:rPr>
        <w:t>9</w:t>
      </w:r>
      <w:r w:rsidRPr="009056FF">
        <w:rPr>
          <w:rFonts w:asciiTheme="majorBidi" w:hAnsiTheme="majorBidi" w:cstheme="majorBidi"/>
          <w:lang w:val="es-ES_tradnl"/>
        </w:rPr>
        <w:t xml:space="preserve">). Si la modificación se refiere a la notificación de la asignación o asignaciones en las bandas de frecuencias no utilizadas por otras asignaciones ya inscritas en el Registro, 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no se aplica y la tramitación se efectuará con arreglo a los números </w:t>
      </w:r>
      <w:r w:rsidRPr="009056FF">
        <w:rPr>
          <w:rFonts w:asciiTheme="majorBidi" w:hAnsiTheme="majorBidi" w:cstheme="majorBidi"/>
          <w:b/>
          <w:bCs/>
          <w:lang w:val="es-ES_tradnl"/>
        </w:rPr>
        <w:t>11.2</w:t>
      </w:r>
      <w:r w:rsidRPr="009056FF">
        <w:rPr>
          <w:rFonts w:asciiTheme="majorBidi" w:hAnsiTheme="majorBidi" w:cstheme="majorBidi"/>
          <w:lang w:val="es-ES_tradnl"/>
        </w:rPr>
        <w:t xml:space="preserve"> u </w:t>
      </w:r>
      <w:r w:rsidRPr="009056FF">
        <w:rPr>
          <w:rFonts w:asciiTheme="majorBidi" w:hAnsiTheme="majorBidi" w:cstheme="majorBidi"/>
          <w:b/>
          <w:bCs/>
          <w:lang w:val="es-ES_tradnl"/>
        </w:rPr>
        <w:t>11.9</w:t>
      </w:r>
      <w:r w:rsidRPr="009056FF">
        <w:rPr>
          <w:rFonts w:asciiTheme="majorBidi" w:hAnsiTheme="majorBidi" w:cstheme="majorBidi"/>
          <w:lang w:val="es-ES_tradnl"/>
        </w:rPr>
        <w:t>, según el caso.</w:t>
      </w:r>
      <w:r w:rsidR="00F15E33" w:rsidRPr="009C3798">
        <w:rPr>
          <w:color w:val="000000"/>
          <w:lang w:val="es-ES_tradnl"/>
        </w:rPr>
        <w:t xml:space="preserve">      </w:t>
      </w:r>
    </w:p>
    <w:p w:rsidR="009056FF" w:rsidRPr="009056FF" w:rsidRDefault="009056FF" w:rsidP="009056FF">
      <w:pPr>
        <w:rPr>
          <w:rFonts w:asciiTheme="majorBidi" w:hAnsiTheme="majorBidi" w:cstheme="majorBidi"/>
          <w:lang w:val="es-ES_tradnl"/>
        </w:rPr>
      </w:pPr>
      <w:r w:rsidRPr="009056FF">
        <w:rPr>
          <w:rFonts w:asciiTheme="majorBidi" w:hAnsiTheme="majorBidi" w:cstheme="majorBidi"/>
          <w:lang w:val="es-ES_tradnl"/>
        </w:rPr>
        <w:t xml:space="preserve">El objetivo del examen según lo dispuesto en 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es determinar si los requisitos de coordinación permanecen invariables o, llegado el caso, si la probabilidad de interferencia perjudicial no aumenta (véanse también las Reglas de Procedimiento correspondientes a los números </w:t>
      </w:r>
      <w:r w:rsidRPr="009056FF">
        <w:rPr>
          <w:rFonts w:asciiTheme="majorBidi" w:hAnsiTheme="majorBidi" w:cstheme="majorBidi"/>
          <w:b/>
          <w:bCs/>
          <w:lang w:val="es-ES_tradnl"/>
        </w:rPr>
        <w:t>11.28</w:t>
      </w:r>
      <w:r w:rsidRPr="009056FF">
        <w:rPr>
          <w:rFonts w:asciiTheme="majorBidi" w:hAnsiTheme="majorBidi" w:cstheme="majorBidi"/>
          <w:lang w:val="es-ES_tradnl"/>
        </w:rPr>
        <w:t xml:space="preserve"> y </w:t>
      </w:r>
      <w:r w:rsidRPr="009056FF">
        <w:rPr>
          <w:rFonts w:asciiTheme="majorBidi" w:hAnsiTheme="majorBidi" w:cstheme="majorBidi"/>
          <w:b/>
          <w:bCs/>
          <w:lang w:val="es-ES_tradnl"/>
        </w:rPr>
        <w:t>11.32</w:t>
      </w:r>
      <w:r w:rsidRPr="009056FF">
        <w:rPr>
          <w:rFonts w:asciiTheme="majorBidi" w:hAnsiTheme="majorBidi" w:cstheme="majorBidi"/>
          <w:lang w:val="es-ES_tradnl"/>
        </w:rPr>
        <w:t xml:space="preserve">). En estos casos, se aplican las disposiciones del número </w:t>
      </w:r>
      <w:r w:rsidRPr="009056FF">
        <w:rPr>
          <w:rFonts w:asciiTheme="majorBidi" w:hAnsiTheme="majorBidi" w:cstheme="majorBidi"/>
          <w:b/>
          <w:bCs/>
          <w:lang w:val="es-ES_tradnl"/>
        </w:rPr>
        <w:t>11.43B</w:t>
      </w:r>
      <w:r w:rsidRPr="009056FF">
        <w:rPr>
          <w:rFonts w:asciiTheme="majorBidi" w:hAnsiTheme="majorBidi" w:cstheme="majorBidi"/>
          <w:lang w:val="es-ES_tradnl"/>
        </w:rPr>
        <w:t xml:space="preserve"> cuyo efecto es mantener sin cambios el estatuto (Conclusiones) y la fecha de recepción de la asignación. Si debido a las modificaciones se identifican nuevos requisitos de coordinación, al comparar el nivel de interferencia (como </w:t>
      </w:r>
      <w:r w:rsidRPr="009056FF">
        <w:rPr>
          <w:rFonts w:asciiTheme="majorBidi" w:hAnsiTheme="majorBidi" w:cstheme="majorBidi"/>
        </w:rPr>
        <w:t>Δ</w:t>
      </w:r>
      <w:r w:rsidRPr="009056FF">
        <w:rPr>
          <w:rFonts w:asciiTheme="majorBidi" w:hAnsiTheme="majorBidi" w:cstheme="majorBidi"/>
          <w:lang w:val="es-ES_tradnl"/>
        </w:rPr>
        <w:t xml:space="preserve">T/T) que resulte de la consideración de las características iniciales y de las características modificadas, se otorgará una conclusión desfavorable y se devolverá la notificación a la administración notificante. Esta administración debería solicitar la aplicación de la Sección II del Artículo </w:t>
      </w:r>
      <w:r w:rsidRPr="009056FF">
        <w:rPr>
          <w:rFonts w:asciiTheme="majorBidi" w:hAnsiTheme="majorBidi" w:cstheme="majorBidi"/>
          <w:b/>
          <w:bCs/>
          <w:lang w:val="es-ES_tradnl"/>
        </w:rPr>
        <w:t>9</w:t>
      </w:r>
      <w:r w:rsidRPr="009056FF">
        <w:rPr>
          <w:rFonts w:asciiTheme="majorBidi" w:hAnsiTheme="majorBidi" w:cstheme="majorBidi"/>
          <w:lang w:val="es-ES_tradnl"/>
        </w:rPr>
        <w:t xml:space="preserve">. Las conclusiones respecto al número </w:t>
      </w:r>
      <w:r w:rsidRPr="009056FF">
        <w:rPr>
          <w:rFonts w:asciiTheme="majorBidi" w:hAnsiTheme="majorBidi" w:cstheme="majorBidi"/>
          <w:b/>
          <w:bCs/>
          <w:lang w:val="es-ES_tradnl"/>
        </w:rPr>
        <w:t>11.32</w:t>
      </w:r>
      <w:r w:rsidRPr="009056FF">
        <w:rPr>
          <w:rFonts w:asciiTheme="majorBidi" w:hAnsiTheme="majorBidi" w:cstheme="majorBidi"/>
          <w:lang w:val="es-ES_tradnl"/>
        </w:rPr>
        <w:t xml:space="preserve"> se determinan sobre la base de los Acuerdos de coordinación alcanzados para satisfacer los nuevos requisitos de coordinación. En el caso en que sean aplicables las disposiciones de los números </w:t>
      </w:r>
      <w:r w:rsidRPr="009056FF">
        <w:rPr>
          <w:rFonts w:asciiTheme="majorBidi" w:hAnsiTheme="majorBidi" w:cstheme="majorBidi"/>
          <w:b/>
          <w:bCs/>
          <w:lang w:val="es-ES_tradnl"/>
        </w:rPr>
        <w:t>11.32A</w:t>
      </w:r>
      <w:r w:rsidRPr="009056FF">
        <w:rPr>
          <w:rFonts w:asciiTheme="majorBidi" w:hAnsiTheme="majorBidi" w:cstheme="majorBidi"/>
          <w:lang w:val="es-ES_tradnl"/>
        </w:rPr>
        <w:t xml:space="preserve"> y </w:t>
      </w:r>
      <w:r w:rsidRPr="009056FF">
        <w:rPr>
          <w:rFonts w:asciiTheme="majorBidi" w:hAnsiTheme="majorBidi" w:cstheme="majorBidi"/>
          <w:b/>
          <w:bCs/>
          <w:lang w:val="es-ES_tradnl"/>
        </w:rPr>
        <w:t>11.33</w:t>
      </w:r>
      <w:r w:rsidRPr="009056FF">
        <w:rPr>
          <w:rFonts w:asciiTheme="majorBidi" w:hAnsiTheme="majorBidi" w:cstheme="majorBidi"/>
          <w:lang w:val="es-ES_tradnl"/>
        </w:rPr>
        <w:t xml:space="preserve"> y los exámenes muestren un aumento de la probabilidad de interferencia perjudicial comparada con la que resultaba de los exámenes iniciales, se otorgará una conclusión desfavorable y se devolverá la notificación de acuerdo con la disposición número </w:t>
      </w:r>
      <w:r w:rsidRPr="009056FF">
        <w:rPr>
          <w:rFonts w:asciiTheme="majorBidi" w:hAnsiTheme="majorBidi" w:cstheme="majorBidi"/>
          <w:b/>
          <w:bCs/>
          <w:lang w:val="es-ES_tradnl"/>
        </w:rPr>
        <w:t>11.38</w:t>
      </w:r>
      <w:r w:rsidRPr="009056FF">
        <w:rPr>
          <w:rFonts w:asciiTheme="majorBidi" w:hAnsiTheme="majorBidi" w:cstheme="majorBidi"/>
          <w:lang w:val="es-ES_tradnl"/>
        </w:rPr>
        <w:t xml:space="preserve">. Véanse las Reglas de Procedimiento correspondientes al número </w:t>
      </w:r>
      <w:r w:rsidRPr="009056FF">
        <w:rPr>
          <w:rFonts w:asciiTheme="majorBidi" w:hAnsiTheme="majorBidi" w:cstheme="majorBidi"/>
          <w:b/>
          <w:bCs/>
          <w:lang w:val="es-ES_tradnl"/>
        </w:rPr>
        <w:t>11.43B</w:t>
      </w:r>
      <w:r w:rsidRPr="009056FF">
        <w:rPr>
          <w:rFonts w:asciiTheme="majorBidi" w:hAnsiTheme="majorBidi" w:cstheme="majorBidi"/>
          <w:lang w:val="es-ES_tradnl"/>
        </w:rPr>
        <w:t>.</w:t>
      </w:r>
    </w:p>
    <w:p w:rsidR="00D01428" w:rsidRDefault="00D01428" w:rsidP="006D45DA">
      <w:pPr>
        <w:spacing w:before="60" w:line="250" w:lineRule="exact"/>
        <w:rPr>
          <w:color w:val="000000"/>
          <w:lang w:val="es-ES_tradnl"/>
        </w:rPr>
      </w:pPr>
      <w:r>
        <w:rPr>
          <w:color w:val="000000"/>
          <w:lang w:val="es-ES_tradnl"/>
        </w:rPr>
        <w:br w:type="page"/>
      </w:r>
    </w:p>
    <w:p w:rsidR="00A60C28" w:rsidRPr="005A408A" w:rsidRDefault="00A60C28" w:rsidP="006D45DA">
      <w:pPr>
        <w:spacing w:before="60" w:line="250" w:lineRule="exact"/>
        <w:rPr>
          <w:color w:val="000000"/>
          <w:lang w:val="es-ES_tradnl"/>
        </w:rPr>
      </w:pPr>
      <w:r w:rsidRPr="003667EC">
        <w:rPr>
          <w:color w:val="000000"/>
          <w:lang w:val="es-ES_tradnl"/>
        </w:rPr>
        <w:lastRenderedPageBreak/>
        <w:t>3</w:t>
      </w:r>
      <w:r w:rsidRPr="003667EC">
        <w:rPr>
          <w:color w:val="000000"/>
          <w:lang w:val="es-ES_tradnl"/>
        </w:rPr>
        <w:tab/>
      </w:r>
      <w:r w:rsidR="005A408A" w:rsidRPr="005A408A">
        <w:rPr>
          <w:lang w:val="es-ES_tradnl"/>
        </w:rPr>
        <w:t xml:space="preserve">La referencia en los números </w:t>
      </w:r>
      <w:r w:rsidR="005A408A" w:rsidRPr="005A408A">
        <w:rPr>
          <w:rStyle w:val="Artref"/>
          <w:b/>
          <w:bCs/>
          <w:color w:val="000000"/>
          <w:lang w:val="es-ES_tradnl"/>
        </w:rPr>
        <w:t>11.44, 11.44.1, 11.47</w:t>
      </w:r>
      <w:r w:rsidR="005A408A" w:rsidRPr="005A408A">
        <w:rPr>
          <w:lang w:val="es-ES_tradnl"/>
        </w:rPr>
        <w:t xml:space="preserve"> y </w:t>
      </w:r>
      <w:r w:rsidR="005A408A" w:rsidRPr="005A408A">
        <w:rPr>
          <w:b/>
          <w:bCs/>
          <w:lang w:val="es-ES_tradnl"/>
        </w:rPr>
        <w:t xml:space="preserve">11.48 </w:t>
      </w:r>
      <w:r w:rsidR="005A408A" w:rsidRPr="005A408A">
        <w:rPr>
          <w:lang w:val="es-ES_tradnl"/>
        </w:rPr>
        <w:t>al periodo reglamentario de siete años debería considerarse como cinco años a partir de la fecha de recepción por la Oficina de la notificación de modificación mencionada en el número </w:t>
      </w:r>
      <w:r w:rsidR="005A408A" w:rsidRPr="005A408A">
        <w:rPr>
          <w:rStyle w:val="Artref"/>
          <w:b/>
          <w:bCs/>
          <w:color w:val="000000"/>
          <w:lang w:val="es-ES_tradnl"/>
        </w:rPr>
        <w:t>11.43A</w:t>
      </w:r>
      <w:r w:rsidR="005A408A" w:rsidRPr="005A408A">
        <w:rPr>
          <w:lang w:val="es-ES_tradnl"/>
        </w:rPr>
        <w:t xml:space="preserve">. (Véanse asimismo los comentarios formulados en las Reglas de Procedimiento relacionadas con el </w:t>
      </w:r>
      <w:r w:rsidR="005A408A" w:rsidRPr="005A408A">
        <w:rPr>
          <w:rStyle w:val="Artref"/>
          <w:bCs/>
          <w:color w:val="000000"/>
          <w:lang w:val="es-ES_tradnl"/>
        </w:rPr>
        <w:t>número</w:t>
      </w:r>
      <w:r w:rsidR="005A408A" w:rsidRPr="005A408A">
        <w:rPr>
          <w:rStyle w:val="Artref"/>
          <w:b/>
          <w:color w:val="000000"/>
          <w:lang w:val="es-ES_tradnl"/>
        </w:rPr>
        <w:t xml:space="preserve"> 11.44B</w:t>
      </w:r>
      <w:r w:rsidR="005A408A" w:rsidRPr="005A408A">
        <w:rPr>
          <w:rStyle w:val="Artref"/>
          <w:bCs/>
          <w:color w:val="000000"/>
          <w:lang w:val="es-ES_tradnl"/>
        </w:rPr>
        <w:t>)</w:t>
      </w:r>
      <w:r w:rsidR="005A408A" w:rsidRPr="005A408A">
        <w:rPr>
          <w:rStyle w:val="Artref"/>
          <w:color w:val="000000"/>
          <w:sz w:val="22"/>
          <w:szCs w:val="22"/>
          <w:lang w:val="es-ES_tradnl"/>
        </w:rPr>
        <w:t xml:space="preserve">     </w:t>
      </w:r>
    </w:p>
    <w:p w:rsidR="00A60C28" w:rsidRDefault="00A60C28" w:rsidP="009243FB">
      <w:pPr>
        <w:spacing w:before="120" w:line="250" w:lineRule="exact"/>
        <w:rPr>
          <w:rStyle w:val="Artref"/>
          <w:color w:val="000000"/>
          <w:sz w:val="16"/>
          <w:szCs w:val="16"/>
          <w:lang w:val="es-ES_tradnl"/>
        </w:rPr>
      </w:pPr>
      <w:r w:rsidRPr="003667EC">
        <w:rPr>
          <w:color w:val="000000"/>
          <w:lang w:val="es-ES_tradnl"/>
        </w:rPr>
        <w:t>4</w:t>
      </w:r>
      <w:r w:rsidRPr="003667EC">
        <w:rPr>
          <w:b/>
          <w:color w:val="000000"/>
          <w:lang w:val="es-ES_tradnl"/>
        </w:rPr>
        <w:tab/>
      </w:r>
      <w:r w:rsidR="00C30B0F" w:rsidRPr="003667EC">
        <w:rPr>
          <w:color w:val="000000"/>
          <w:lang w:val="es-ES_tradnl"/>
        </w:rPr>
        <w:t>La modificación de una estación terrena que consiste en cambiar la estación espa</w:t>
      </w:r>
      <w:r w:rsidR="00C30B0F" w:rsidRPr="003667EC">
        <w:rPr>
          <w:color w:val="000000"/>
          <w:lang w:val="es-ES_tradnl"/>
        </w:rPr>
        <w:softHyphen/>
        <w:t>cial asociada o el haz asociado, según el número </w:t>
      </w:r>
      <w:r w:rsidR="00C30B0F" w:rsidRPr="003667EC">
        <w:rPr>
          <w:rStyle w:val="Artref"/>
          <w:b/>
          <w:color w:val="000000"/>
          <w:lang w:val="es-ES_tradnl"/>
        </w:rPr>
        <w:t>11.32</w:t>
      </w:r>
      <w:r w:rsidR="00C30B0F" w:rsidRPr="003667EC">
        <w:rPr>
          <w:color w:val="000000"/>
          <w:lang w:val="es-ES_tradnl"/>
        </w:rPr>
        <w:t>, queda comprendida en los comen</w:t>
      </w:r>
      <w:r w:rsidR="00C30B0F" w:rsidRPr="003667EC">
        <w:rPr>
          <w:color w:val="000000"/>
          <w:lang w:val="es-ES_tradnl"/>
        </w:rPr>
        <w:softHyphen/>
        <w:t>tarios de las Reglas de Procedimiento correspondientes al número </w:t>
      </w:r>
      <w:r w:rsidR="00C30B0F" w:rsidRPr="003667EC">
        <w:rPr>
          <w:rStyle w:val="Artref"/>
          <w:b/>
          <w:color w:val="000000"/>
          <w:lang w:val="es-ES_tradnl"/>
        </w:rPr>
        <w:t>11.32</w:t>
      </w:r>
      <w:r w:rsidR="00C30B0F" w:rsidRPr="003667EC">
        <w:rPr>
          <w:color w:val="000000"/>
          <w:lang w:val="es-ES_tradnl"/>
        </w:rPr>
        <w:t>, § 2.2.2 y 2.2.3.</w:t>
      </w:r>
      <w:r w:rsidR="005A408A" w:rsidRPr="005A408A">
        <w:rPr>
          <w:rStyle w:val="Artref"/>
          <w:color w:val="000000"/>
          <w:sz w:val="22"/>
          <w:szCs w:val="22"/>
          <w:lang w:val="es-ES_tradnl"/>
        </w:rPr>
        <w:t xml:space="preserve">     </w:t>
      </w:r>
    </w:p>
    <w:p w:rsidR="00C30B0F" w:rsidRPr="003667EC" w:rsidRDefault="00C30B0F" w:rsidP="009243FB">
      <w:pPr>
        <w:keepNext/>
        <w:keepLines/>
        <w:spacing w:before="60" w:line="250" w:lineRule="exact"/>
        <w:rPr>
          <w:color w:val="000000"/>
          <w:lang w:val="es-ES_tradnl"/>
        </w:rPr>
      </w:pPr>
      <w:r>
        <w:rPr>
          <w:color w:val="000000"/>
          <w:lang w:val="es-ES_tradnl"/>
        </w:rPr>
        <w:t>5</w:t>
      </w:r>
      <w:r>
        <w:rPr>
          <w:color w:val="000000"/>
          <w:lang w:val="es-ES_tradnl"/>
        </w:rPr>
        <w:tab/>
      </w:r>
      <w:r w:rsidRPr="003667EC">
        <w:rPr>
          <w:color w:val="000000"/>
          <w:lang w:val="es-ES_tradnl"/>
        </w:rPr>
        <w:t xml:space="preserve">Cuando se examina la modificación de una asignación de frecuencia a una estación terrena con respecto a lo establecido en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se calcula la distancia de coordinación en cada azimut y sólo es necesaria la coordinación de acuerdo con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con aquellos países en cuyo territorio aumenta la distancia de coordinación debido a la modificación (véanse los comentarios de las Reglas de Proce</w:t>
      </w:r>
      <w:r w:rsidRPr="003667EC">
        <w:rPr>
          <w:color w:val="000000"/>
          <w:lang w:val="es-ES_tradnl"/>
        </w:rPr>
        <w:softHyphen/>
        <w:t>dimiento referentes al número</w:t>
      </w:r>
      <w:r w:rsidRPr="003667EC">
        <w:rPr>
          <w:lang w:val="es-ES_tradnl"/>
        </w:rPr>
        <w:t> </w:t>
      </w:r>
      <w:r w:rsidRPr="003667EC">
        <w:rPr>
          <w:rStyle w:val="Artref"/>
          <w:b/>
          <w:color w:val="000000"/>
          <w:lang w:val="es-ES_tradnl"/>
        </w:rPr>
        <w:t xml:space="preserve">9.27 </w:t>
      </w:r>
      <w:r w:rsidRPr="003667EC">
        <w:rPr>
          <w:color w:val="000000"/>
          <w:lang w:val="es-ES_tradnl"/>
        </w:rPr>
        <w:t>(§ 3.1 y 3.2)).</w:t>
      </w:r>
      <w:r>
        <w:rPr>
          <w:color w:val="000000"/>
          <w:lang w:val="es-ES_tradnl"/>
        </w:rPr>
        <w:t xml:space="preserve">     </w:t>
      </w:r>
    </w:p>
    <w:p w:rsidR="00A60C28" w:rsidRPr="003667EC" w:rsidRDefault="00C30B0F" w:rsidP="009243FB">
      <w:pPr>
        <w:spacing w:line="250" w:lineRule="exact"/>
        <w:rPr>
          <w:color w:val="000000"/>
          <w:lang w:val="es-ES_tradnl"/>
        </w:rPr>
      </w:pPr>
      <w:r>
        <w:rPr>
          <w:color w:val="000000"/>
          <w:lang w:val="es-ES_tradnl"/>
        </w:rPr>
        <w:t>6</w:t>
      </w:r>
      <w:r w:rsidR="00A60C28" w:rsidRPr="003667EC">
        <w:rPr>
          <w:color w:val="000000"/>
          <w:lang w:val="es-ES_tradnl"/>
        </w:rPr>
        <w:tab/>
        <w:t>Cuando se examina la modificación de una asignación de frecuencia en aplicación del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la densidad de flujo de potencia de la estación transmisora (estación terrenal o estación terrena del SFS) con características modificadas se calcula en el borde de la zona de servicio del SRS y la coordinación con arreglo al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xml:space="preserve"> es necesaria únicamente con aquellos países donde aumenta el límite de densidad de flujo de potencia en el borde de la zona de servicio del SRS como resultado de la modificación de las características de la estación transmisora y toma un valor superior al nivel admisible (véanse los comentarios sobre las Reglas de Procedimiento relativas al número </w:t>
      </w:r>
      <w:r w:rsidR="00A60C28" w:rsidRPr="003667EC">
        <w:rPr>
          <w:rStyle w:val="Artref"/>
          <w:b/>
          <w:color w:val="000000"/>
          <w:lang w:val="es-ES_tradnl"/>
        </w:rPr>
        <w:t>9.27</w:t>
      </w:r>
      <w:r w:rsidR="00A60C28" w:rsidRPr="003667EC">
        <w:rPr>
          <w:color w:val="000000"/>
          <w:lang w:val="es-ES_tradnl"/>
        </w:rPr>
        <w:t xml:space="preserve"> (§ 3.1 y 3.2)).</w:t>
      </w:r>
      <w:r>
        <w:rPr>
          <w:color w:val="000000"/>
          <w:lang w:val="es-ES_tradnl"/>
        </w:rPr>
        <w:t xml:space="preserve">    </w:t>
      </w:r>
    </w:p>
    <w:p w:rsidR="00A60C28" w:rsidRPr="003667EC" w:rsidRDefault="00A60C28" w:rsidP="004C6036">
      <w:pPr>
        <w:pStyle w:val="Heading8"/>
        <w:spacing w:line="250" w:lineRule="exact"/>
        <w:rPr>
          <w:color w:val="000000"/>
          <w:lang w:val="es-ES_tradnl"/>
        </w:rPr>
      </w:pPr>
      <w:r w:rsidRPr="003667EC">
        <w:rPr>
          <w:color w:val="000000"/>
          <w:lang w:val="es-ES_tradnl"/>
        </w:rPr>
        <w:t>11.43B</w:t>
      </w:r>
    </w:p>
    <w:p w:rsidR="00A60C28" w:rsidRPr="003667EC" w:rsidRDefault="00A60C28" w:rsidP="004C6036">
      <w:pPr>
        <w:spacing w:line="250" w:lineRule="exact"/>
        <w:rPr>
          <w:color w:val="000000"/>
          <w:lang w:val="es-ES_tradnl"/>
        </w:rPr>
      </w:pPr>
      <w:r w:rsidRPr="003667EC">
        <w:rPr>
          <w:color w:val="000000"/>
          <w:lang w:val="es-ES_tradnl"/>
        </w:rPr>
        <w:t>1</w:t>
      </w:r>
      <w:r w:rsidRPr="003667EC">
        <w:rPr>
          <w:color w:val="000000"/>
          <w:lang w:val="es-ES_tradnl"/>
        </w:rPr>
        <w:tab/>
        <w:t>En esta disposición se especifica que un cambio de las características básicas se examinará cuando sea apropiado con respecto a lo establecido en los números </w:t>
      </w:r>
      <w:r w:rsidRPr="003667EC">
        <w:rPr>
          <w:rStyle w:val="Artref"/>
          <w:b/>
          <w:color w:val="000000"/>
          <w:lang w:val="es-ES_tradnl"/>
        </w:rPr>
        <w:t>11.32</w:t>
      </w:r>
      <w:r w:rsidRPr="003667EC">
        <w:rPr>
          <w:color w:val="000000"/>
          <w:lang w:val="es-ES_tradnl"/>
        </w:rPr>
        <w:t xml:space="preserve"> a </w:t>
      </w:r>
      <w:r w:rsidRPr="003667EC">
        <w:rPr>
          <w:rStyle w:val="Artref"/>
          <w:b/>
          <w:color w:val="000000"/>
          <w:lang w:val="es-ES_tradnl"/>
        </w:rPr>
        <w:t xml:space="preserve">11.34 </w:t>
      </w:r>
      <w:r w:rsidRPr="003667EC">
        <w:rPr>
          <w:color w:val="000000"/>
          <w:lang w:val="es-ES_tradnl"/>
        </w:rPr>
        <w:t>según corresponda.</w:t>
      </w:r>
    </w:p>
    <w:p w:rsidR="00A60C28" w:rsidRPr="003667EC" w:rsidRDefault="00A60C28" w:rsidP="004C6036">
      <w:pPr>
        <w:spacing w:line="250" w:lineRule="exact"/>
        <w:rPr>
          <w:color w:val="000000"/>
          <w:lang w:val="es-ES_tradnl"/>
        </w:rPr>
      </w:pPr>
      <w:r w:rsidRPr="003667EC">
        <w:rPr>
          <w:color w:val="000000"/>
          <w:lang w:val="es-ES_tradnl"/>
        </w:rPr>
        <w:t>1.1</w:t>
      </w:r>
      <w:r w:rsidRPr="003667EC">
        <w:rPr>
          <w:color w:val="000000"/>
          <w:lang w:val="es-ES_tradnl"/>
        </w:rPr>
        <w:tab/>
        <w:t>En el caso del examen de las redes espaciales previsto en los números</w:t>
      </w:r>
      <w:r w:rsidR="003667E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u </w:t>
      </w:r>
      <w:r w:rsidRPr="003667EC">
        <w:rPr>
          <w:rStyle w:val="Artref"/>
          <w:b/>
          <w:color w:val="000000"/>
          <w:lang w:val="es-ES_tradnl"/>
        </w:rPr>
        <w:t>11.32A</w:t>
      </w:r>
      <w:r w:rsidRPr="003667EC">
        <w:rPr>
          <w:color w:val="000000"/>
          <w:lang w:val="es-ES_tradnl"/>
        </w:rPr>
        <w:t>, los comentarios que figuran en el número </w:t>
      </w:r>
      <w:r w:rsidRPr="003667EC">
        <w:rPr>
          <w:rStyle w:val="Artref"/>
          <w:b/>
          <w:color w:val="000000"/>
          <w:lang w:val="es-ES_tradnl"/>
        </w:rPr>
        <w:t>11.43A</w:t>
      </w:r>
      <w:r w:rsidRPr="003667EC">
        <w:rPr>
          <w:color w:val="000000"/>
          <w:lang w:val="es-ES_tradnl"/>
        </w:rPr>
        <w:t xml:space="preserve"> indican los casos que no se consi</w:t>
      </w:r>
      <w:r w:rsidRPr="003667EC">
        <w:rPr>
          <w:color w:val="000000"/>
          <w:lang w:val="es-ES_tradnl"/>
        </w:rPr>
        <w:softHyphen/>
        <w:t>deran modificaciones sino primeras modificaciones (con una nueva fecha de recepción). Esos exámenes se deberían efectuar comprobando la aplicación de los § 6 </w:t>
      </w:r>
      <w:r w:rsidRPr="003667EC">
        <w:rPr>
          <w:i/>
          <w:color w:val="000000"/>
          <w:lang w:val="es-ES_tradnl"/>
        </w:rPr>
        <w:t>a)</w:t>
      </w:r>
      <w:r w:rsidRPr="003667EC">
        <w:rPr>
          <w:color w:val="000000"/>
          <w:lang w:val="es-ES_tradnl"/>
        </w:rPr>
        <w:t xml:space="preserve"> a 6 </w:t>
      </w:r>
      <w:r w:rsidRPr="003667EC">
        <w:rPr>
          <w:i/>
          <w:color w:val="000000"/>
          <w:lang w:val="es-ES_tradnl"/>
        </w:rPr>
        <w:t>c)</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En los casos en los que no hay método de cálculo y/o criterio para comprobar la aplicación de esas disposiciones (por ejemplo solicitud de coordinación para los números </w:t>
      </w:r>
      <w:r w:rsidRPr="003667EC">
        <w:rPr>
          <w:rStyle w:val="Artref"/>
          <w:b/>
          <w:color w:val="000000"/>
          <w:lang w:val="es-ES_tradnl"/>
        </w:rPr>
        <w:t>9.12</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la Oficina tratará esas modificaciones como nuevas notificaciones de asignación. No obstante, el número </w:t>
      </w:r>
      <w:r w:rsidRPr="003667EC">
        <w:rPr>
          <w:rStyle w:val="Artref"/>
          <w:b/>
          <w:color w:val="000000"/>
          <w:lang w:val="es-ES_tradnl"/>
        </w:rPr>
        <w:t>11.43B</w:t>
      </w:r>
      <w:r w:rsidRPr="003667EC">
        <w:rPr>
          <w:color w:val="000000"/>
          <w:lang w:val="es-ES_tradnl"/>
        </w:rPr>
        <w:t xml:space="preserve"> se refiere a un aumento de la probabilidad de interferencia perjudicial. Esta probabilidad de interferencia perjudicial (</w:t>
      </w:r>
      <w:r w:rsidRPr="003667EC">
        <w:rPr>
          <w:i/>
          <w:color w:val="000000"/>
          <w:lang w:val="es-ES_tradnl"/>
        </w:rPr>
        <w:t>C</w:t>
      </w:r>
      <w:r w:rsidRPr="003667EC">
        <w:rPr>
          <w:color w:val="000000"/>
          <w:lang w:val="es-ES_tradnl"/>
        </w:rPr>
        <w:t>/</w:t>
      </w:r>
      <w:proofErr w:type="gramStart"/>
      <w:r w:rsidRPr="003667EC">
        <w:rPr>
          <w:i/>
          <w:color w:val="000000"/>
          <w:lang w:val="es-ES_tradnl"/>
        </w:rPr>
        <w:t>I</w:t>
      </w:r>
      <w:r w:rsidRPr="003667EC">
        <w:rPr>
          <w:rFonts w:ascii="Tms Rmn" w:hAnsi="Tms Rmn"/>
          <w:iCs/>
          <w:color w:val="000000"/>
          <w:sz w:val="12"/>
          <w:lang w:val="es-ES_tradnl"/>
        </w:rPr>
        <w:t> </w:t>
      </w:r>
      <w:r w:rsidRPr="003667EC">
        <w:rPr>
          <w:color w:val="000000"/>
          <w:lang w:val="es-ES_tradnl"/>
        </w:rPr>
        <w:t>)</w:t>
      </w:r>
      <w:proofErr w:type="gramEnd"/>
      <w:r w:rsidRPr="003667EC">
        <w:rPr>
          <w:color w:val="000000"/>
          <w:lang w:val="es-ES_tradnl"/>
        </w:rPr>
        <w:t xml:space="preserve"> se calcula sólo en el examen previsto en los números </w:t>
      </w:r>
      <w:r w:rsidRPr="003667EC">
        <w:rPr>
          <w:rStyle w:val="Artref"/>
          <w:b/>
          <w:color w:val="000000"/>
          <w:lang w:val="es-ES_tradnl"/>
        </w:rPr>
        <w:t>11.32A</w:t>
      </w:r>
      <w:r w:rsidRPr="003667EC">
        <w:rPr>
          <w:color w:val="000000"/>
          <w:lang w:val="es-ES_tradnl"/>
        </w:rPr>
        <w:t xml:space="preserve"> y </w:t>
      </w:r>
      <w:r w:rsidRPr="003667EC">
        <w:rPr>
          <w:rStyle w:val="Artref"/>
          <w:b/>
          <w:color w:val="000000"/>
          <w:lang w:val="es-ES_tradnl"/>
        </w:rPr>
        <w:t>11.33</w:t>
      </w:r>
      <w:r w:rsidRPr="003667EC">
        <w:rPr>
          <w:color w:val="000000"/>
          <w:lang w:val="es-ES_tradnl"/>
        </w:rPr>
        <w:t>. El examen contemplado en el número </w:t>
      </w:r>
      <w:r w:rsidRPr="003667EC">
        <w:rPr>
          <w:rStyle w:val="Artref"/>
          <w:b/>
          <w:color w:val="000000"/>
          <w:lang w:val="es-ES_tradnl"/>
        </w:rPr>
        <w:t>11.32</w:t>
      </w:r>
      <w:r w:rsidRPr="003667EC">
        <w:rPr>
          <w:color w:val="000000"/>
          <w:lang w:val="es-ES_tradnl"/>
        </w:rPr>
        <w:t xml:space="preserve"> se efectúa utilizando la condición/umbral especificada en el Apéndice </w:t>
      </w:r>
      <w:r w:rsidRPr="003667EC">
        <w:rPr>
          <w:rStyle w:val="Appref"/>
          <w:b/>
          <w:color w:val="000000"/>
          <w:lang w:val="es-ES_tradnl"/>
        </w:rPr>
        <w:t>5</w:t>
      </w:r>
      <w:r w:rsidRPr="003667EC">
        <w:rPr>
          <w:color w:val="000000"/>
          <w:lang w:val="es-ES_tradnl"/>
        </w:rPr>
        <w:t>.</w:t>
      </w:r>
    </w:p>
    <w:p w:rsidR="00A60C28" w:rsidRPr="003667EC" w:rsidRDefault="00A60C28" w:rsidP="004C6036">
      <w:pPr>
        <w:spacing w:line="250" w:lineRule="exact"/>
        <w:rPr>
          <w:color w:val="000000"/>
          <w:lang w:val="es-ES_tradnl"/>
        </w:rPr>
      </w:pPr>
      <w:r w:rsidRPr="003667EC">
        <w:rPr>
          <w:color w:val="000000"/>
          <w:lang w:val="es-ES_tradnl"/>
        </w:rPr>
        <w:t>1.2</w:t>
      </w:r>
      <w:r w:rsidRPr="003667EC">
        <w:rPr>
          <w:color w:val="000000"/>
          <w:lang w:val="es-ES_tradnl"/>
        </w:rPr>
        <w:tab/>
        <w:t>Conviene observar que en el examen en virtud del</w:t>
      </w:r>
      <w:r w:rsidRPr="003667EC">
        <w:rPr>
          <w:b/>
          <w:color w:val="000000"/>
          <w:lang w:val="es-ES_tradnl"/>
        </w:rPr>
        <w:t xml:space="preserve"> </w:t>
      </w:r>
      <w:r w:rsidRPr="003667EC">
        <w:rPr>
          <w:color w:val="000000"/>
          <w:lang w:val="es-ES_tradnl"/>
        </w:rPr>
        <w:t xml:space="preserve">número </w:t>
      </w:r>
      <w:r w:rsidRPr="003667EC">
        <w:rPr>
          <w:rStyle w:val="Artref"/>
          <w:b/>
          <w:color w:val="000000"/>
          <w:lang w:val="es-ES_tradnl"/>
        </w:rPr>
        <w:t>11.32A</w:t>
      </w:r>
      <w:r w:rsidRPr="003667EC">
        <w:rPr>
          <w:color w:val="000000"/>
          <w:lang w:val="es-ES_tradnl"/>
        </w:rPr>
        <w:t xml:space="preserve">, se tomarán en cuenta las asignaciones publicadas con arreglo a los número </w:t>
      </w:r>
      <w:r w:rsidRPr="003667EC">
        <w:rPr>
          <w:rStyle w:val="Artref"/>
          <w:b/>
          <w:color w:val="000000"/>
          <w:lang w:val="es-ES_tradnl"/>
        </w:rPr>
        <w:t>9.38</w:t>
      </w:r>
      <w:r w:rsidRPr="003667EC">
        <w:rPr>
          <w:color w:val="000000"/>
          <w:lang w:val="es-ES_tradnl"/>
        </w:rPr>
        <w:t xml:space="preserve"> o </w:t>
      </w:r>
      <w:r w:rsidRPr="003667EC">
        <w:rPr>
          <w:rStyle w:val="Artref"/>
          <w:b/>
          <w:color w:val="000000"/>
          <w:lang w:val="es-ES_tradnl"/>
        </w:rPr>
        <w:t>9.58</w:t>
      </w:r>
      <w:r w:rsidRPr="003667EC">
        <w:rPr>
          <w:color w:val="000000"/>
          <w:lang w:val="es-ES_tradnl"/>
        </w:rPr>
        <w:t>, pero que no estén aún notificadas. Por consiguiente, por motivos prácticos, en aplicación de esta disposición también se tomarán en cuenta estas asignaciones además de las asignaciones ya inscritas en el Registro.</w:t>
      </w:r>
    </w:p>
    <w:p w:rsidR="00D01428" w:rsidRDefault="00D01428" w:rsidP="004C6036">
      <w:pPr>
        <w:spacing w:line="250" w:lineRule="exact"/>
        <w:rPr>
          <w:color w:val="000000"/>
          <w:lang w:val="es-ES_tradnl"/>
        </w:rPr>
      </w:pPr>
      <w:r>
        <w:rPr>
          <w:color w:val="000000"/>
          <w:lang w:val="es-ES_tradnl"/>
        </w:rPr>
        <w:br w:type="page"/>
      </w:r>
    </w:p>
    <w:p w:rsidR="00A60C28" w:rsidRPr="003667EC" w:rsidRDefault="00A60C28" w:rsidP="004C6036">
      <w:pPr>
        <w:spacing w:line="250" w:lineRule="exact"/>
        <w:rPr>
          <w:color w:val="000000"/>
          <w:lang w:val="es-ES_tradnl"/>
        </w:rPr>
      </w:pPr>
      <w:r w:rsidRPr="003667EC">
        <w:rPr>
          <w:color w:val="000000"/>
          <w:lang w:val="es-ES_tradnl"/>
        </w:rPr>
        <w:lastRenderedPageBreak/>
        <w:t>2</w:t>
      </w:r>
      <w:r w:rsidRPr="003667EC">
        <w:rPr>
          <w:color w:val="000000"/>
          <w:lang w:val="es-ES_tradnl"/>
        </w:rPr>
        <w:tab/>
        <w:t>Esta disposición hace referencia a la «fecha original de inscripción en el Registro». La Junta considera que tal fecha es la fecha de recepción de la notificación original. Sin embargo, en lo que respecta a las notificaciones recibidas antes del 1 de enero de 1999, la Junta considera que esta fecha equivale a la fecha inscrita en la Columna 2A, 2B o 2D, según proceda.</w:t>
      </w:r>
    </w:p>
    <w:p w:rsidR="00A60C28" w:rsidRPr="003667EC" w:rsidRDefault="00A60C28">
      <w:pPr>
        <w:pStyle w:val="Heading8"/>
        <w:rPr>
          <w:color w:val="000000"/>
          <w:lang w:val="es-ES_tradnl"/>
        </w:rPr>
      </w:pPr>
      <w:r w:rsidRPr="003667EC">
        <w:rPr>
          <w:color w:val="000000"/>
          <w:lang w:val="es-ES_tradnl"/>
        </w:rPr>
        <w:t>11.43C</w:t>
      </w:r>
    </w:p>
    <w:p w:rsidR="00275DC3" w:rsidRDefault="00A60C28" w:rsidP="00275DC3">
      <w:pPr>
        <w:jc w:val="left"/>
        <w:rPr>
          <w:color w:val="000000"/>
          <w:lang w:val="es-ES_tradnl"/>
        </w:rPr>
      </w:pPr>
      <w:r w:rsidRPr="003667EC">
        <w:rPr>
          <w:color w:val="000000"/>
          <w:lang w:val="es-ES_tradnl"/>
        </w:rPr>
        <w:t>La Junta estimó que las asignaciones que se han sometido nuevamente se inscribirán sólo si la conclusión con respecto al número </w:t>
      </w:r>
      <w:r w:rsidRPr="003667EC">
        <w:rPr>
          <w:rStyle w:val="Artref"/>
          <w:b/>
          <w:color w:val="000000"/>
          <w:lang w:val="es-ES_tradnl"/>
        </w:rPr>
        <w:t>11.31</w:t>
      </w:r>
      <w:r w:rsidRPr="003667EC">
        <w:rPr>
          <w:color w:val="000000"/>
          <w:lang w:val="es-ES_tradnl"/>
        </w:rPr>
        <w:t xml:space="preserve"> sigue siendo favorable.</w:t>
      </w:r>
    </w:p>
    <w:p w:rsidR="00D70EFE" w:rsidRPr="003667EC" w:rsidRDefault="00D70EFE" w:rsidP="00D70EFE">
      <w:pPr>
        <w:pStyle w:val="Heading8"/>
        <w:spacing w:before="120" w:line="240" w:lineRule="exact"/>
        <w:rPr>
          <w:lang w:val="es-ES_tradnl"/>
        </w:rPr>
      </w:pPr>
      <w:r>
        <w:rPr>
          <w:lang w:val="es-ES_tradnl"/>
        </w:rPr>
        <w:t>11.44</w:t>
      </w:r>
      <w:r w:rsidRPr="00D561C2">
        <w:rPr>
          <w:color w:val="000000"/>
          <w:lang w:val="es-ES_tradnl"/>
        </w:rPr>
        <w:tab/>
      </w:r>
      <w:r w:rsidRPr="00D561C2">
        <w:rPr>
          <w:color w:val="000000"/>
          <w:lang w:val="es-ES_tradnl"/>
        </w:rPr>
        <w:tab/>
      </w:r>
    </w:p>
    <w:p w:rsidR="00D70EFE" w:rsidRPr="00D561C2" w:rsidRDefault="00D70EFE" w:rsidP="00D70EFE">
      <w:pPr>
        <w:spacing w:line="240" w:lineRule="exact"/>
        <w:rPr>
          <w:lang w:val="es-ES_tradnl"/>
        </w:rPr>
      </w:pPr>
      <w:r w:rsidRPr="00D561C2">
        <w:rPr>
          <w:lang w:val="es-ES_tradnl"/>
        </w:rPr>
        <w:t>1</w:t>
      </w:r>
      <w:r w:rsidRPr="00D561C2">
        <w:rPr>
          <w:lang w:val="es-ES_tradnl"/>
        </w:rPr>
        <w:tab/>
        <w:t>La información relativa a la fecha de entrada en servicio se facilitará en los siguientes casos:</w:t>
      </w:r>
    </w:p>
    <w:p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t>en un formulario de notificación AP4, cuando se presenta en aplicación del número </w:t>
      </w:r>
      <w:r w:rsidRPr="00D561C2">
        <w:rPr>
          <w:rStyle w:val="Artref"/>
          <w:b/>
          <w:color w:val="000000"/>
          <w:lang w:val="es-ES_tradnl"/>
        </w:rPr>
        <w:t>11.15</w:t>
      </w:r>
      <w:r w:rsidRPr="00D561C2">
        <w:rPr>
          <w:lang w:val="es-ES_tradnl"/>
        </w:rPr>
        <w:t>; y</w:t>
      </w:r>
    </w:p>
    <w:p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t>en la confirmación de las fechas de entrada en servicio, en aplicación de los números </w:t>
      </w:r>
      <w:r w:rsidRPr="00D561C2">
        <w:rPr>
          <w:b/>
          <w:bCs/>
          <w:lang w:val="es-ES_tradnl"/>
        </w:rPr>
        <w:t>11.44.2</w:t>
      </w:r>
      <w:r w:rsidRPr="00D561C2">
        <w:rPr>
          <w:lang w:val="es-ES_tradnl"/>
        </w:rPr>
        <w:t>, </w:t>
      </w:r>
      <w:r w:rsidRPr="00D561C2">
        <w:rPr>
          <w:rStyle w:val="Artref"/>
          <w:b/>
          <w:color w:val="000000"/>
          <w:lang w:val="es-ES_tradnl"/>
        </w:rPr>
        <w:t>11.47</w:t>
      </w:r>
      <w:r w:rsidRPr="00D561C2">
        <w:rPr>
          <w:rStyle w:val="Artref"/>
          <w:bCs/>
          <w:color w:val="000000"/>
          <w:lang w:val="es-ES_tradnl"/>
        </w:rPr>
        <w:t xml:space="preserve"> y</w:t>
      </w:r>
      <w:r w:rsidRPr="00D561C2">
        <w:rPr>
          <w:rStyle w:val="Artref"/>
          <w:b/>
          <w:color w:val="000000"/>
          <w:lang w:val="es-ES_tradnl"/>
        </w:rPr>
        <w:t xml:space="preserve"> 11.44B</w:t>
      </w:r>
      <w:r w:rsidRPr="00D561C2">
        <w:rPr>
          <w:lang w:val="es-ES_tradnl"/>
        </w:rPr>
        <w:t>.</w:t>
      </w:r>
    </w:p>
    <w:p w:rsidR="00D70EFE" w:rsidRDefault="00D70EFE" w:rsidP="00D70EFE">
      <w:pPr>
        <w:spacing w:line="240" w:lineRule="exact"/>
        <w:rPr>
          <w:lang w:val="es-ES_tradnl"/>
        </w:rPr>
      </w:pPr>
      <w:r w:rsidRPr="00D561C2">
        <w:rPr>
          <w:lang w:val="es-ES_tradnl"/>
        </w:rPr>
        <w:t xml:space="preserve">Conviene observar que se proporcionará la información relativa a la fecha de entrada en servicio para cada asignación o grupo de asignaciones. (Véanse las Reglas de Procedimiento relacionadas con el número </w:t>
      </w:r>
      <w:r w:rsidRPr="00D561C2">
        <w:rPr>
          <w:b/>
          <w:bCs/>
          <w:lang w:val="es-ES_tradnl"/>
        </w:rPr>
        <w:t>11.44B</w:t>
      </w:r>
      <w:r w:rsidRPr="00D561C2">
        <w:rPr>
          <w:lang w:val="es-ES_tradnl"/>
        </w:rPr>
        <w:t>)</w:t>
      </w:r>
      <w:r>
        <w:rPr>
          <w:lang w:val="es-ES_tradnl"/>
        </w:rPr>
        <w:t>.</w:t>
      </w:r>
    </w:p>
    <w:p w:rsidR="00202D8A" w:rsidRPr="00202D8A" w:rsidRDefault="00202D8A" w:rsidP="00202D8A">
      <w:pPr>
        <w:rPr>
          <w:lang w:val="es-ES_tradnl"/>
        </w:rPr>
      </w:pPr>
      <w:r w:rsidRPr="00202D8A">
        <w:rPr>
          <w:rFonts w:eastAsia="SimSun"/>
          <w:szCs w:val="24"/>
          <w:lang w:val="es-ES_tradnl" w:eastAsia="zh-CN"/>
        </w:rPr>
        <w:t>2</w:t>
      </w:r>
      <w:r w:rsidRPr="00202D8A">
        <w:rPr>
          <w:rFonts w:eastAsia="SimSun"/>
          <w:szCs w:val="24"/>
          <w:lang w:val="es-ES_tradnl" w:eastAsia="zh-CN"/>
        </w:rPr>
        <w:tab/>
      </w:r>
      <w:r w:rsidRPr="00202D8A">
        <w:rPr>
          <w:lang w:val="es-ES_tradnl"/>
        </w:rPr>
        <w:t>La Junta examinó la información que se ha de aportar para la puesta en servicio de asignaciones de frecuencias a estaciones espaciales de sistemas de satélites no geoestacionarios del SFS o el SMS, antes de la adopción de disposiciones reglamentarias al respecto por una futura conferencia mundial de radiocomunicaciones, y llegó a las siguientes conclusiones:</w:t>
      </w:r>
    </w:p>
    <w:p w:rsidR="004C6036" w:rsidRDefault="00202D8A" w:rsidP="009243FB">
      <w:pPr>
        <w:spacing w:line="250" w:lineRule="exact"/>
        <w:rPr>
          <w:lang w:val="es-ES_tradnl"/>
        </w:rPr>
      </w:pPr>
      <w:r w:rsidRPr="00202D8A">
        <w:rPr>
          <w:lang w:val="es-ES_tradnl"/>
        </w:rPr>
        <w:t>A fin de considerar que una asignación de frecuencias a una estación espacial de un sistema de satélites no geoestacionarios se ha puesto en servicio, la Administración notificante tiene que informar a la Oficina de que al menos una estación espacial con la capacidad confirmada de transmitir o recibir en esa asignación de frecuencias se ha desplegado durante un periodo continuo de 90 días en uno de los planos orbitales notificados del sistema de satélites no geoestacionarios, con independencia del número de planos orbitales notificados y de satélites por plano orbital del sistema. La Administración notificante informará de ello a la Oficina dentro de los 30 días contados desde el final del periodo de 90 días. Una asignación de frecuencias a una estación espacial de un sistema de satélites geoestacionarios con una fecha de puesta en servicio notificada anterior en más de 120 días a la fecha de recepción de la información de notificación también se considerará puesta en servicio si la administración notificante confirma, al presentar la información de notificación de esta asignación, que al menos una estación espacial con la capacidad de transmitir o recibir en esa asignación de frecuencias se ha desplegado en uno de los planos orbitales notificados del sistema de satélites no geoestacionarios y se han mantenido en él durante un periodo de tiempo continuo entre la fecha de puesta en servicio notificada y la fecha de recepción de la información de notificación de esta asignación de frecuencias. La fecha de despliegue del primer satélite en su órbita prevista estará dentro del plazo de siete años para la puesta en servicios de asignaciones de frecuencias a una estación espacial con arreglo al número </w:t>
      </w:r>
      <w:r w:rsidRPr="00202D8A">
        <w:rPr>
          <w:b/>
          <w:bCs/>
          <w:lang w:val="es-ES_tradnl"/>
        </w:rPr>
        <w:t>11.44</w:t>
      </w:r>
      <w:r w:rsidRPr="00202D8A">
        <w:rPr>
          <w:lang w:val="es-ES_tradnl"/>
        </w:rPr>
        <w:t>.</w:t>
      </w:r>
      <w:r w:rsidR="00685DBD">
        <w:rPr>
          <w:lang w:val="es-ES_tradnl"/>
        </w:rPr>
        <w:t xml:space="preserve">    </w:t>
      </w:r>
    </w:p>
    <w:p w:rsidR="00D01428" w:rsidRDefault="00D01428" w:rsidP="009243FB">
      <w:pPr>
        <w:spacing w:line="250" w:lineRule="exact"/>
        <w:rPr>
          <w:lang w:val="es-ES_tradnl"/>
        </w:rPr>
      </w:pPr>
      <w:r>
        <w:rPr>
          <w:lang w:val="es-ES_tradnl"/>
        </w:rPr>
        <w:br w:type="page"/>
      </w:r>
    </w:p>
    <w:p w:rsidR="00D561C2" w:rsidRPr="003667EC" w:rsidRDefault="00D561C2" w:rsidP="006D45DA">
      <w:pPr>
        <w:pStyle w:val="Heading8"/>
        <w:spacing w:before="240" w:line="250" w:lineRule="exact"/>
        <w:rPr>
          <w:lang w:val="es-ES_tradnl"/>
        </w:rPr>
      </w:pPr>
      <w:r>
        <w:rPr>
          <w:lang w:val="es-ES_tradnl"/>
        </w:rPr>
        <w:lastRenderedPageBreak/>
        <w:t>11.44B</w:t>
      </w:r>
      <w:r w:rsidRPr="00D561C2">
        <w:rPr>
          <w:color w:val="000000"/>
          <w:lang w:val="es-ES_tradnl"/>
        </w:rPr>
        <w:tab/>
      </w:r>
      <w:r w:rsidRPr="00D561C2">
        <w:rPr>
          <w:color w:val="000000"/>
          <w:lang w:val="es-ES_tradnl"/>
        </w:rPr>
        <w:tab/>
      </w:r>
    </w:p>
    <w:p w:rsidR="00D561C2" w:rsidRPr="00D561C2" w:rsidRDefault="00D561C2" w:rsidP="00F74C0C">
      <w:pPr>
        <w:spacing w:line="250" w:lineRule="exact"/>
        <w:rPr>
          <w:color w:val="000000"/>
          <w:lang w:val="es-ES_tradnl"/>
        </w:rPr>
      </w:pPr>
      <w:r w:rsidRPr="00D561C2">
        <w:rPr>
          <w:lang w:val="es-ES_tradnl"/>
        </w:rPr>
        <w:t>1</w:t>
      </w:r>
      <w:r w:rsidRPr="00D561C2">
        <w:rPr>
          <w:lang w:val="es-ES_tradnl"/>
        </w:rPr>
        <w:tab/>
        <w:t>Esta disposición trata del requisito de que la administración notificante debe informar a la Oficina dentro de un plazo de 30 días a partir del final del periodo de 90 días en el cual se ha desplegado una estación espacial en la órbita de satélite geoestacionario con la capacidad de transmisión o recepción de esas asignaciones de frecuencias y se ha mantenido continuamente en la posición orbital notificada</w:t>
      </w:r>
      <w:r w:rsidRPr="00D561C2">
        <w:rPr>
          <w:color w:val="000000"/>
          <w:lang w:val="es-ES_tradnl"/>
        </w:rPr>
        <w:t>.</w:t>
      </w:r>
    </w:p>
    <w:p w:rsidR="00D561C2" w:rsidRPr="00685DBD" w:rsidRDefault="00685DBD" w:rsidP="009243FB">
      <w:pPr>
        <w:spacing w:line="250" w:lineRule="exact"/>
        <w:rPr>
          <w:lang w:val="es-ES_tradnl"/>
        </w:rPr>
      </w:pPr>
      <w:r w:rsidRPr="00685DBD">
        <w:rPr>
          <w:lang w:val="es-ES_tradnl"/>
        </w:rPr>
        <w:t>2</w:t>
      </w:r>
      <w:r w:rsidRPr="00685DBD">
        <w:rPr>
          <w:lang w:val="es-ES_tradnl"/>
        </w:rPr>
        <w:tab/>
        <w:t>La Junta estudió detenidamente la relación entre las diversas disposiciones relacionadas con la entrada en servicio de asignaciones de frecuencias para una red de satélites GSO conforme a lo dispuesto en los números.</w:t>
      </w:r>
      <w:r w:rsidRPr="00685DBD">
        <w:rPr>
          <w:b/>
          <w:bCs/>
          <w:lang w:val="es-ES_tradnl"/>
        </w:rPr>
        <w:t>11.43A</w:t>
      </w:r>
      <w:r w:rsidRPr="00685DBD">
        <w:rPr>
          <w:lang w:val="es-ES_tradnl"/>
        </w:rPr>
        <w:t xml:space="preserve">, </w:t>
      </w:r>
      <w:r w:rsidRPr="00685DBD">
        <w:rPr>
          <w:rStyle w:val="Artref"/>
          <w:b/>
          <w:bCs/>
          <w:color w:val="000000"/>
          <w:lang w:val="es-ES_tradnl"/>
        </w:rPr>
        <w:t>11.44</w:t>
      </w:r>
      <w:r w:rsidRPr="00685DBD">
        <w:rPr>
          <w:rStyle w:val="Artref"/>
          <w:color w:val="000000"/>
          <w:lang w:val="es-ES_tradnl"/>
        </w:rPr>
        <w:t>,</w:t>
      </w:r>
      <w:r w:rsidRPr="00685DBD">
        <w:rPr>
          <w:rStyle w:val="Artref"/>
          <w:b/>
          <w:bCs/>
          <w:color w:val="000000"/>
          <w:lang w:val="es-ES_tradnl"/>
        </w:rPr>
        <w:t xml:space="preserve"> 11.44.2</w:t>
      </w:r>
      <w:r w:rsidRPr="00685DBD">
        <w:rPr>
          <w:rStyle w:val="Artref"/>
          <w:color w:val="000000"/>
          <w:lang w:val="es-ES_tradnl"/>
        </w:rPr>
        <w:t xml:space="preserve">, </w:t>
      </w:r>
      <w:r w:rsidRPr="00685DBD">
        <w:rPr>
          <w:rStyle w:val="Artref"/>
          <w:b/>
          <w:color w:val="000000"/>
          <w:lang w:val="es-ES_tradnl"/>
        </w:rPr>
        <w:t>11.44.3</w:t>
      </w:r>
      <w:r w:rsidRPr="00685DBD">
        <w:rPr>
          <w:rStyle w:val="Artref"/>
          <w:color w:val="000000"/>
          <w:lang w:val="es-ES_tradnl"/>
        </w:rPr>
        <w:t xml:space="preserve">, </w:t>
      </w:r>
      <w:r w:rsidRPr="00685DBD">
        <w:rPr>
          <w:rStyle w:val="Artref"/>
          <w:b/>
          <w:bCs/>
          <w:color w:val="000000"/>
          <w:lang w:val="es-ES_tradnl"/>
        </w:rPr>
        <w:t>11.44B</w:t>
      </w:r>
      <w:r w:rsidRPr="00685DBD">
        <w:rPr>
          <w:rStyle w:val="Artref"/>
          <w:color w:val="000000"/>
          <w:lang w:val="es-ES_tradnl"/>
        </w:rPr>
        <w:t>,</w:t>
      </w:r>
      <w:r w:rsidRPr="00685DBD">
        <w:rPr>
          <w:rStyle w:val="Artref"/>
          <w:b/>
          <w:bCs/>
          <w:color w:val="000000"/>
          <w:lang w:val="es-ES_tradnl"/>
        </w:rPr>
        <w:t xml:space="preserve"> 11.44B.1</w:t>
      </w:r>
      <w:r w:rsidRPr="00685DBD">
        <w:rPr>
          <w:rStyle w:val="Artref"/>
          <w:color w:val="000000"/>
          <w:lang w:val="es-ES_tradnl"/>
        </w:rPr>
        <w:t xml:space="preserve">, </w:t>
      </w:r>
      <w:r w:rsidRPr="00685DBD">
        <w:rPr>
          <w:rStyle w:val="Artref"/>
          <w:b/>
          <w:bCs/>
          <w:color w:val="000000"/>
          <w:lang w:val="es-ES_tradnl"/>
        </w:rPr>
        <w:t>11.44B.2</w:t>
      </w:r>
      <w:r w:rsidRPr="00685DBD">
        <w:rPr>
          <w:lang w:val="es-ES_tradnl"/>
        </w:rPr>
        <w:t xml:space="preserve"> y </w:t>
      </w:r>
      <w:r w:rsidRPr="00685DBD">
        <w:rPr>
          <w:rStyle w:val="Artref"/>
          <w:b/>
          <w:bCs/>
          <w:color w:val="000000"/>
          <w:lang w:val="es-ES_tradnl"/>
        </w:rPr>
        <w:t>11.47</w:t>
      </w:r>
      <w:r w:rsidRPr="00685DBD">
        <w:rPr>
          <w:rStyle w:val="Artref"/>
          <w:color w:val="000000"/>
          <w:lang w:val="es-ES_tradnl"/>
        </w:rPr>
        <w:t>, y llegó a la conclusión de que la Oficina aplicará el procedimiento que se describe a continuación</w:t>
      </w:r>
      <w:r w:rsidRPr="00685DBD">
        <w:rPr>
          <w:lang w:val="es-ES_tradnl"/>
        </w:rPr>
        <w:t>.</w:t>
      </w:r>
      <w:r>
        <w:rPr>
          <w:lang w:val="es-ES_tradnl"/>
        </w:rPr>
        <w:t xml:space="preserve">    </w:t>
      </w:r>
    </w:p>
    <w:p w:rsidR="00D561C2" w:rsidRPr="00D561C2" w:rsidRDefault="00685DBD" w:rsidP="00340DF3">
      <w:pPr>
        <w:spacing w:line="250" w:lineRule="exact"/>
        <w:rPr>
          <w:lang w:val="es-ES_tradnl"/>
        </w:rPr>
      </w:pPr>
      <w:r w:rsidRPr="00685DBD">
        <w:rPr>
          <w:lang w:val="es-ES_tradnl"/>
        </w:rPr>
        <w:t>3</w:t>
      </w:r>
      <w:r w:rsidRPr="00685DBD">
        <w:rPr>
          <w:lang w:val="es-ES_tradnl"/>
        </w:rPr>
        <w:tab/>
        <w:t xml:space="preserve">El número </w:t>
      </w:r>
      <w:r w:rsidRPr="00685DBD">
        <w:rPr>
          <w:rStyle w:val="Artref"/>
          <w:b/>
          <w:color w:val="000000"/>
          <w:lang w:val="es-ES_tradnl"/>
        </w:rPr>
        <w:t>11.44</w:t>
      </w:r>
      <w:r w:rsidR="00587B8C">
        <w:rPr>
          <w:rStyle w:val="FootnoteReference"/>
          <w:lang w:val="es-ES_tradnl"/>
        </w:rPr>
        <w:footnoteReference w:customMarkFollows="1" w:id="12"/>
        <w:t>10</w:t>
      </w:r>
      <w:r w:rsidRPr="00685DBD">
        <w:rPr>
          <w:lang w:val="es-ES_tradnl"/>
        </w:rPr>
        <w:t xml:space="preserve"> establece un plazo reglamentario para la entrada en servicio de asignaciones de frecuencias a una estación espacial, así como que la Oficina cancelará aquellas asignaciones de frecuencias que no hayan entrado en servicio dentro del periodo reglamentario requerido. En los números </w:t>
      </w:r>
      <w:r w:rsidRPr="00685DBD">
        <w:rPr>
          <w:b/>
          <w:bCs/>
          <w:lang w:val="es-ES_tradnl"/>
        </w:rPr>
        <w:t xml:space="preserve">11.44B </w:t>
      </w:r>
      <w:r w:rsidRPr="00685DBD">
        <w:rPr>
          <w:lang w:val="es-ES_tradnl"/>
        </w:rPr>
        <w:t xml:space="preserve">y </w:t>
      </w:r>
      <w:r w:rsidRPr="00685DBD">
        <w:rPr>
          <w:b/>
          <w:bCs/>
          <w:lang w:val="es-ES_tradnl"/>
        </w:rPr>
        <w:t>11.44B.2</w:t>
      </w:r>
      <w:r w:rsidRPr="00685DBD">
        <w:rPr>
          <w:lang w:val="es-ES_tradnl"/>
        </w:rPr>
        <w:t xml:space="preserve"> se estipulan las condiciones en virtud de las cuales se considerará que una asignación de frecuencias a una estación espacial en la órbita de los satélites geoestacionarios ha sido puesta en servicio. La Oficina inscribirá como fecha de puesta en servicio notificada la fecha de comienzo del periodo de 90 días definido en el número </w:t>
      </w:r>
      <w:r w:rsidRPr="00685DBD">
        <w:rPr>
          <w:b/>
          <w:lang w:val="es-ES_tradnl"/>
        </w:rPr>
        <w:t>11.44B</w:t>
      </w:r>
      <w:r w:rsidRPr="00685DBD">
        <w:rPr>
          <w:bCs/>
          <w:lang w:val="es-ES_tradnl"/>
        </w:rPr>
        <w:t xml:space="preserve"> o la fecha proporcionada por la administración de conformidad con el número </w:t>
      </w:r>
      <w:r w:rsidRPr="00685DBD">
        <w:rPr>
          <w:b/>
          <w:lang w:val="es-ES_tradnl"/>
        </w:rPr>
        <w:t xml:space="preserve">11.44B.2 </w:t>
      </w:r>
      <w:r w:rsidRPr="00685DBD">
        <w:rPr>
          <w:lang w:val="es-ES_tradnl"/>
        </w:rPr>
        <w:t xml:space="preserve">(véase el número </w:t>
      </w:r>
      <w:r w:rsidRPr="00685DBD">
        <w:rPr>
          <w:b/>
          <w:lang w:val="es-ES_tradnl"/>
        </w:rPr>
        <w:t>11.44.2</w:t>
      </w:r>
      <w:r w:rsidRPr="00685DBD">
        <w:rPr>
          <w:lang w:val="es-ES_tradnl"/>
        </w:rPr>
        <w:t xml:space="preserve">). La fecha de puesta en servicio de una asignación se publicará en la web de la BR indicando el estado de confirmación y luego en la PARTE II-S de la BR IFIC si la asignación se ha de inscribir en el Registro. A falta de información sobre la confirmación a tenor de los números </w:t>
      </w:r>
      <w:r w:rsidRPr="00685DBD">
        <w:rPr>
          <w:b/>
          <w:bCs/>
          <w:lang w:val="es-ES_tradnl"/>
        </w:rPr>
        <w:t>11.44B</w:t>
      </w:r>
      <w:r w:rsidRPr="00685DBD">
        <w:rPr>
          <w:lang w:val="es-ES_tradnl"/>
        </w:rPr>
        <w:t xml:space="preserve"> y </w:t>
      </w:r>
      <w:r w:rsidRPr="00685DBD">
        <w:rPr>
          <w:b/>
          <w:bCs/>
          <w:lang w:val="es-ES_tradnl"/>
        </w:rPr>
        <w:t>11.44B.2</w:t>
      </w:r>
      <w:r w:rsidRPr="00AD38F1">
        <w:rPr>
          <w:lang w:val="es-ES_tradnl"/>
        </w:rPr>
        <w:t>,</w:t>
      </w:r>
      <w:r w:rsidRPr="00685DBD">
        <w:rPr>
          <w:b/>
          <w:bCs/>
          <w:lang w:val="es-ES_tradnl"/>
        </w:rPr>
        <w:t> </w:t>
      </w:r>
      <w:r w:rsidRPr="00685DBD">
        <w:rPr>
          <w:lang w:val="es-ES_tradnl"/>
        </w:rPr>
        <w:t>la Oficina anulará las asignaciones inscritas provisionalmente en el Registro con arreglo al número </w:t>
      </w:r>
      <w:r w:rsidRPr="00685DBD">
        <w:rPr>
          <w:b/>
          <w:bCs/>
          <w:lang w:val="es-ES_tradnl"/>
        </w:rPr>
        <w:t>11.44</w:t>
      </w:r>
      <w:r w:rsidR="00587B8C">
        <w:rPr>
          <w:rStyle w:val="FootnoteReference"/>
          <w:lang w:val="es-ES_tradnl"/>
        </w:rPr>
        <w:footnoteReference w:customMarkFollows="1" w:id="13"/>
        <w:t>11</w:t>
      </w:r>
      <w:r w:rsidRPr="00685DBD">
        <w:rPr>
          <w:lang w:val="es-ES_tradnl"/>
        </w:rPr>
        <w:t xml:space="preserve"> y/o suprimirá las correspondientes seccione</w:t>
      </w:r>
      <w:r w:rsidR="00FB2095">
        <w:rPr>
          <w:lang w:val="es-ES_tradnl"/>
        </w:rPr>
        <w:t>s especiales conforme al número </w:t>
      </w:r>
      <w:r w:rsidRPr="00685DBD">
        <w:rPr>
          <w:b/>
          <w:bCs/>
          <w:lang w:val="es-ES_tradnl"/>
        </w:rPr>
        <w:t>11.48</w:t>
      </w:r>
      <w:r w:rsidR="00587B8C">
        <w:rPr>
          <w:rStyle w:val="FootnoteReference"/>
          <w:lang w:val="es-ES_tradnl"/>
        </w:rPr>
        <w:footnoteReference w:customMarkFollows="1" w:id="14"/>
        <w:t>12</w:t>
      </w:r>
      <w:r w:rsidRPr="00685DBD">
        <w:rPr>
          <w:lang w:val="es-ES_tradnl"/>
        </w:rPr>
        <w:t>, según proceda.</w:t>
      </w:r>
      <w:r w:rsidR="00FB2095">
        <w:rPr>
          <w:lang w:val="es-ES_tradnl"/>
        </w:rPr>
        <w:t xml:space="preserve">    </w:t>
      </w:r>
    </w:p>
    <w:p w:rsidR="004C6036" w:rsidRDefault="00D561C2" w:rsidP="00FF225F">
      <w:pPr>
        <w:spacing w:before="120" w:line="250" w:lineRule="exact"/>
        <w:rPr>
          <w:lang w:val="es-ES_tradnl"/>
        </w:rPr>
      </w:pPr>
      <w:r w:rsidRPr="00D561C2">
        <w:rPr>
          <w:lang w:val="es-ES_tradnl"/>
        </w:rPr>
        <w:t>4</w:t>
      </w:r>
      <w:r w:rsidRPr="00D561C2">
        <w:rPr>
          <w:lang w:val="es-ES_tradnl"/>
        </w:rPr>
        <w:tab/>
        <w:t xml:space="preserve">Las asignaciones de frecuencias respecto de las cuales una administración haya presentado información sobre la notificación para su inscripción en el Registro sin presentar la información obligatoria requerida a tenor del número </w:t>
      </w:r>
      <w:r w:rsidRPr="00D561C2">
        <w:rPr>
          <w:b/>
          <w:bCs/>
          <w:lang w:val="es-ES_tradnl"/>
        </w:rPr>
        <w:t>11.44B</w:t>
      </w:r>
      <w:r w:rsidRPr="00D561C2">
        <w:rPr>
          <w:lang w:val="es-ES_tradnl"/>
        </w:rPr>
        <w:t>, se inscribirá provisionalmente en el Registro. De ahí en adelante, al final del periodo p</w:t>
      </w:r>
      <w:r w:rsidR="00025ECD">
        <w:rPr>
          <w:lang w:val="es-ES_tradnl"/>
        </w:rPr>
        <w:t>roporcionado conforme al número </w:t>
      </w:r>
      <w:r w:rsidRPr="00D561C2">
        <w:rPr>
          <w:b/>
          <w:bCs/>
          <w:lang w:val="es-ES_tradnl"/>
        </w:rPr>
        <w:t>11.44</w:t>
      </w:r>
      <w:r w:rsidRPr="00D561C2">
        <w:rPr>
          <w:lang w:val="es-ES_tradnl"/>
        </w:rPr>
        <w:t xml:space="preserve">, la Oficina actuará de conformidad con lo dispuesto en el número </w:t>
      </w:r>
      <w:r w:rsidRPr="00D561C2">
        <w:rPr>
          <w:b/>
          <w:bCs/>
          <w:lang w:val="es-ES_tradnl"/>
        </w:rPr>
        <w:t xml:space="preserve">11.47 </w:t>
      </w:r>
      <w:r w:rsidR="00025ECD">
        <w:rPr>
          <w:lang w:val="es-ES_tradnl"/>
        </w:rPr>
        <w:t>y/o el número </w:t>
      </w:r>
      <w:r w:rsidRPr="00D561C2">
        <w:rPr>
          <w:b/>
          <w:bCs/>
          <w:lang w:val="es-ES_tradnl"/>
        </w:rPr>
        <w:t>11.44B</w:t>
      </w:r>
      <w:r w:rsidRPr="00D561C2">
        <w:rPr>
          <w:lang w:val="es-ES_tradnl"/>
        </w:rPr>
        <w:t>.</w:t>
      </w:r>
    </w:p>
    <w:p w:rsidR="00E40C2F" w:rsidRDefault="00E40C2F" w:rsidP="00FF225F">
      <w:pPr>
        <w:pStyle w:val="Heading8"/>
        <w:spacing w:before="240"/>
        <w:rPr>
          <w:color w:val="000000"/>
          <w:lang w:val="es-ES_tradnl"/>
        </w:rPr>
        <w:sectPr w:rsidR="00E40C2F" w:rsidSect="00E41FDD">
          <w:headerReference w:type="even" r:id="rId10"/>
          <w:footnotePr>
            <w:pos w:val="beneathText"/>
            <w:numFmt w:val="chicago"/>
          </w:footnotePr>
          <w:pgSz w:w="11907" w:h="16840" w:code="9"/>
          <w:pgMar w:top="1701" w:right="851" w:bottom="1134" w:left="1985" w:header="720" w:footer="482" w:gutter="0"/>
          <w:cols w:space="720"/>
          <w:vAlign w:val="both"/>
        </w:sectPr>
      </w:pPr>
    </w:p>
    <w:p w:rsidR="001A29BD" w:rsidRPr="003667EC" w:rsidRDefault="001A29BD" w:rsidP="00FF225F">
      <w:pPr>
        <w:pStyle w:val="Heading8"/>
        <w:spacing w:before="240"/>
        <w:rPr>
          <w:color w:val="000000"/>
          <w:lang w:val="es-ES_tradnl"/>
        </w:rPr>
      </w:pPr>
      <w:r w:rsidRPr="003667EC">
        <w:rPr>
          <w:color w:val="000000"/>
          <w:lang w:val="es-ES_tradnl"/>
        </w:rPr>
        <w:lastRenderedPageBreak/>
        <w:t>11.47</w:t>
      </w:r>
    </w:p>
    <w:p w:rsidR="001A29BD" w:rsidRDefault="001A29BD" w:rsidP="009243FB">
      <w:pPr>
        <w:spacing w:line="250" w:lineRule="exact"/>
        <w:rPr>
          <w:lang w:val="es-ES_tradnl"/>
        </w:rPr>
      </w:pPr>
      <w:r w:rsidRPr="0077079D">
        <w:rPr>
          <w:lang w:val="es-ES_tradnl"/>
        </w:rPr>
        <w:t xml:space="preserve">La referencia a los números </w:t>
      </w:r>
      <w:r w:rsidRPr="0077079D">
        <w:rPr>
          <w:b/>
          <w:bCs/>
          <w:lang w:val="es-ES_tradnl"/>
        </w:rPr>
        <w:t>11.47</w:t>
      </w:r>
      <w:r w:rsidRPr="0077079D">
        <w:rPr>
          <w:lang w:val="es-ES_tradnl"/>
        </w:rPr>
        <w:t xml:space="preserve"> a </w:t>
      </w:r>
      <w:r w:rsidRPr="0077079D">
        <w:rPr>
          <w:rStyle w:val="Artref"/>
          <w:b/>
          <w:bCs/>
          <w:color w:val="000000"/>
          <w:lang w:val="es-ES_tradnl"/>
        </w:rPr>
        <w:t>11.44</w:t>
      </w:r>
      <w:r w:rsidRPr="0077079D">
        <w:rPr>
          <w:lang w:val="es-ES_tradnl"/>
        </w:rPr>
        <w:t xml:space="preserve"> y su periodo reglamentario debe considerarse como de cinco años a partir de la fecha de recepción de una notificación de un cambio al que se hace referencia en el número </w:t>
      </w:r>
      <w:r w:rsidRPr="0077079D">
        <w:rPr>
          <w:rStyle w:val="Artref"/>
          <w:b/>
          <w:bCs/>
          <w:color w:val="000000"/>
          <w:lang w:val="es-ES_tradnl"/>
        </w:rPr>
        <w:t>11.43A</w:t>
      </w:r>
      <w:r w:rsidRPr="0077079D">
        <w:rPr>
          <w:lang w:val="es-ES_tradnl"/>
        </w:rPr>
        <w:t>. (Véanse también los comentarios formulados en las Reglas de Procedimiento relativas al número </w:t>
      </w:r>
      <w:r w:rsidRPr="0077079D">
        <w:rPr>
          <w:rStyle w:val="Artref"/>
          <w:b/>
          <w:bCs/>
          <w:color w:val="000000"/>
          <w:lang w:val="es-ES_tradnl"/>
        </w:rPr>
        <w:t>11.43A</w:t>
      </w:r>
      <w:r w:rsidRPr="0077079D">
        <w:rPr>
          <w:rStyle w:val="Artref"/>
          <w:bCs/>
          <w:color w:val="000000"/>
          <w:lang w:val="es-ES_tradnl"/>
        </w:rPr>
        <w:t xml:space="preserve"> y al número</w:t>
      </w:r>
      <w:r w:rsidRPr="0077079D">
        <w:rPr>
          <w:rStyle w:val="Artref"/>
          <w:b/>
          <w:color w:val="000000"/>
          <w:lang w:val="es-ES_tradnl"/>
        </w:rPr>
        <w:t xml:space="preserve"> 11.44B</w:t>
      </w:r>
      <w:r w:rsidRPr="0077079D">
        <w:rPr>
          <w:rStyle w:val="Artref"/>
          <w:bCs/>
          <w:color w:val="000000"/>
          <w:lang w:val="es-ES_tradnl"/>
        </w:rPr>
        <w:t>)</w:t>
      </w:r>
      <w:r>
        <w:rPr>
          <w:rStyle w:val="Artref"/>
          <w:bCs/>
          <w:color w:val="000000"/>
          <w:lang w:val="es-ES_tradnl"/>
        </w:rPr>
        <w:t xml:space="preserve">   </w:t>
      </w:r>
    </w:p>
    <w:p w:rsidR="001A29BD" w:rsidRPr="00FF225F" w:rsidRDefault="001A29BD" w:rsidP="00432D3A">
      <w:pPr>
        <w:pStyle w:val="Heading8"/>
        <w:spacing w:before="240"/>
        <w:rPr>
          <w:color w:val="000000"/>
          <w:lang w:val="es-ES_tradnl"/>
        </w:rPr>
      </w:pPr>
      <w:r w:rsidRPr="00FF225F">
        <w:rPr>
          <w:color w:val="000000"/>
          <w:lang w:val="es-ES_tradnl"/>
        </w:rPr>
        <w:t>11.48</w:t>
      </w:r>
    </w:p>
    <w:p w:rsidR="00E40C2F" w:rsidRPr="00E40C2F" w:rsidRDefault="00E40C2F" w:rsidP="00E40C2F">
      <w:pPr>
        <w:rPr>
          <w:rFonts w:asciiTheme="majorBidi" w:hAnsiTheme="majorBidi" w:cstheme="majorBidi"/>
          <w:lang w:val="es-ES"/>
          <w:rPrChange w:id="0" w:author="Microsoft" w:date="2018-07-26T18:35:00Z">
            <w:rPr>
              <w:rFonts w:asciiTheme="minorHAnsi" w:hAnsiTheme="minorHAnsi"/>
            </w:rPr>
          </w:rPrChange>
        </w:rPr>
      </w:pPr>
      <w:r w:rsidRPr="00E40C2F">
        <w:rPr>
          <w:rFonts w:asciiTheme="majorBidi" w:hAnsiTheme="majorBidi" w:cstheme="majorBidi"/>
          <w:b/>
          <w:bCs/>
          <w:lang w:val="es-ES"/>
          <w:rPrChange w:id="1" w:author="Microsoft" w:date="2018-07-26T18:35:00Z">
            <w:rPr>
              <w:rFonts w:asciiTheme="minorHAnsi" w:hAnsiTheme="minorHAnsi"/>
              <w:b/>
              <w:bCs/>
            </w:rPr>
          </w:rPrChange>
        </w:rPr>
        <w:t>Nota</w:t>
      </w:r>
      <w:r w:rsidRPr="00E40C2F">
        <w:rPr>
          <w:rFonts w:asciiTheme="majorBidi" w:hAnsiTheme="majorBidi" w:cstheme="majorBidi"/>
          <w:lang w:val="es-ES"/>
          <w:rPrChange w:id="2" w:author="Microsoft" w:date="2018-07-26T18:35:00Z">
            <w:rPr>
              <w:rFonts w:asciiTheme="minorHAnsi" w:hAnsiTheme="minorHAnsi"/>
            </w:rPr>
          </w:rPrChange>
        </w:rPr>
        <w:t xml:space="preserve"> – La CMR-15 tomó una decisión relacionada con el Reglamento de Radiocomunicaciones relativa al número </w:t>
      </w:r>
      <w:r w:rsidRPr="00E40C2F">
        <w:rPr>
          <w:rFonts w:asciiTheme="majorBidi" w:hAnsiTheme="majorBidi" w:cstheme="majorBidi"/>
          <w:b/>
          <w:bCs/>
          <w:lang w:val="es-ES"/>
          <w:rPrChange w:id="3" w:author="Microsoft" w:date="2018-07-26T18:35:00Z">
            <w:rPr>
              <w:rFonts w:asciiTheme="minorHAnsi" w:hAnsiTheme="minorHAnsi"/>
              <w:b/>
              <w:bCs/>
            </w:rPr>
          </w:rPrChange>
        </w:rPr>
        <w:t>11.48</w:t>
      </w:r>
      <w:r w:rsidRPr="00E40C2F">
        <w:rPr>
          <w:rFonts w:asciiTheme="majorBidi" w:hAnsiTheme="majorBidi" w:cstheme="majorBidi"/>
          <w:lang w:val="es-ES"/>
          <w:rPrChange w:id="4" w:author="Microsoft" w:date="2018-07-26T18:35:00Z">
            <w:rPr>
              <w:rFonts w:asciiTheme="minorHAnsi" w:hAnsiTheme="minorHAnsi"/>
            </w:rPr>
          </w:rPrChange>
        </w:rPr>
        <w:t xml:space="preserve"> durante la 8ª Sesión Plenaria </w:t>
      </w:r>
      <w:r w:rsidRPr="00E40C2F">
        <w:rPr>
          <w:rFonts w:asciiTheme="majorBidi" w:hAnsiTheme="majorBidi" w:cstheme="majorBidi"/>
          <w:lang w:val="es-ES" w:eastAsia="zh-CN"/>
          <w:rPrChange w:id="5" w:author="Microsoft" w:date="2018-07-26T18:35:00Z">
            <w:rPr>
              <w:rFonts w:asciiTheme="minorHAnsi" w:hAnsiTheme="minorHAnsi"/>
              <w:lang w:eastAsia="zh-CN"/>
            </w:rPr>
          </w:rPrChange>
        </w:rPr>
        <w:t>(véanse los párrafos</w:t>
      </w:r>
      <w:r w:rsidRPr="00E40C2F">
        <w:rPr>
          <w:rFonts w:asciiTheme="majorBidi" w:hAnsiTheme="majorBidi" w:cstheme="majorBidi"/>
          <w:lang w:val="es-ES"/>
          <w:rPrChange w:id="6" w:author="Microsoft" w:date="2018-07-26T18:35:00Z">
            <w:rPr>
              <w:rFonts w:asciiTheme="minorHAnsi" w:hAnsiTheme="minorHAnsi"/>
            </w:rPr>
          </w:rPrChange>
        </w:rPr>
        <w:t xml:space="preserve"> 1.39 a 1.42 del Documento 505 de la CMR-15) con la aprobación del Documento 416 de la CMR-15 en relación con </w:t>
      </w:r>
      <w:r w:rsidRPr="00E40C2F">
        <w:rPr>
          <w:rFonts w:asciiTheme="majorBidi" w:hAnsiTheme="majorBidi" w:cstheme="majorBidi"/>
          <w:lang w:val="es-ES" w:eastAsia="zh-CN"/>
          <w:rPrChange w:id="7" w:author="Microsoft" w:date="2018-07-26T18:35:00Z">
            <w:rPr>
              <w:rFonts w:asciiTheme="minorHAnsi" w:hAnsiTheme="minorHAnsi"/>
              <w:lang w:eastAsia="zh-CN"/>
            </w:rPr>
          </w:rPrChange>
        </w:rPr>
        <w:t>el apartado</w:t>
      </w:r>
      <w:r w:rsidRPr="00E40C2F">
        <w:rPr>
          <w:rFonts w:asciiTheme="majorBidi" w:hAnsiTheme="majorBidi" w:cstheme="majorBidi"/>
          <w:lang w:val="es-ES"/>
          <w:rPrChange w:id="8" w:author="Microsoft" w:date="2018-07-26T18:35:00Z">
            <w:rPr>
              <w:rFonts w:asciiTheme="minorHAnsi" w:hAnsiTheme="minorHAnsi"/>
            </w:rPr>
          </w:rPrChange>
        </w:rPr>
        <w:t xml:space="preserve"> 2.2.2, y estipuló lo siguiente</w:t>
      </w:r>
      <w:r w:rsidRPr="00E40C2F">
        <w:rPr>
          <w:rFonts w:asciiTheme="majorBidi" w:eastAsia="SimSun" w:hAnsiTheme="majorBidi" w:cstheme="majorBidi"/>
          <w:lang w:val="es-ES" w:eastAsia="zh-CN"/>
          <w:rPrChange w:id="9" w:author="Microsoft" w:date="2018-07-26T18:35:00Z">
            <w:rPr>
              <w:rFonts w:asciiTheme="minorHAnsi" w:eastAsia="SimSun" w:hAnsiTheme="minorHAnsi"/>
              <w:lang w:eastAsia="zh-CN"/>
            </w:rPr>
          </w:rPrChange>
        </w:rPr>
        <w:t>:</w:t>
      </w:r>
    </w:p>
    <w:p w:rsidR="001A29BD" w:rsidRDefault="00E40C2F" w:rsidP="00E40C2F">
      <w:pPr>
        <w:spacing w:line="250" w:lineRule="exact"/>
        <w:rPr>
          <w:rFonts w:asciiTheme="majorBidi" w:hAnsiTheme="majorBidi" w:cstheme="majorBidi"/>
          <w:i/>
          <w:iCs/>
          <w:lang w:val="es-ES"/>
        </w:rPr>
      </w:pPr>
      <w:r w:rsidRPr="00E40C2F">
        <w:rPr>
          <w:rFonts w:asciiTheme="majorBidi" w:hAnsiTheme="majorBidi" w:cstheme="majorBidi"/>
          <w:i/>
          <w:iCs/>
          <w:lang w:val="es-ES"/>
          <w:rPrChange w:id="10" w:author="Microsoft" w:date="2018-07-26T18:35:00Z">
            <w:rPr>
              <w:rFonts w:asciiTheme="minorHAnsi" w:hAnsiTheme="minorHAnsi"/>
              <w:i/>
              <w:iCs/>
            </w:rPr>
          </w:rPrChange>
        </w:rPr>
        <w:t xml:space="preserve">«La CMR-15 tomó nota de la incoherencia entre el número </w:t>
      </w:r>
      <w:r w:rsidRPr="00E40C2F">
        <w:rPr>
          <w:rFonts w:asciiTheme="majorBidi" w:hAnsiTheme="majorBidi" w:cstheme="majorBidi"/>
          <w:b/>
          <w:bCs/>
          <w:i/>
          <w:iCs/>
          <w:lang w:val="es-ES"/>
          <w:rPrChange w:id="11" w:author="Microsoft" w:date="2018-07-26T18:35:00Z">
            <w:rPr>
              <w:rFonts w:asciiTheme="minorHAnsi" w:hAnsiTheme="minorHAnsi"/>
              <w:b/>
              <w:bCs/>
              <w:i/>
              <w:iCs/>
            </w:rPr>
          </w:rPrChange>
        </w:rPr>
        <w:t>11.48</w:t>
      </w:r>
      <w:r w:rsidRPr="00E40C2F">
        <w:rPr>
          <w:rFonts w:asciiTheme="majorBidi" w:hAnsiTheme="majorBidi" w:cstheme="majorBidi"/>
          <w:i/>
          <w:iCs/>
          <w:lang w:val="es-ES"/>
          <w:rPrChange w:id="12" w:author="Microsoft" w:date="2018-07-26T18:35:00Z">
            <w:rPr>
              <w:rFonts w:asciiTheme="minorHAnsi" w:hAnsiTheme="minorHAnsi"/>
              <w:i/>
              <w:iCs/>
            </w:rPr>
          </w:rPrChange>
        </w:rPr>
        <w:t xml:space="preserve"> del RR y el § 8 del Anexo 1 a la Resolución </w:t>
      </w:r>
      <w:r w:rsidRPr="00E40C2F">
        <w:rPr>
          <w:rFonts w:asciiTheme="majorBidi" w:hAnsiTheme="majorBidi" w:cstheme="majorBidi"/>
          <w:b/>
          <w:bCs/>
          <w:i/>
          <w:iCs/>
          <w:lang w:val="es-ES"/>
          <w:rPrChange w:id="13" w:author="Microsoft" w:date="2018-07-26T18:35:00Z">
            <w:rPr>
              <w:rFonts w:asciiTheme="minorHAnsi" w:hAnsiTheme="minorHAnsi"/>
              <w:b/>
              <w:bCs/>
              <w:i/>
              <w:iCs/>
            </w:rPr>
          </w:rPrChange>
        </w:rPr>
        <w:t>552</w:t>
      </w:r>
      <w:r w:rsidRPr="00E40C2F">
        <w:rPr>
          <w:rFonts w:asciiTheme="majorBidi" w:hAnsiTheme="majorBidi" w:cstheme="majorBidi"/>
          <w:i/>
          <w:iCs/>
          <w:lang w:val="es-ES"/>
          <w:rPrChange w:id="14" w:author="Microsoft" w:date="2018-07-26T18:35:00Z">
            <w:rPr>
              <w:rFonts w:asciiTheme="minorHAnsi" w:hAnsiTheme="minorHAnsi"/>
              <w:i/>
              <w:iCs/>
            </w:rPr>
          </w:rPrChange>
        </w:rPr>
        <w:t xml:space="preserve"> </w:t>
      </w:r>
      <w:r w:rsidRPr="00E40C2F">
        <w:rPr>
          <w:rFonts w:asciiTheme="majorBidi" w:hAnsiTheme="majorBidi" w:cstheme="majorBidi"/>
          <w:b/>
          <w:bCs/>
          <w:i/>
          <w:iCs/>
          <w:lang w:val="es-ES"/>
          <w:rPrChange w:id="15" w:author="Microsoft" w:date="2018-07-26T18:35:00Z">
            <w:rPr>
              <w:rFonts w:asciiTheme="minorHAnsi" w:hAnsiTheme="minorHAnsi"/>
              <w:b/>
              <w:bCs/>
              <w:i/>
              <w:iCs/>
            </w:rPr>
          </w:rPrChange>
        </w:rPr>
        <w:t>(CMR-12)</w:t>
      </w:r>
      <w:r w:rsidRPr="00E40C2F">
        <w:rPr>
          <w:rStyle w:val="FootnoteReference"/>
          <w:rFonts w:asciiTheme="majorBidi" w:hAnsiTheme="majorBidi" w:cstheme="majorBidi"/>
          <w:i/>
          <w:iCs/>
          <w:lang w:val="es-ES"/>
          <w:rPrChange w:id="16" w:author="Microsoft" w:date="2018-07-26T18:35:00Z">
            <w:rPr>
              <w:rStyle w:val="FootnoteReference"/>
              <w:rFonts w:asciiTheme="minorHAnsi" w:hAnsiTheme="minorHAnsi"/>
              <w:i/>
              <w:iCs/>
            </w:rPr>
          </w:rPrChange>
        </w:rPr>
        <w:footnoteReference w:customMarkFollows="1" w:id="15"/>
        <w:t>*</w:t>
      </w:r>
      <w:r w:rsidRPr="00E40C2F">
        <w:rPr>
          <w:rFonts w:asciiTheme="majorBidi" w:hAnsiTheme="majorBidi" w:cstheme="majorBidi"/>
          <w:i/>
          <w:iCs/>
          <w:lang w:val="es-ES"/>
          <w:rPrChange w:id="17" w:author="Microsoft" w:date="2018-07-26T18:35:00Z">
            <w:rPr>
              <w:rFonts w:asciiTheme="minorHAnsi" w:hAnsiTheme="minorHAnsi"/>
              <w:i/>
              <w:iCs/>
            </w:rPr>
          </w:rPrChange>
        </w:rPr>
        <w:t xml:space="preserve"> y confirmó que su interpretación era que la Oficina procederá a anular las asignaciones de frecuencia de las redes de satélites que funcionan en la banda 21,4-22 GHz si transcurridos 30 días desde el final de periodo de siete años contados a partir de la fecha de recepción por la Oficina de la información completa pertinente en virtud de los números </w:t>
      </w:r>
      <w:r w:rsidRPr="00E40C2F">
        <w:rPr>
          <w:rFonts w:asciiTheme="majorBidi" w:hAnsiTheme="majorBidi" w:cstheme="majorBidi"/>
          <w:b/>
          <w:bCs/>
          <w:i/>
          <w:iCs/>
          <w:lang w:val="es-ES"/>
          <w:rPrChange w:id="18" w:author="Microsoft" w:date="2018-07-26T18:35:00Z">
            <w:rPr>
              <w:rFonts w:asciiTheme="minorHAnsi" w:hAnsiTheme="minorHAnsi"/>
              <w:b/>
              <w:bCs/>
              <w:i/>
              <w:iCs/>
            </w:rPr>
          </w:rPrChange>
        </w:rPr>
        <w:t>9.1</w:t>
      </w:r>
      <w:r w:rsidRPr="00E40C2F">
        <w:rPr>
          <w:rFonts w:asciiTheme="majorBidi" w:hAnsiTheme="majorBidi" w:cstheme="majorBidi"/>
          <w:i/>
          <w:iCs/>
          <w:lang w:val="es-ES"/>
          <w:rPrChange w:id="19" w:author="Microsoft" w:date="2018-07-26T18:35:00Z">
            <w:rPr>
              <w:rFonts w:asciiTheme="minorHAnsi" w:hAnsiTheme="minorHAnsi"/>
              <w:i/>
              <w:iCs/>
            </w:rPr>
          </w:rPrChange>
        </w:rPr>
        <w:t xml:space="preserve"> </w:t>
      </w:r>
      <w:r w:rsidRPr="00E40C2F">
        <w:rPr>
          <w:rFonts w:asciiTheme="majorBidi" w:hAnsiTheme="majorBidi" w:cstheme="majorBidi"/>
          <w:i/>
          <w:iCs/>
          <w:lang w:val="es-ES"/>
        </w:rPr>
        <w:t>o</w:t>
      </w:r>
      <w:r w:rsidRPr="00E40C2F">
        <w:rPr>
          <w:rFonts w:asciiTheme="majorBidi" w:hAnsiTheme="majorBidi" w:cstheme="majorBidi"/>
          <w:i/>
          <w:iCs/>
          <w:lang w:val="es-ES"/>
          <w:rPrChange w:id="20" w:author="Microsoft" w:date="2018-07-26T18:35:00Z">
            <w:rPr>
              <w:rFonts w:asciiTheme="minorHAnsi" w:hAnsiTheme="minorHAnsi"/>
              <w:i/>
              <w:iCs/>
            </w:rPr>
          </w:rPrChange>
        </w:rPr>
        <w:t xml:space="preserve"> </w:t>
      </w:r>
      <w:r w:rsidRPr="00E40C2F">
        <w:rPr>
          <w:rFonts w:asciiTheme="majorBidi" w:hAnsiTheme="majorBidi" w:cstheme="majorBidi"/>
          <w:b/>
          <w:bCs/>
          <w:i/>
          <w:iCs/>
          <w:lang w:val="es-ES"/>
          <w:rPrChange w:id="21" w:author="Microsoft" w:date="2018-07-26T18:35:00Z">
            <w:rPr>
              <w:rFonts w:asciiTheme="minorHAnsi" w:hAnsiTheme="minorHAnsi"/>
              <w:b/>
              <w:bCs/>
              <w:i/>
              <w:iCs/>
            </w:rPr>
          </w:rPrChange>
        </w:rPr>
        <w:t>9.2</w:t>
      </w:r>
      <w:r w:rsidRPr="00E40C2F">
        <w:rPr>
          <w:rFonts w:asciiTheme="majorBidi" w:hAnsiTheme="majorBidi" w:cstheme="majorBidi"/>
          <w:i/>
          <w:iCs/>
          <w:lang w:val="es-ES"/>
          <w:rPrChange w:id="22" w:author="Microsoft" w:date="2018-07-26T18:35:00Z">
            <w:rPr>
              <w:rFonts w:asciiTheme="minorHAnsi" w:hAnsiTheme="minorHAnsi"/>
              <w:i/>
              <w:iCs/>
            </w:rPr>
          </w:rPrChange>
        </w:rPr>
        <w:t xml:space="preserve"> del RR, según el caso, y una vez finalizado el periodo de tres años contados desde la fecha de suspensión de conformidad con el número </w:t>
      </w:r>
      <w:r w:rsidRPr="00E40C2F">
        <w:rPr>
          <w:rFonts w:asciiTheme="majorBidi" w:hAnsiTheme="majorBidi" w:cstheme="majorBidi"/>
          <w:b/>
          <w:bCs/>
          <w:i/>
          <w:iCs/>
          <w:lang w:val="es-ES"/>
          <w:rPrChange w:id="23" w:author="Microsoft" w:date="2018-07-26T18:35:00Z">
            <w:rPr>
              <w:rFonts w:asciiTheme="minorHAnsi" w:hAnsiTheme="minorHAnsi"/>
              <w:b/>
              <w:bCs/>
              <w:i/>
              <w:iCs/>
            </w:rPr>
          </w:rPrChange>
        </w:rPr>
        <w:t>11.49</w:t>
      </w:r>
      <w:r w:rsidRPr="00E40C2F">
        <w:rPr>
          <w:rFonts w:asciiTheme="majorBidi" w:hAnsiTheme="majorBidi" w:cstheme="majorBidi"/>
          <w:i/>
          <w:iCs/>
          <w:lang w:val="es-ES"/>
          <w:rPrChange w:id="24" w:author="Microsoft" w:date="2018-07-26T18:35:00Z">
            <w:rPr>
              <w:rFonts w:asciiTheme="minorHAnsi" w:hAnsiTheme="minorHAnsi"/>
              <w:i/>
              <w:iCs/>
            </w:rPr>
          </w:rPrChange>
        </w:rPr>
        <w:t xml:space="preserve"> del RR</w:t>
      </w:r>
      <w:r w:rsidRPr="00E40C2F">
        <w:rPr>
          <w:rStyle w:val="FootnoteReference"/>
          <w:rFonts w:asciiTheme="majorBidi" w:hAnsiTheme="majorBidi" w:cstheme="majorBidi"/>
          <w:i/>
          <w:iCs/>
          <w:lang w:val="es-ES"/>
          <w:rPrChange w:id="25" w:author="Microsoft" w:date="2018-07-26T18:35:00Z">
            <w:rPr>
              <w:rStyle w:val="FootnoteReference"/>
              <w:rFonts w:asciiTheme="minorHAnsi" w:hAnsiTheme="minorHAnsi"/>
              <w:i/>
              <w:iCs/>
            </w:rPr>
          </w:rPrChange>
        </w:rPr>
        <w:footnoteReference w:customMarkFollows="1" w:id="16"/>
        <w:t>**</w:t>
      </w:r>
      <w:r w:rsidRPr="00E40C2F">
        <w:rPr>
          <w:rFonts w:asciiTheme="majorBidi" w:hAnsiTheme="majorBidi" w:cstheme="majorBidi"/>
          <w:i/>
          <w:iCs/>
          <w:lang w:val="es-ES"/>
          <w:rPrChange w:id="26" w:author="Microsoft" w:date="2018-07-26T18:35:00Z">
            <w:rPr>
              <w:rFonts w:asciiTheme="minorHAnsi" w:hAnsiTheme="minorHAnsi"/>
              <w:i/>
              <w:iCs/>
            </w:rPr>
          </w:rPrChange>
        </w:rPr>
        <w:t>.»</w:t>
      </w:r>
    </w:p>
    <w:p w:rsidR="00E40C2F" w:rsidRDefault="00E40C2F" w:rsidP="00E40C2F">
      <w:pPr>
        <w:spacing w:line="250" w:lineRule="exact"/>
        <w:rPr>
          <w:bCs/>
          <w:color w:val="000000"/>
          <w:sz w:val="16"/>
          <w:szCs w:val="16"/>
          <w:lang w:val="fr-CH"/>
        </w:rPr>
      </w:pPr>
      <w:r w:rsidRPr="00682E85">
        <w:rPr>
          <w:bCs/>
          <w:color w:val="000000"/>
          <w:sz w:val="16"/>
          <w:szCs w:val="16"/>
          <w:lang w:val="fr-CH"/>
        </w:rPr>
        <w:t>(ADD RRB18/78)</w:t>
      </w:r>
    </w:p>
    <w:p w:rsidR="00E40C2F" w:rsidRPr="00E40C2F" w:rsidRDefault="00E40C2F" w:rsidP="00E40C2F">
      <w:pPr>
        <w:tabs>
          <w:tab w:val="left" w:pos="720"/>
        </w:tabs>
        <w:overflowPunct/>
        <w:autoSpaceDE/>
        <w:adjustRightInd/>
        <w:spacing w:before="0" w:after="160" w:line="256" w:lineRule="auto"/>
        <w:rPr>
          <w:rFonts w:asciiTheme="majorBidi" w:eastAsia="SimSun" w:hAnsiTheme="majorBidi" w:cstheme="majorBidi"/>
          <w:b/>
          <w:bCs/>
          <w:lang w:val="es-ES" w:eastAsia="zh-CN"/>
          <w:rPrChange w:id="27" w:author="Microsoft" w:date="2018-07-26T18:35:00Z">
            <w:rPr>
              <w:rFonts w:asciiTheme="minorHAnsi" w:eastAsia="SimSun" w:hAnsiTheme="minorHAnsi"/>
              <w:b/>
              <w:bCs/>
              <w:lang w:eastAsia="zh-CN"/>
            </w:rPr>
          </w:rPrChange>
        </w:rPr>
      </w:pPr>
      <w:r w:rsidRPr="00E40C2F">
        <w:rPr>
          <w:rFonts w:asciiTheme="majorBidi" w:eastAsia="SimSun" w:hAnsiTheme="majorBidi" w:cstheme="majorBidi"/>
          <w:b/>
          <w:bCs/>
          <w:lang w:val="es-ES" w:eastAsia="zh-CN"/>
          <w:rPrChange w:id="28" w:author="Microsoft" w:date="2018-07-26T18:35:00Z">
            <w:rPr>
              <w:rFonts w:asciiTheme="minorHAnsi" w:eastAsia="SimSun" w:hAnsiTheme="minorHAnsi"/>
              <w:b/>
              <w:bCs/>
              <w:lang w:eastAsia="zh-CN"/>
            </w:rPr>
          </w:rPrChange>
        </w:rPr>
        <w:t>Medidas adoptadas por la Oficina a raíz de la decisión de la Junta de conceder una prórroga para la puesta en servicio de las asignaciones de frecuencia a una red de satélites</w:t>
      </w:r>
    </w:p>
    <w:p w:rsidR="00E40C2F" w:rsidRPr="00E40C2F" w:rsidRDefault="00E40C2F" w:rsidP="00E40C2F">
      <w:pPr>
        <w:rPr>
          <w:rFonts w:asciiTheme="majorBidi" w:eastAsia="SimSun" w:hAnsiTheme="majorBidi" w:cstheme="majorBidi"/>
          <w:lang w:val="es-ES" w:eastAsia="zh-CN"/>
          <w:rPrChange w:id="29" w:author="Microsoft" w:date="2018-07-26T18:35:00Z">
            <w:rPr>
              <w:rFonts w:asciiTheme="minorHAnsi" w:eastAsia="SimSun" w:hAnsiTheme="minorHAnsi" w:cstheme="minorHAnsi"/>
              <w:lang w:eastAsia="zh-CN"/>
            </w:rPr>
          </w:rPrChange>
        </w:rPr>
      </w:pPr>
      <w:r w:rsidRPr="00E40C2F">
        <w:rPr>
          <w:rFonts w:asciiTheme="majorBidi" w:eastAsia="SimSun" w:hAnsiTheme="majorBidi" w:cstheme="majorBidi"/>
          <w:lang w:val="es-ES" w:eastAsia="zh-CN"/>
          <w:rPrChange w:id="30" w:author="Microsoft" w:date="2018-07-26T18:35:00Z">
            <w:rPr>
              <w:rFonts w:asciiTheme="minorHAnsi" w:eastAsia="SimSun" w:hAnsiTheme="minorHAnsi" w:cstheme="minorHAnsi"/>
              <w:lang w:eastAsia="zh-CN"/>
            </w:rPr>
          </w:rPrChange>
        </w:rPr>
        <w:t xml:space="preserve">Si la Junta decide conceder una ampliación del plazo reglamentario para la puesta en servicio de asignaciones de frecuencias a una red de satélites en los casos de fuerza mayor o de retraso de un lanzamiento colectivo, cabe plantear la cuestión de si debe o no ampliarse asimismo el plazo para la presentación de la información de notificación y de la Resolución </w:t>
      </w:r>
      <w:r w:rsidRPr="00E40C2F">
        <w:rPr>
          <w:rFonts w:asciiTheme="majorBidi" w:eastAsia="SimSun" w:hAnsiTheme="majorBidi" w:cstheme="majorBidi"/>
          <w:b/>
          <w:bCs/>
          <w:lang w:val="es-ES" w:eastAsia="zh-CN"/>
          <w:rPrChange w:id="31" w:author="Microsoft" w:date="2018-07-26T18:35:00Z">
            <w:rPr>
              <w:rFonts w:asciiTheme="minorHAnsi" w:eastAsia="SimSun" w:hAnsiTheme="minorHAnsi" w:cstheme="minorHAnsi"/>
              <w:b/>
              <w:bCs/>
              <w:lang w:eastAsia="zh-CN"/>
            </w:rPr>
          </w:rPrChange>
        </w:rPr>
        <w:t>49 (Rev.CMR-15)</w:t>
      </w:r>
      <w:r w:rsidRPr="00E40C2F">
        <w:rPr>
          <w:rFonts w:asciiTheme="majorBidi" w:eastAsia="SimSun" w:hAnsiTheme="majorBidi" w:cstheme="majorBidi"/>
          <w:lang w:val="es-ES" w:eastAsia="zh-CN"/>
          <w:rPrChange w:id="32" w:author="Microsoft" w:date="2018-07-26T18:35:00Z">
            <w:rPr>
              <w:rFonts w:asciiTheme="minorHAnsi" w:eastAsia="SimSun" w:hAnsiTheme="minorHAnsi" w:cstheme="minorHAnsi"/>
              <w:lang w:eastAsia="zh-CN"/>
            </w:rPr>
          </w:rPrChange>
        </w:rPr>
        <w:t xml:space="preserve">. En el número </w:t>
      </w:r>
      <w:r w:rsidRPr="00E40C2F">
        <w:rPr>
          <w:rFonts w:asciiTheme="majorBidi" w:eastAsia="SimSun" w:hAnsiTheme="majorBidi" w:cstheme="majorBidi"/>
          <w:b/>
          <w:bCs/>
          <w:lang w:val="es-ES" w:eastAsia="zh-CN"/>
          <w:rPrChange w:id="33" w:author="Microsoft" w:date="2018-07-26T18:35:00Z">
            <w:rPr>
              <w:rFonts w:asciiTheme="minorHAnsi" w:eastAsia="SimSun" w:hAnsiTheme="minorHAnsi" w:cstheme="minorHAnsi"/>
              <w:b/>
              <w:bCs/>
              <w:lang w:eastAsia="zh-CN"/>
            </w:rPr>
          </w:rPrChange>
        </w:rPr>
        <w:t>11.48</w:t>
      </w:r>
      <w:r w:rsidRPr="00E40C2F">
        <w:rPr>
          <w:rFonts w:asciiTheme="majorBidi" w:eastAsia="SimSun" w:hAnsiTheme="majorBidi" w:cstheme="majorBidi"/>
          <w:lang w:val="es-ES" w:eastAsia="zh-CN"/>
          <w:rPrChange w:id="34" w:author="Microsoft" w:date="2018-07-26T18:35:00Z">
            <w:rPr>
              <w:rFonts w:asciiTheme="minorHAnsi" w:eastAsia="SimSun" w:hAnsiTheme="minorHAnsi" w:cstheme="minorHAnsi"/>
              <w:lang w:eastAsia="zh-CN"/>
            </w:rPr>
          </w:rPrChange>
        </w:rPr>
        <w:t xml:space="preserve"> no se alude únicamente a la puesta en servicio, sino que en virtud del mismo se exige que la Oficina de Radiocomunicaciones reciba la primera notificación para inscribir las asignaciones de frecuencias con arreglo al número </w:t>
      </w:r>
      <w:r w:rsidRPr="00E40C2F">
        <w:rPr>
          <w:rFonts w:asciiTheme="majorBidi" w:eastAsia="SimSun" w:hAnsiTheme="majorBidi" w:cstheme="majorBidi"/>
          <w:b/>
          <w:bCs/>
          <w:lang w:val="es-ES" w:eastAsia="zh-CN"/>
          <w:rPrChange w:id="35" w:author="Microsoft" w:date="2018-07-26T18:35:00Z">
            <w:rPr>
              <w:rFonts w:asciiTheme="minorHAnsi" w:eastAsia="SimSun" w:hAnsiTheme="minorHAnsi" w:cstheme="minorHAnsi"/>
              <w:b/>
              <w:bCs/>
              <w:lang w:eastAsia="zh-CN"/>
            </w:rPr>
          </w:rPrChange>
        </w:rPr>
        <w:t>11.15</w:t>
      </w:r>
      <w:r w:rsidRPr="00E40C2F">
        <w:rPr>
          <w:rFonts w:asciiTheme="majorBidi" w:eastAsia="SimSun" w:hAnsiTheme="majorBidi" w:cstheme="majorBidi"/>
          <w:lang w:val="es-ES" w:eastAsia="zh-CN"/>
          <w:rPrChange w:id="36" w:author="Microsoft" w:date="2018-07-26T18:35:00Z">
            <w:rPr>
              <w:rFonts w:asciiTheme="minorHAnsi" w:eastAsia="SimSun" w:hAnsiTheme="minorHAnsi" w:cstheme="minorHAnsi"/>
              <w:lang w:eastAsia="zh-CN"/>
            </w:rPr>
          </w:rPrChange>
        </w:rPr>
        <w:t xml:space="preserve"> y la información de debida diligencia con arreglo a la Resolución </w:t>
      </w:r>
      <w:r w:rsidRPr="00E40C2F">
        <w:rPr>
          <w:rFonts w:asciiTheme="majorBidi" w:eastAsia="SimSun" w:hAnsiTheme="majorBidi" w:cstheme="majorBidi"/>
          <w:b/>
          <w:bCs/>
          <w:lang w:val="es-ES" w:eastAsia="zh-CN"/>
          <w:rPrChange w:id="37" w:author="Microsoft" w:date="2018-07-26T18:35:00Z">
            <w:rPr>
              <w:rFonts w:asciiTheme="minorHAnsi" w:eastAsia="SimSun" w:hAnsiTheme="minorHAnsi" w:cstheme="minorHAnsi"/>
              <w:b/>
              <w:bCs/>
              <w:lang w:eastAsia="zh-CN"/>
            </w:rPr>
          </w:rPrChange>
        </w:rPr>
        <w:t>49 (Rev.CMR-15)</w:t>
      </w:r>
      <w:r w:rsidRPr="00E40C2F">
        <w:rPr>
          <w:rFonts w:asciiTheme="majorBidi" w:eastAsia="SimSun" w:hAnsiTheme="majorBidi" w:cstheme="majorBidi"/>
          <w:lang w:val="es-ES" w:eastAsia="zh-CN"/>
          <w:rPrChange w:id="38" w:author="Microsoft" w:date="2018-07-26T18:35:00Z">
            <w:rPr>
              <w:rFonts w:asciiTheme="minorHAnsi" w:eastAsia="SimSun" w:hAnsiTheme="minorHAnsi" w:cstheme="minorHAnsi"/>
              <w:lang w:eastAsia="zh-CN"/>
            </w:rPr>
          </w:rPrChange>
        </w:rPr>
        <w:t xml:space="preserve"> antes del final del plazo reglamentario de 7 años.</w:t>
      </w:r>
    </w:p>
    <w:p w:rsidR="00E40C2F" w:rsidRDefault="00E40C2F" w:rsidP="00E40C2F">
      <w:pPr>
        <w:rPr>
          <w:rFonts w:eastAsia="SimSun"/>
          <w:lang w:val="es-ES" w:eastAsia="zh-CN"/>
        </w:rPr>
        <w:sectPr w:rsidR="00E40C2F" w:rsidSect="00E41FDD">
          <w:headerReference w:type="even" r:id="rId11"/>
          <w:footnotePr>
            <w:pos w:val="beneathText"/>
            <w:numFmt w:val="chicago"/>
          </w:footnotePr>
          <w:pgSz w:w="11907" w:h="16840" w:code="9"/>
          <w:pgMar w:top="1701" w:right="851" w:bottom="1134" w:left="1985" w:header="720" w:footer="482" w:gutter="0"/>
          <w:cols w:space="720"/>
          <w:vAlign w:val="both"/>
        </w:sectPr>
      </w:pPr>
    </w:p>
    <w:p w:rsidR="00E40C2F" w:rsidRPr="00E40C2F" w:rsidRDefault="00E40C2F" w:rsidP="00E40C2F">
      <w:pPr>
        <w:rPr>
          <w:rFonts w:eastAsia="SimSun"/>
          <w:lang w:val="es-ES" w:eastAsia="zh-CN"/>
          <w:rPrChange w:id="39" w:author="Microsoft" w:date="2018-07-26T18:35:00Z">
            <w:rPr>
              <w:rFonts w:asciiTheme="minorHAnsi" w:eastAsia="SimSun" w:hAnsiTheme="minorHAnsi" w:cstheme="minorHAnsi"/>
              <w:lang w:eastAsia="zh-CN"/>
            </w:rPr>
          </w:rPrChange>
        </w:rPr>
      </w:pPr>
      <w:r w:rsidRPr="00E40C2F">
        <w:rPr>
          <w:rFonts w:eastAsia="SimSun"/>
          <w:lang w:val="es-ES" w:eastAsia="zh-CN"/>
          <w:rPrChange w:id="40" w:author="Microsoft" w:date="2018-07-26T18:35:00Z">
            <w:rPr>
              <w:rFonts w:asciiTheme="minorHAnsi" w:eastAsia="SimSun" w:hAnsiTheme="minorHAnsi" w:cstheme="minorHAnsi"/>
              <w:lang w:eastAsia="zh-CN"/>
            </w:rPr>
          </w:rPrChange>
        </w:rPr>
        <w:lastRenderedPageBreak/>
        <w:t>A menos que la Junta decida</w:t>
      </w:r>
      <w:r w:rsidRPr="00E40C2F">
        <w:rPr>
          <w:lang w:val="es-ES"/>
          <w:rPrChange w:id="41" w:author="Microsoft" w:date="2018-07-26T18:35:00Z">
            <w:rPr>
              <w:rFonts w:asciiTheme="minorHAnsi" w:hAnsiTheme="minorHAnsi" w:cstheme="minorHAnsi"/>
            </w:rPr>
          </w:rPrChange>
        </w:rPr>
        <w:t xml:space="preserve"> </w:t>
      </w:r>
      <w:r w:rsidRPr="00E40C2F">
        <w:rPr>
          <w:rFonts w:eastAsia="SimSun"/>
          <w:lang w:val="es-ES" w:eastAsia="zh-CN"/>
          <w:rPrChange w:id="42" w:author="Microsoft" w:date="2018-07-26T18:35:00Z">
            <w:rPr>
              <w:rFonts w:asciiTheme="minorHAnsi" w:eastAsia="SimSun" w:hAnsiTheme="minorHAnsi" w:cstheme="minorHAnsi"/>
              <w:lang w:eastAsia="zh-CN"/>
            </w:rPr>
          </w:rPrChange>
        </w:rPr>
        <w:t xml:space="preserve">explícitamente lo contrario, la ampliación del plazo para la puesta en servicio de las asignaciones de frecuencia a una red de satélites no conlleva la prórroga del plazo reglamentario para la presentación de la información de notificación y de la Resolución </w:t>
      </w:r>
      <w:r w:rsidRPr="00E40C2F">
        <w:rPr>
          <w:rFonts w:eastAsia="SimSun"/>
          <w:b/>
          <w:bCs/>
          <w:lang w:val="es-ES" w:eastAsia="zh-CN"/>
          <w:rPrChange w:id="43" w:author="Microsoft" w:date="2018-07-26T18:35:00Z">
            <w:rPr>
              <w:rFonts w:asciiTheme="minorHAnsi" w:eastAsia="SimSun" w:hAnsiTheme="minorHAnsi" w:cstheme="minorHAnsi"/>
              <w:b/>
              <w:bCs/>
              <w:lang w:eastAsia="zh-CN"/>
            </w:rPr>
          </w:rPrChange>
        </w:rPr>
        <w:t>49 (Rev.CMR-15)</w:t>
      </w:r>
      <w:r w:rsidRPr="00E40C2F">
        <w:rPr>
          <w:rFonts w:eastAsia="SimSun"/>
          <w:lang w:val="es-ES" w:eastAsia="zh-CN"/>
          <w:rPrChange w:id="44" w:author="Microsoft" w:date="2018-07-26T18:35:00Z">
            <w:rPr>
              <w:rFonts w:asciiTheme="minorHAnsi" w:eastAsia="SimSun" w:hAnsiTheme="minorHAnsi" w:cstheme="minorHAnsi"/>
              <w:lang w:eastAsia="zh-CN"/>
            </w:rPr>
          </w:rPrChange>
        </w:rPr>
        <w:t xml:space="preserve"> en virtud de lo establecido en el número </w:t>
      </w:r>
      <w:r w:rsidRPr="00E40C2F">
        <w:rPr>
          <w:rFonts w:eastAsia="SimSun"/>
          <w:b/>
          <w:bCs/>
          <w:lang w:val="es-ES" w:eastAsia="zh-CN"/>
          <w:rPrChange w:id="45" w:author="Microsoft" w:date="2018-07-26T18:35:00Z">
            <w:rPr>
              <w:rFonts w:asciiTheme="minorHAnsi" w:eastAsia="SimSun" w:hAnsiTheme="minorHAnsi" w:cstheme="minorHAnsi"/>
              <w:b/>
              <w:bCs/>
              <w:lang w:eastAsia="zh-CN"/>
            </w:rPr>
          </w:rPrChange>
        </w:rPr>
        <w:t>11.48</w:t>
      </w:r>
      <w:r w:rsidRPr="00E40C2F">
        <w:rPr>
          <w:rFonts w:eastAsia="SimSun"/>
          <w:lang w:val="es-ES" w:eastAsia="zh-CN"/>
          <w:rPrChange w:id="46" w:author="Microsoft" w:date="2018-07-26T18:35:00Z">
            <w:rPr>
              <w:rFonts w:asciiTheme="minorHAnsi" w:eastAsia="SimSun" w:hAnsiTheme="minorHAnsi" w:cstheme="minorHAnsi"/>
              <w:lang w:eastAsia="zh-CN"/>
            </w:rPr>
          </w:rPrChange>
        </w:rPr>
        <w:t xml:space="preserve">, puesto que esa información sobre la utilización prevista de frecuencias y la situación de coordinación sería útil para otras administraciones a los efectos de planificación de sus proyectos de satélite y actividades de coordinación. En consecuencia, en los casos en los que no se haya proporcionado dicha información antes de que la Junta haya decidido conceder una prórroga del plazo para la puesta en servicio, la Oficina comunicará a la administración notificante, después de la decisión de la Junta, que aún debe proporcionar, en el plazo de 7 años y de conformidad con lo establecido en el número </w:t>
      </w:r>
      <w:r w:rsidRPr="00E40C2F">
        <w:rPr>
          <w:rFonts w:eastAsia="SimSun"/>
          <w:b/>
          <w:bCs/>
          <w:lang w:val="es-ES" w:eastAsia="zh-CN"/>
          <w:rPrChange w:id="47" w:author="Microsoft" w:date="2018-07-26T18:35:00Z">
            <w:rPr>
              <w:rFonts w:asciiTheme="minorHAnsi" w:eastAsia="SimSun" w:hAnsiTheme="minorHAnsi" w:cstheme="minorHAnsi"/>
              <w:b/>
              <w:bCs/>
              <w:lang w:eastAsia="zh-CN"/>
            </w:rPr>
          </w:rPrChange>
        </w:rPr>
        <w:t>11.48</w:t>
      </w:r>
      <w:r w:rsidRPr="00E40C2F">
        <w:rPr>
          <w:rFonts w:eastAsia="SimSun"/>
          <w:lang w:val="es-ES" w:eastAsia="zh-CN"/>
          <w:rPrChange w:id="48" w:author="Microsoft" w:date="2018-07-26T18:35:00Z">
            <w:rPr>
              <w:rFonts w:asciiTheme="minorHAnsi" w:eastAsia="SimSun" w:hAnsiTheme="minorHAnsi" w:cstheme="minorHAnsi"/>
              <w:lang w:eastAsia="zh-CN"/>
            </w:rPr>
          </w:rPrChange>
        </w:rPr>
        <w:t xml:space="preserve">, la información de notificación y de la Resolución </w:t>
      </w:r>
      <w:r w:rsidRPr="00E40C2F">
        <w:rPr>
          <w:rFonts w:eastAsia="SimSun"/>
          <w:b/>
          <w:bCs/>
          <w:lang w:val="es-ES" w:eastAsia="zh-CN"/>
          <w:rPrChange w:id="49" w:author="Microsoft" w:date="2018-07-26T18:35:00Z">
            <w:rPr>
              <w:rFonts w:asciiTheme="minorHAnsi" w:eastAsia="SimSun" w:hAnsiTheme="minorHAnsi" w:cstheme="minorHAnsi"/>
              <w:b/>
              <w:bCs/>
              <w:lang w:eastAsia="zh-CN"/>
            </w:rPr>
          </w:rPrChange>
        </w:rPr>
        <w:t>49 (Rev.CMR-15)</w:t>
      </w:r>
      <w:r w:rsidRPr="00E40C2F">
        <w:rPr>
          <w:rFonts w:eastAsia="SimSun"/>
          <w:lang w:val="es-ES" w:eastAsia="zh-CN"/>
          <w:rPrChange w:id="50" w:author="Microsoft" w:date="2018-07-26T18:35:00Z">
            <w:rPr>
              <w:rFonts w:asciiTheme="minorHAnsi" w:eastAsia="SimSun" w:hAnsiTheme="minorHAnsi" w:cstheme="minorHAnsi"/>
              <w:lang w:eastAsia="zh-CN"/>
            </w:rPr>
          </w:rPrChange>
        </w:rPr>
        <w:t xml:space="preserve"> sobre el satélite respecto del que se haya producido un caso de fuerza mayor o de retraso de un lanzamiento colectivo. </w:t>
      </w:r>
    </w:p>
    <w:p w:rsidR="00E40C2F" w:rsidRPr="00E40C2F" w:rsidRDefault="00E40C2F" w:rsidP="00E40C2F">
      <w:pPr>
        <w:rPr>
          <w:lang w:val="es-ES_tradnl"/>
        </w:rPr>
      </w:pPr>
      <w:r w:rsidRPr="00E40C2F">
        <w:rPr>
          <w:rFonts w:eastAsia="SimSun"/>
          <w:lang w:val="es-ES" w:eastAsia="zh-CN"/>
          <w:rPrChange w:id="51" w:author="Microsoft" w:date="2018-07-26T18:35:00Z">
            <w:rPr>
              <w:rFonts w:asciiTheme="minorHAnsi" w:eastAsia="SimSun" w:hAnsiTheme="minorHAnsi" w:cstheme="minorHAnsi"/>
              <w:lang w:eastAsia="zh-CN"/>
            </w:rPr>
          </w:rPrChange>
        </w:rPr>
        <w:t>Si, antes de la finalización del periodo de extensión o en el periodo de un año después de la decisión de la Junta de conceder una extensión, tomando entre ambas la fecha más temprana,</w:t>
      </w:r>
      <w:r w:rsidRPr="00E40C2F">
        <w:rPr>
          <w:lang w:val="es-ES"/>
          <w:rPrChange w:id="52" w:author="Microsoft" w:date="2018-07-26T18:35:00Z">
            <w:rPr/>
          </w:rPrChange>
        </w:rPr>
        <w:t xml:space="preserve"> </w:t>
      </w:r>
      <w:r w:rsidRPr="00E40C2F">
        <w:rPr>
          <w:rFonts w:eastAsia="SimSun"/>
          <w:lang w:val="es-ES" w:eastAsia="zh-CN"/>
          <w:rPrChange w:id="53" w:author="Microsoft" w:date="2018-07-26T18:35:00Z">
            <w:rPr>
              <w:rFonts w:asciiTheme="minorHAnsi" w:eastAsia="SimSun" w:hAnsiTheme="minorHAnsi" w:cstheme="minorHAnsi"/>
              <w:lang w:eastAsia="zh-CN"/>
            </w:rPr>
          </w:rPrChange>
        </w:rPr>
        <w:t xml:space="preserve">la administración notificante no ha facilitado a la Oficina la información actualizada de la Resolución </w:t>
      </w:r>
      <w:r w:rsidRPr="00E40C2F">
        <w:rPr>
          <w:rFonts w:eastAsia="SimSun"/>
          <w:b/>
          <w:lang w:val="es-ES" w:eastAsia="zh-CN"/>
          <w:rPrChange w:id="54" w:author="Microsoft" w:date="2018-07-26T18:35:00Z">
            <w:rPr>
              <w:rFonts w:asciiTheme="minorHAnsi" w:eastAsia="SimSun" w:hAnsiTheme="minorHAnsi" w:cstheme="minorHAnsi"/>
              <w:b/>
              <w:lang w:eastAsia="zh-CN"/>
            </w:rPr>
          </w:rPrChange>
        </w:rPr>
        <w:t>49 (Rev.CMR-15)</w:t>
      </w:r>
      <w:r w:rsidRPr="00E40C2F">
        <w:rPr>
          <w:rFonts w:eastAsia="SimSun"/>
          <w:lang w:val="es-ES" w:eastAsia="zh-CN"/>
          <w:rPrChange w:id="55" w:author="Microsoft" w:date="2018-07-26T18:35:00Z">
            <w:rPr>
              <w:rFonts w:asciiTheme="minorHAnsi" w:eastAsia="SimSun" w:hAnsiTheme="minorHAnsi" w:cstheme="minorHAnsi"/>
              <w:lang w:eastAsia="zh-CN"/>
            </w:rPr>
          </w:rPrChange>
        </w:rPr>
        <w:t xml:space="preserve"> sobre el nuevo satélite en proceso de adquisición, las asignaciones de frecuencia correspondientes expirarán. Si, un mes antes de la finalización de los plazos indicados anteriormente, la administración notificante no ha facilitado a la Oficina la información actualizada de la Resolución </w:t>
      </w:r>
      <w:r w:rsidRPr="00E40C2F">
        <w:rPr>
          <w:rFonts w:eastAsia="SimSun"/>
          <w:b/>
          <w:lang w:val="es-ES" w:eastAsia="zh-CN"/>
          <w:rPrChange w:id="56" w:author="Microsoft" w:date="2018-07-26T18:35:00Z">
            <w:rPr>
              <w:rFonts w:asciiTheme="minorHAnsi" w:eastAsia="SimSun" w:hAnsiTheme="minorHAnsi" w:cstheme="minorHAnsi"/>
              <w:b/>
              <w:lang w:eastAsia="zh-CN"/>
            </w:rPr>
          </w:rPrChange>
        </w:rPr>
        <w:t xml:space="preserve">49 (Rev.CMR-15), </w:t>
      </w:r>
      <w:r w:rsidRPr="00E40C2F">
        <w:rPr>
          <w:rFonts w:eastAsia="SimSun"/>
          <w:lang w:val="es-ES" w:eastAsia="zh-CN"/>
          <w:rPrChange w:id="57" w:author="Microsoft" w:date="2018-07-26T18:35:00Z">
            <w:rPr>
              <w:rFonts w:asciiTheme="minorHAnsi" w:eastAsia="SimSun" w:hAnsiTheme="minorHAnsi" w:cstheme="minorHAnsi"/>
              <w:lang w:eastAsia="zh-CN"/>
            </w:rPr>
          </w:rPrChange>
        </w:rPr>
        <w:t>la Oficina enviará inmediatamente un recordatorio a la administración notificante.</w:t>
      </w:r>
    </w:p>
    <w:p w:rsidR="00653B0A" w:rsidRPr="00653B0A" w:rsidRDefault="00842CB9" w:rsidP="00842CB9">
      <w:pPr>
        <w:pStyle w:val="Heading8"/>
        <w:spacing w:before="240"/>
        <w:jc w:val="left"/>
        <w:rPr>
          <w:color w:val="000000"/>
          <w:lang w:val="es-ES_tradnl"/>
        </w:rPr>
      </w:pPr>
      <w:r>
        <w:rPr>
          <w:color w:val="000000"/>
          <w:lang w:val="es-ES_tradnl"/>
        </w:rPr>
        <w:t>11.49 y</w:t>
      </w:r>
      <w:r w:rsidR="00653B0A" w:rsidRPr="00653B0A">
        <w:rPr>
          <w:color w:val="000000"/>
          <w:lang w:val="es-ES_tradnl"/>
        </w:rPr>
        <w:t xml:space="preserve"> 11.49.1</w:t>
      </w:r>
      <w:r w:rsidR="003F178D">
        <w:rPr>
          <w:rStyle w:val="FootnoteReference"/>
          <w:color w:val="000000"/>
          <w:lang w:val="es-ES_tradnl"/>
        </w:rPr>
        <w:footnoteReference w:customMarkFollows="1" w:id="17"/>
        <w:t>13</w:t>
      </w:r>
    </w:p>
    <w:p w:rsidR="00653B0A" w:rsidRPr="003C601A" w:rsidRDefault="00653B0A" w:rsidP="003F7F87">
      <w:pPr>
        <w:pStyle w:val="Heading1"/>
        <w:spacing w:before="360"/>
        <w:rPr>
          <w:lang w:val="es-ES_tradnl"/>
        </w:rPr>
      </w:pPr>
      <w:r w:rsidRPr="003C601A">
        <w:rPr>
          <w:lang w:val="es-ES_tradnl"/>
        </w:rPr>
        <w:t>1</w:t>
      </w:r>
      <w:r w:rsidRPr="003C601A">
        <w:rPr>
          <w:lang w:val="es-ES_tradnl"/>
        </w:rPr>
        <w:tab/>
        <w:t>Asignaciones cuyo uso se ha abandonado</w:t>
      </w:r>
    </w:p>
    <w:p w:rsidR="003C601A" w:rsidRPr="003C601A" w:rsidRDefault="00770D86" w:rsidP="009243FB">
      <w:pPr>
        <w:rPr>
          <w:lang w:val="es-ES_tradnl"/>
        </w:rPr>
      </w:pPr>
      <w:r w:rsidRPr="00770D86">
        <w:rPr>
          <w:lang w:val="es-ES_tradnl"/>
        </w:rPr>
        <w:t>1.1</w:t>
      </w:r>
      <w:r w:rsidRPr="00770D86">
        <w:rPr>
          <w:lang w:val="es-ES_tradnl"/>
        </w:rPr>
        <w:tab/>
        <w:t xml:space="preserve">De conformidad con el número </w:t>
      </w:r>
      <w:r w:rsidRPr="00770D86">
        <w:rPr>
          <w:rStyle w:val="Artref"/>
          <w:b/>
          <w:color w:val="auto"/>
          <w:lang w:val="es-ES_tradnl"/>
        </w:rPr>
        <w:t>11.49</w:t>
      </w:r>
      <w:r w:rsidRPr="00770D86">
        <w:rPr>
          <w:lang w:val="es-ES_tradnl"/>
        </w:rPr>
        <w:t>,</w:t>
      </w:r>
      <w:r w:rsidRPr="00770D86">
        <w:rPr>
          <w:spacing w:val="-16"/>
          <w:lang w:val="es-ES_tradnl"/>
        </w:rPr>
        <w:t xml:space="preserve"> </w:t>
      </w:r>
      <w:r w:rsidRPr="00770D86">
        <w:rPr>
          <w:lang w:val="es-ES_tradnl"/>
        </w:rPr>
        <w:t>la Junta considera que una administración podrá informar a la Oficina del abandono del uso de una asignación de frecuencia a una estación espacial por un periodo que no exceda los tres años y que, durante dicho periodo, la asignación de frecuencia deberá seguir gozando de la protección adquirida en virtud de los Acuerdos de coordinación ya obtenidos.</w:t>
      </w:r>
      <w:r w:rsidR="00A36A08">
        <w:rPr>
          <w:lang w:val="es-ES_tradnl"/>
        </w:rPr>
        <w:t xml:space="preserve">    </w:t>
      </w:r>
    </w:p>
    <w:p w:rsidR="00D72BCF" w:rsidRPr="003C601A" w:rsidRDefault="003C601A" w:rsidP="003C601A">
      <w:pPr>
        <w:rPr>
          <w:lang w:val="es-ES_tradnl"/>
        </w:rPr>
      </w:pPr>
      <w:r w:rsidRPr="003C601A">
        <w:rPr>
          <w:lang w:val="es-ES_tradnl"/>
        </w:rPr>
        <w:t>1.2</w:t>
      </w:r>
      <w:r w:rsidRPr="003C601A">
        <w:rPr>
          <w:lang w:val="es-ES_tradnl"/>
        </w:rPr>
        <w:tab/>
        <w:t>La Junta ha decidido aplicar el procedimiento descrito a continuación. Dicho procedimiento solamente será válido para las asignaciones suspendidas que no sean modificadas antes de volver a utilizarse.</w:t>
      </w:r>
    </w:p>
    <w:p w:rsidR="00E40C2F" w:rsidRDefault="00E40C2F" w:rsidP="003F7F87">
      <w:pPr>
        <w:pStyle w:val="Heading1"/>
        <w:spacing w:before="360"/>
        <w:rPr>
          <w:lang w:val="es-ES_tradnl"/>
        </w:rPr>
        <w:sectPr w:rsidR="00E40C2F" w:rsidSect="00E41FDD">
          <w:headerReference w:type="default" r:id="rId12"/>
          <w:footnotePr>
            <w:pos w:val="beneathText"/>
            <w:numFmt w:val="chicago"/>
          </w:footnotePr>
          <w:pgSz w:w="11907" w:h="16840" w:code="9"/>
          <w:pgMar w:top="1701" w:right="851" w:bottom="1134" w:left="1985" w:header="720" w:footer="482" w:gutter="0"/>
          <w:cols w:space="720"/>
          <w:vAlign w:val="both"/>
        </w:sectPr>
      </w:pPr>
    </w:p>
    <w:p w:rsidR="00E90A91" w:rsidRPr="00E90A91" w:rsidRDefault="00E90A91" w:rsidP="003F7F87">
      <w:pPr>
        <w:pStyle w:val="Heading1"/>
        <w:spacing w:before="360"/>
        <w:rPr>
          <w:lang w:val="es-ES_tradnl"/>
        </w:rPr>
      </w:pPr>
      <w:r w:rsidRPr="00E90A91">
        <w:rPr>
          <w:lang w:val="es-ES_tradnl"/>
        </w:rPr>
        <w:lastRenderedPageBreak/>
        <w:t>2</w:t>
      </w:r>
      <w:r w:rsidRPr="00E90A91">
        <w:rPr>
          <w:lang w:val="es-ES_tradnl"/>
        </w:rPr>
        <w:tab/>
        <w:t>Registro de un abandono de uso</w:t>
      </w:r>
    </w:p>
    <w:p w:rsidR="00E90A91" w:rsidRDefault="00E90A91" w:rsidP="009243FB">
      <w:pPr>
        <w:rPr>
          <w:lang w:val="es-ES_tradnl"/>
        </w:rPr>
      </w:pPr>
      <w:r w:rsidRPr="00E90A91">
        <w:rPr>
          <w:lang w:val="es-ES_tradnl"/>
        </w:rPr>
        <w:t>2.1</w:t>
      </w:r>
      <w:r w:rsidRPr="00E90A91">
        <w:rPr>
          <w:lang w:val="es-ES_tradnl"/>
        </w:rPr>
        <w:tab/>
      </w:r>
      <w:r w:rsidR="003F5E8B" w:rsidRPr="003F5E8B">
        <w:rPr>
          <w:lang w:val="es-ES_tradnl"/>
        </w:rPr>
        <w:t xml:space="preserve">Cuando se informe a la Oficina, con arreglo a lo dispuesto en el número </w:t>
      </w:r>
      <w:r w:rsidR="003F5E8B" w:rsidRPr="003F5E8B">
        <w:rPr>
          <w:rStyle w:val="Artref"/>
          <w:rFonts w:asciiTheme="majorBidi" w:hAnsiTheme="majorBidi" w:cstheme="majorBidi"/>
          <w:b/>
          <w:color w:val="000000"/>
          <w:szCs w:val="24"/>
          <w:lang w:val="es-ES_tradnl"/>
        </w:rPr>
        <w:t>11.49</w:t>
      </w:r>
      <w:r w:rsidR="003F5E8B" w:rsidRPr="003F5E8B">
        <w:rPr>
          <w:lang w:val="es-ES_tradnl"/>
        </w:rPr>
        <w:t xml:space="preserve"> o en respuesta a una consulta efectuada con arreglo al número </w:t>
      </w:r>
      <w:r w:rsidR="003F5E8B" w:rsidRPr="003F5E8B">
        <w:rPr>
          <w:rStyle w:val="Artref"/>
          <w:rFonts w:asciiTheme="majorBidi" w:hAnsiTheme="majorBidi" w:cstheme="majorBidi"/>
          <w:b/>
          <w:color w:val="000000"/>
          <w:szCs w:val="24"/>
          <w:lang w:val="es-ES_tradnl"/>
        </w:rPr>
        <w:t>13.6</w:t>
      </w:r>
      <w:r w:rsidR="003F5E8B" w:rsidRPr="003F5E8B">
        <w:rPr>
          <w:rStyle w:val="Artref"/>
          <w:rFonts w:asciiTheme="majorBidi" w:hAnsiTheme="majorBidi" w:cstheme="majorBidi"/>
          <w:bCs/>
          <w:color w:val="000000"/>
          <w:szCs w:val="24"/>
          <w:lang w:val="es-ES_tradnl"/>
        </w:rPr>
        <w:t>,</w:t>
      </w:r>
      <w:r w:rsidR="003F5E8B" w:rsidRPr="003F5E8B">
        <w:rPr>
          <w:lang w:val="es-ES_tradnl"/>
        </w:rPr>
        <w:t xml:space="preserve"> de que se ha abandonado el uso de una asignación de frecuencia a una estación espacial inscrita en el Registro, esa infor</w:t>
      </w:r>
      <w:r w:rsidR="003F5E8B" w:rsidRPr="003F5E8B">
        <w:rPr>
          <w:lang w:val="es-ES_tradnl"/>
        </w:rPr>
        <w:softHyphen/>
        <w:t>mación se publica en la Parte pertinente de la BR IFIC y en la página web de la BR mantenida a tal efecto (para informar a todas las administraciones) y se modifica la inscripción en el Registro para incluir la fecha de reanudación de uso indicada por la Administración notificante.</w:t>
      </w:r>
      <w:r w:rsidR="003F7F87">
        <w:rPr>
          <w:lang w:val="es-ES_tradnl"/>
        </w:rPr>
        <w:t xml:space="preserve">    </w:t>
      </w:r>
    </w:p>
    <w:p w:rsidR="003F7F87" w:rsidRPr="00E90A91" w:rsidRDefault="003F7F87" w:rsidP="003F7F87">
      <w:pPr>
        <w:rPr>
          <w:lang w:val="es-ES_tradnl"/>
        </w:rPr>
      </w:pPr>
      <w:r w:rsidRPr="00E90A91">
        <w:rPr>
          <w:lang w:val="es-ES_tradnl"/>
        </w:rPr>
        <w:t>2.2</w:t>
      </w:r>
      <w:r w:rsidRPr="00E90A91">
        <w:rPr>
          <w:lang w:val="es-ES_tradnl"/>
        </w:rPr>
        <w:tab/>
        <w:t xml:space="preserve">Las asignaciones de frecuencia a estaciones espaciales cuya suspensión se notifique para un periodo no superior a tres años continuarán siendo tenidas en cuenta a efectos del examen de otras asignaciones, conforme a los números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 xml:space="preserve">, </w:t>
      </w:r>
      <w:r w:rsidRPr="00E90A91">
        <w:rPr>
          <w:rStyle w:val="Artref"/>
          <w:b/>
          <w:color w:val="000000"/>
          <w:lang w:val="es-ES_tradnl"/>
        </w:rPr>
        <w:t>11.32</w:t>
      </w:r>
      <w:r w:rsidRPr="00E90A91">
        <w:rPr>
          <w:lang w:val="es-ES_tradnl"/>
        </w:rPr>
        <w:t xml:space="preserve">,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hasta el momento en que concluya la consulta respecto a su reanudación de utilización (véase el § 2.4 a continuación).</w:t>
      </w:r>
    </w:p>
    <w:p w:rsidR="003F7F87" w:rsidRPr="00E90A91" w:rsidRDefault="003F7F87" w:rsidP="003F7F87">
      <w:pPr>
        <w:rPr>
          <w:lang w:val="es-ES_tradnl"/>
        </w:rPr>
      </w:pPr>
      <w:r w:rsidRPr="00E90A91">
        <w:rPr>
          <w:lang w:val="es-ES_tradnl"/>
        </w:rPr>
        <w:t>2.3</w:t>
      </w:r>
      <w:r w:rsidRPr="00E90A91">
        <w:rPr>
          <w:lang w:val="es-ES_tradnl"/>
        </w:rPr>
        <w:tab/>
        <w:t xml:space="preserve">Las asignaciones de frecuencia a estaciones espaciales cuya suspensión se notifique para un periodo de más de tres años no serán tenidas en cuenta a efectos de los exámenes de otras asignaciones, de conformidad con los números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w:t>
      </w:r>
      <w:r w:rsidRPr="00E90A91">
        <w:rPr>
          <w:rStyle w:val="Artref"/>
          <w:b/>
          <w:color w:val="000000"/>
          <w:lang w:val="es-ES_tradnl"/>
        </w:rPr>
        <w:t xml:space="preserve"> 11.32</w:t>
      </w:r>
      <w:r w:rsidRPr="00E90A91">
        <w:rPr>
          <w:lang w:val="es-ES_tradnl"/>
        </w:rPr>
        <w:t xml:space="preserve"> y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xml:space="preserve"> en cuanto a la fecha de dicha notificación o después de que la administración confirme que el periodo de suspensión excede de tres años y serán canceladas.</w:t>
      </w:r>
    </w:p>
    <w:p w:rsidR="003F7F87" w:rsidRPr="00E90A91" w:rsidRDefault="003F7F87" w:rsidP="003F7F87">
      <w:pPr>
        <w:rPr>
          <w:lang w:val="es-ES_tradnl"/>
        </w:rPr>
      </w:pPr>
      <w:r w:rsidRPr="00E90A91">
        <w:rPr>
          <w:lang w:val="es-ES_tradnl"/>
        </w:rPr>
        <w:t>2.4</w:t>
      </w:r>
      <w:r w:rsidRPr="00E90A91">
        <w:rPr>
          <w:lang w:val="es-ES_tradnl"/>
        </w:rPr>
        <w:tab/>
        <w:t>Consulta sobre la reanudación del uso de una asignación</w:t>
      </w:r>
    </w:p>
    <w:p w:rsidR="003F7F87" w:rsidRPr="00E90A91" w:rsidRDefault="003F7F87" w:rsidP="003F7F87">
      <w:pPr>
        <w:rPr>
          <w:lang w:val="es-ES_tradnl"/>
        </w:rPr>
      </w:pPr>
      <w:r w:rsidRPr="00E90A91">
        <w:rPr>
          <w:lang w:val="es-ES_tradnl"/>
        </w:rPr>
        <w:t>Al expirar el periodo de abandono de uso de una asignación de frecuencia, se consulta a la administración notificante acerca de la fecha exacta de reanudación del uso. Con arreglo a los resultados de la consulta, la Oficina aplicará el procedimiento siguiente:</w:t>
      </w:r>
    </w:p>
    <w:p w:rsidR="00353B4B" w:rsidRDefault="003F7F87" w:rsidP="009243FB">
      <w:pPr>
        <w:spacing w:before="120"/>
        <w:rPr>
          <w:lang w:val="es-ES_tradnl"/>
        </w:rPr>
      </w:pPr>
      <w:r w:rsidRPr="00E90A91">
        <w:rPr>
          <w:lang w:val="es-ES_tradnl"/>
        </w:rPr>
        <w:t>2.4.1</w:t>
      </w:r>
      <w:r w:rsidRPr="00E90A91">
        <w:rPr>
          <w:lang w:val="es-ES_tradnl"/>
        </w:rPr>
        <w:tab/>
      </w:r>
      <w:r w:rsidR="00033BEB" w:rsidRPr="00033BEB">
        <w:rPr>
          <w:lang w:val="es-ES_tradnl"/>
        </w:rPr>
        <w:t xml:space="preserve">Cuando la administración confirme que el uso se ha reanudado, esa información se publicará en la Parte II-S de la BR IFIC y/o en la página web si se estima oportuno, siempre que la fecha efectiva de reanudación indicada por la administración sea anterior a la fecha límite para la reanudación del uso establecida de conformidad con el número </w:t>
      </w:r>
      <w:r w:rsidR="00033BEB" w:rsidRPr="00A60228">
        <w:rPr>
          <w:b/>
          <w:bCs/>
          <w:lang w:val="es-ES_tradnl"/>
        </w:rPr>
        <w:t>11.49</w:t>
      </w:r>
      <w:r w:rsidR="00033BEB" w:rsidRPr="00033BEB">
        <w:rPr>
          <w:lang w:val="es-ES_tradnl"/>
        </w:rPr>
        <w:t>. Si</w:t>
      </w:r>
      <w:r w:rsidR="00033BEB">
        <w:rPr>
          <w:lang w:val="es-ES_tradnl"/>
        </w:rPr>
        <w:t> </w:t>
      </w:r>
      <w:r w:rsidR="00033BEB" w:rsidRPr="00033BEB">
        <w:rPr>
          <w:lang w:val="es-ES_tradnl"/>
        </w:rPr>
        <w:t xml:space="preserve">la reanudación de las asignaciones de frecuencia se refiere a una red de satélites geoestacionarios, la Oficina publicará la reanudación en la PARTE II-S de la BR IFIC solamente cuando la Administración notificante confirme la entrada en funcionamiento y el mantenimiento de la red de satélites geoestacionarios, de conformidad con lo dispuesto en el número </w:t>
      </w:r>
      <w:r w:rsidR="00033BEB" w:rsidRPr="00033BEB">
        <w:rPr>
          <w:b/>
          <w:bCs/>
          <w:lang w:val="es-ES_tradnl"/>
        </w:rPr>
        <w:t>11.49.1</w:t>
      </w:r>
      <w:r w:rsidR="00033BEB" w:rsidRPr="00033BEB">
        <w:rPr>
          <w:lang w:val="es-ES_tradnl"/>
        </w:rPr>
        <w:t xml:space="preserve">. Véase también la Resolución </w:t>
      </w:r>
      <w:r w:rsidR="00033BEB" w:rsidRPr="00033BEB">
        <w:rPr>
          <w:b/>
          <w:bCs/>
          <w:lang w:val="es-ES_tradnl"/>
        </w:rPr>
        <w:t>40 (CMR-15)</w:t>
      </w:r>
      <w:r w:rsidR="00033BEB" w:rsidRPr="00033BEB">
        <w:rPr>
          <w:lang w:val="es-ES_tradnl"/>
        </w:rPr>
        <w:t>.</w:t>
      </w:r>
      <w:r w:rsidR="00E55618">
        <w:rPr>
          <w:lang w:val="es-ES_tradnl"/>
        </w:rPr>
        <w:t xml:space="preserve">    </w:t>
      </w:r>
    </w:p>
    <w:p w:rsidR="00F23BAE" w:rsidRPr="00E90A91" w:rsidRDefault="00F23BAE" w:rsidP="009243FB">
      <w:pPr>
        <w:spacing w:before="120"/>
        <w:rPr>
          <w:lang w:val="es-ES_tradnl"/>
        </w:rPr>
      </w:pPr>
      <w:r w:rsidRPr="00E90A91">
        <w:rPr>
          <w:lang w:val="es-ES_tradnl"/>
        </w:rPr>
        <w:t>2.4.2</w:t>
      </w:r>
      <w:r w:rsidRPr="00E90A91">
        <w:rPr>
          <w:lang w:val="es-ES_tradnl"/>
        </w:rPr>
        <w:tab/>
      </w:r>
      <w:r w:rsidRPr="00087EB6">
        <w:rPr>
          <w:lang w:val="es-ES_tradnl"/>
        </w:rPr>
        <w:t xml:space="preserve">Cuando la administración comunica que el uso se reanudará en una fecha posterior a la fecha límite para la reanudación del uso establecida de conformidad con el número </w:t>
      </w:r>
      <w:r w:rsidRPr="00A60228">
        <w:rPr>
          <w:b/>
          <w:bCs/>
          <w:lang w:val="es-ES_tradnl"/>
        </w:rPr>
        <w:t>11.49</w:t>
      </w:r>
      <w:r w:rsidRPr="00087EB6">
        <w:rPr>
          <w:lang w:val="es-ES_tradnl"/>
        </w:rPr>
        <w:t>, la asignación se cancelará de acuerdo con las disposiciones del número</w:t>
      </w:r>
      <w:r w:rsidRPr="00087EB6">
        <w:rPr>
          <w:rStyle w:val="Artref"/>
          <w:b/>
          <w:color w:val="000000"/>
          <w:lang w:val="es-ES_tradnl"/>
        </w:rPr>
        <w:t xml:space="preserve"> 11.49</w:t>
      </w:r>
      <w:r w:rsidRPr="00087EB6">
        <w:rPr>
          <w:lang w:val="es-ES_tradnl"/>
        </w:rPr>
        <w:t xml:space="preserve">. Para aquellas asignaciones cuyo uso podría reanudarse pasada la fecha límite establecida de conformidad con el número </w:t>
      </w:r>
      <w:r w:rsidRPr="00A60228">
        <w:rPr>
          <w:b/>
          <w:bCs/>
          <w:lang w:val="es-ES_tradnl"/>
        </w:rPr>
        <w:t>11.49</w:t>
      </w:r>
      <w:r w:rsidRPr="00087EB6">
        <w:rPr>
          <w:lang w:val="es-ES_tradnl"/>
        </w:rPr>
        <w:t>, la administración responsable de la asignación volverá a aplicar los correspondientes procedimientos del Artículo </w:t>
      </w:r>
      <w:r w:rsidRPr="00087EB6">
        <w:rPr>
          <w:rStyle w:val="Artref"/>
          <w:b/>
          <w:color w:val="000000"/>
          <w:lang w:val="es-ES_tradnl"/>
        </w:rPr>
        <w:t>9</w:t>
      </w:r>
      <w:r w:rsidRPr="00087EB6">
        <w:rPr>
          <w:rStyle w:val="Artref"/>
          <w:bCs/>
          <w:color w:val="000000"/>
          <w:lang w:val="es-ES_tradnl"/>
        </w:rPr>
        <w:t xml:space="preserve"> y los Apéndices </w:t>
      </w:r>
      <w:r w:rsidRPr="00087EB6">
        <w:rPr>
          <w:rStyle w:val="Artref"/>
          <w:b/>
          <w:color w:val="000000"/>
          <w:lang w:val="es-ES_tradnl"/>
        </w:rPr>
        <w:t>30</w:t>
      </w:r>
      <w:r w:rsidRPr="00087EB6">
        <w:rPr>
          <w:rStyle w:val="Artref"/>
          <w:bCs/>
          <w:color w:val="000000"/>
          <w:lang w:val="es-ES_tradnl"/>
        </w:rPr>
        <w:t xml:space="preserve">, </w:t>
      </w:r>
      <w:r w:rsidRPr="00087EB6">
        <w:rPr>
          <w:rStyle w:val="Artref"/>
          <w:b/>
          <w:color w:val="000000"/>
          <w:lang w:val="es-ES_tradnl"/>
        </w:rPr>
        <w:t>30A</w:t>
      </w:r>
      <w:r w:rsidRPr="00087EB6">
        <w:rPr>
          <w:rStyle w:val="Artref"/>
          <w:bCs/>
          <w:color w:val="000000"/>
          <w:lang w:val="es-ES_tradnl"/>
        </w:rPr>
        <w:t xml:space="preserve"> y </w:t>
      </w:r>
      <w:r w:rsidRPr="00087EB6">
        <w:rPr>
          <w:rStyle w:val="Artref"/>
          <w:b/>
          <w:color w:val="000000"/>
          <w:lang w:val="es-ES_tradnl"/>
        </w:rPr>
        <w:t>30B</w:t>
      </w:r>
      <w:r w:rsidRPr="00087EB6">
        <w:rPr>
          <w:rStyle w:val="Artref"/>
          <w:bCs/>
          <w:color w:val="000000"/>
          <w:lang w:val="es-ES_tradnl"/>
        </w:rPr>
        <w:t>, según proceda</w:t>
      </w:r>
      <w:r w:rsidRPr="00087EB6">
        <w:rPr>
          <w:lang w:val="es-ES_tradnl"/>
        </w:rPr>
        <w:t>.</w:t>
      </w:r>
      <w:r>
        <w:rPr>
          <w:lang w:val="es-ES_tradnl"/>
        </w:rPr>
        <w:t xml:space="preserve">    </w:t>
      </w:r>
    </w:p>
    <w:p w:rsidR="00D01428" w:rsidRDefault="00D01428" w:rsidP="009243FB">
      <w:pPr>
        <w:spacing w:before="120"/>
        <w:rPr>
          <w:lang w:val="es-ES_tradnl"/>
        </w:rPr>
      </w:pPr>
      <w:r>
        <w:rPr>
          <w:lang w:val="es-ES_tradnl"/>
        </w:rPr>
        <w:br w:type="page"/>
      </w:r>
    </w:p>
    <w:p w:rsidR="00DE1E30" w:rsidRPr="00DE1E30" w:rsidRDefault="00DE1E30" w:rsidP="00A00B06">
      <w:pPr>
        <w:spacing w:before="120"/>
        <w:rPr>
          <w:lang w:val="es-ES_tradnl"/>
        </w:rPr>
      </w:pPr>
      <w:r w:rsidRPr="00DE1E30">
        <w:rPr>
          <w:b/>
          <w:lang w:val="es-ES_tradnl"/>
        </w:rPr>
        <w:lastRenderedPageBreak/>
        <w:t>Nota</w:t>
      </w:r>
      <w:r w:rsidRPr="00DE1E30">
        <w:rPr>
          <w:lang w:val="es-ES_tradnl"/>
        </w:rPr>
        <w:t xml:space="preserve"> – La CMR-15 tomó una decisión relacionada con la Regla de Procedimiento relativa a los números </w:t>
      </w:r>
      <w:r w:rsidRPr="00DE1E30">
        <w:rPr>
          <w:b/>
          <w:lang w:val="es-ES_tradnl"/>
        </w:rPr>
        <w:t>11.49</w:t>
      </w:r>
      <w:r w:rsidRPr="00DE1E30">
        <w:rPr>
          <w:lang w:val="es-ES_tradnl"/>
        </w:rPr>
        <w:t xml:space="preserve"> y </w:t>
      </w:r>
      <w:r w:rsidRPr="00DE1E30">
        <w:rPr>
          <w:b/>
          <w:lang w:val="es-ES_tradnl"/>
        </w:rPr>
        <w:t>11.49.1</w:t>
      </w:r>
      <w:r w:rsidRPr="00DE1E30">
        <w:rPr>
          <w:lang w:val="es-ES_tradnl"/>
        </w:rPr>
        <w:t xml:space="preserve"> durante la 12ª Sesión Plenaria (véanse los párrafos 3.1 a 3.8 del Documento 509 de la CMR-15) con la aprobación del Documento 453 de la CMR-15</w:t>
      </w:r>
      <w:r w:rsidRPr="00DE1E30">
        <w:rPr>
          <w:rFonts w:eastAsia="SimSun"/>
          <w:lang w:val="es-ES_tradnl" w:eastAsia="zh-CN"/>
        </w:rPr>
        <w:t xml:space="preserve">, </w:t>
      </w:r>
      <w:r w:rsidRPr="00DE1E30">
        <w:rPr>
          <w:lang w:val="es-ES_tradnl"/>
        </w:rPr>
        <w:t>y estipuló lo siguiente</w:t>
      </w:r>
      <w:r w:rsidRPr="00DE1E30">
        <w:rPr>
          <w:rFonts w:eastAsia="SimSun"/>
          <w:lang w:val="es-ES_tradnl" w:eastAsia="zh-CN"/>
        </w:rPr>
        <w:t>:</w:t>
      </w:r>
    </w:p>
    <w:p w:rsidR="00873EF9" w:rsidRPr="00DE1E30" w:rsidRDefault="00DE1E30" w:rsidP="006D45DA">
      <w:pPr>
        <w:spacing w:before="60"/>
        <w:rPr>
          <w:lang w:val="es-ES_tradnl"/>
        </w:rPr>
      </w:pPr>
      <w:r w:rsidRPr="00DE1E30">
        <w:rPr>
          <w:i/>
          <w:iCs/>
          <w:lang w:val="es-ES_tradnl"/>
        </w:rPr>
        <w:t xml:space="preserve">«La CMR-15 decidió encargar a la Junta del Reglamento de Radiocomunicaciones, en aplicación del número </w:t>
      </w:r>
      <w:r w:rsidRPr="00DE1E30">
        <w:rPr>
          <w:b/>
          <w:bCs/>
          <w:i/>
          <w:iCs/>
          <w:lang w:val="es-ES_tradnl"/>
        </w:rPr>
        <w:t>11.49</w:t>
      </w:r>
      <w:r w:rsidRPr="00DE1E30">
        <w:rPr>
          <w:i/>
          <w:iCs/>
          <w:lang w:val="es-ES_tradnl"/>
        </w:rPr>
        <w:t xml:space="preserve"> en su forma revisada por la CMR-15, que tenga en cuenta todas las circunstancias atenuantes legítimas que podrían impedir que una Administración notificante cumpliera el plazo de seis meses. Si la Oficina cuenta con información fidedigna sobre la suspensión de la utilización de una asignación de frecuencia, realizada no obstante dentro del periodo de seis meses, se alienta a la Oficina, por cortesía, a que recuerde a la Administración notificante su obligación de informar a la Oficina de la suspensión en virtud del número </w:t>
      </w:r>
      <w:r w:rsidRPr="00DE1E30">
        <w:rPr>
          <w:b/>
          <w:bCs/>
          <w:i/>
          <w:iCs/>
          <w:lang w:val="es-ES_tradnl"/>
        </w:rPr>
        <w:t>11.49</w:t>
      </w:r>
      <w:r w:rsidRPr="00DE1E30">
        <w:rPr>
          <w:rFonts w:asciiTheme="minorHAnsi" w:hAnsiTheme="minorHAnsi"/>
          <w:bCs/>
          <w:i/>
          <w:iCs/>
          <w:color w:val="000000"/>
          <w:szCs w:val="24"/>
          <w:lang w:val="es-ES_tradnl"/>
        </w:rPr>
        <w:t>.</w:t>
      </w:r>
      <w:r w:rsidRPr="00DE1E30">
        <w:rPr>
          <w:i/>
          <w:iCs/>
          <w:lang w:val="es-ES_tradnl"/>
        </w:rPr>
        <w:t>»</w:t>
      </w:r>
      <w:r>
        <w:rPr>
          <w:i/>
          <w:iCs/>
          <w:lang w:val="es-ES_tradnl"/>
        </w:rPr>
        <w:t xml:space="preserve">    </w:t>
      </w:r>
    </w:p>
    <w:p w:rsidR="003011F9" w:rsidRPr="00FB6506" w:rsidRDefault="003011F9" w:rsidP="006D45DA">
      <w:pPr>
        <w:pStyle w:val="Heading8"/>
        <w:spacing w:before="240"/>
        <w:rPr>
          <w:color w:val="000000"/>
          <w:lang w:val="es-ES_tradnl"/>
        </w:rPr>
      </w:pPr>
      <w:r w:rsidRPr="00FB6506">
        <w:rPr>
          <w:lang w:val="es-ES_tradnl"/>
        </w:rPr>
        <w:t>11.50</w:t>
      </w:r>
      <w:r w:rsidRPr="00FB6506">
        <w:rPr>
          <w:lang w:val="es-ES_tradnl"/>
        </w:rPr>
        <w:tab/>
      </w:r>
      <w:r w:rsidRPr="00FB6506">
        <w:rPr>
          <w:lang w:val="es-ES_tradnl"/>
        </w:rPr>
        <w:tab/>
      </w:r>
    </w:p>
    <w:p w:rsidR="00353B4B" w:rsidRPr="00751400" w:rsidRDefault="00353B4B" w:rsidP="00AF7287">
      <w:pPr>
        <w:rPr>
          <w:szCs w:val="24"/>
          <w:lang w:val="es-ES_tradnl"/>
        </w:rPr>
      </w:pPr>
      <w:r w:rsidRPr="00751400">
        <w:rPr>
          <w:szCs w:val="24"/>
          <w:lang w:val="es-ES_tradnl"/>
        </w:rPr>
        <w:t xml:space="preserve">Esta disposición encarga a la Oficina que revise periódicamente el Registro Internacional de Frecuencias (MIFR) con objeto de mantener o mejorar su exactitud, prestando especial atención al análisis de las conclusiones para adaptarlas a la situación de atribución modificada tras cada Conferencia Mundial de Radiocomunicaciones. Con respecto a la última parte de esta disposición </w:t>
      </w:r>
      <w:proofErr w:type="gramStart"/>
      <w:r w:rsidRPr="00751400">
        <w:rPr>
          <w:szCs w:val="24"/>
          <w:lang w:val="es-ES_tradnl"/>
        </w:rPr>
        <w:t>« …</w:t>
      </w:r>
      <w:proofErr w:type="gramEnd"/>
      <w:r w:rsidRPr="00751400">
        <w:rPr>
          <w:szCs w:val="24"/>
          <w:lang w:val="es-ES_tradnl"/>
        </w:rPr>
        <w:t xml:space="preserve"> prestando especial atención … », dada la amplia variedad de posibles cambios en las situaciones de la atribución y el considerable número de campos utilizados para almacenar la información sobre conclusiones en el MIFR, la Junta llegó a la conclusión de que la forma más adecuada de proporcionar instrucciones a la Oficina relativas al examen de las conclusiones sería determinar los elementos principales de dicho examen. Por tanto, la Junta decidió que, al revisar las conclusiones con arreglo al </w:t>
      </w:r>
      <w:r w:rsidR="00AF7287" w:rsidRPr="00AF7287">
        <w:rPr>
          <w:lang w:val="es-ES_tradnl"/>
        </w:rPr>
        <w:t>número</w:t>
      </w:r>
      <w:r w:rsidR="00AF7287" w:rsidRPr="00DE1E30">
        <w:rPr>
          <w:i/>
          <w:iCs/>
          <w:lang w:val="es-ES_tradnl"/>
        </w:rPr>
        <w:t xml:space="preserve"> </w:t>
      </w:r>
      <w:r w:rsidRPr="00751400">
        <w:rPr>
          <w:b/>
          <w:bCs/>
          <w:szCs w:val="24"/>
          <w:lang w:val="es-ES_tradnl"/>
        </w:rPr>
        <w:t>11.50</w:t>
      </w:r>
      <w:r w:rsidRPr="00751400">
        <w:rPr>
          <w:szCs w:val="24"/>
          <w:lang w:val="es-ES_tradnl"/>
        </w:rPr>
        <w:t>, deberán aplicarse los siguientes principios, a menos que la Conferencia decida otra cosa:</w:t>
      </w:r>
    </w:p>
    <w:p w:rsidR="00353B4B" w:rsidRDefault="00353B4B" w:rsidP="00A00B06">
      <w:pPr>
        <w:spacing w:before="120"/>
        <w:rPr>
          <w:szCs w:val="24"/>
          <w:lang w:val="es-ES_tradnl"/>
        </w:rPr>
      </w:pPr>
      <w:r w:rsidRPr="00751400">
        <w:rPr>
          <w:szCs w:val="24"/>
          <w:lang w:val="es-ES_tradnl"/>
        </w:rPr>
        <w:t>1</w:t>
      </w:r>
      <w:r w:rsidRPr="00751400">
        <w:rPr>
          <w:szCs w:val="24"/>
          <w:lang w:val="es-ES_tradnl"/>
        </w:rPr>
        <w:tab/>
        <w:t>Cuando entren en vigor disposiciones reglamentarias nuevas o modificadas, las conclusiones de las asignaciones inscritas correspondientes deberán ser revisadas y actualizadas por la Oficina con objeto de que reflejen el cumplimiento de las disposiciones/atribuciones reglamentarias modificadas.</w:t>
      </w:r>
    </w:p>
    <w:p w:rsidR="00F23BAE" w:rsidRPr="00751400" w:rsidRDefault="00F23BAE" w:rsidP="00340DF3">
      <w:pPr>
        <w:spacing w:before="60"/>
        <w:rPr>
          <w:szCs w:val="24"/>
          <w:lang w:val="es-ES_tradnl"/>
        </w:rPr>
      </w:pPr>
      <w:r w:rsidRPr="00751400">
        <w:rPr>
          <w:szCs w:val="24"/>
          <w:lang w:val="es-ES_tradnl"/>
        </w:rPr>
        <w:t>2</w:t>
      </w:r>
      <w:r w:rsidRPr="00751400">
        <w:rPr>
          <w:szCs w:val="24"/>
          <w:lang w:val="es-ES_tradnl"/>
        </w:rPr>
        <w:tab/>
        <w:t xml:space="preserve">Antes de tomar cualquier medida, la Oficina se pondrá en contacto con cada una de las Administraciones notificantes implicadas acerca del examen de las conclusiones de las asignaciones correspondientes y proporcionará información sobre las posibles medidas, que se basarán en los principios especificados en los siguientes puntos 3 a 6. Si no se recibe respuesta antes de que transcurra el plazo establecido por la Oficina (normalmente 30 días a partir de la fecha de la comunicación de la Oficina), la </w:t>
      </w:r>
      <w:r>
        <w:rPr>
          <w:szCs w:val="24"/>
          <w:lang w:val="es-ES_tradnl"/>
        </w:rPr>
        <w:t>Oficina</w:t>
      </w:r>
      <w:r w:rsidRPr="00751400">
        <w:rPr>
          <w:szCs w:val="24"/>
          <w:lang w:val="es-ES_tradnl"/>
        </w:rPr>
        <w:t xml:space="preserve"> enviará un recordatorio.</w:t>
      </w:r>
      <w:r w:rsidR="00340DF3">
        <w:rPr>
          <w:szCs w:val="24"/>
          <w:lang w:val="es-ES_tradnl"/>
        </w:rPr>
        <w:t xml:space="preserve"> </w:t>
      </w:r>
      <w:r w:rsidRPr="00751400">
        <w:rPr>
          <w:szCs w:val="24"/>
          <w:lang w:val="es-ES_tradnl"/>
        </w:rPr>
        <w:t xml:space="preserve">Si no se recibe respuesta transcurridos 30 días después de la fecha de envío del recordatorio, la </w:t>
      </w:r>
      <w:r>
        <w:rPr>
          <w:szCs w:val="24"/>
          <w:lang w:val="es-ES_tradnl"/>
        </w:rPr>
        <w:t>Oficina</w:t>
      </w:r>
      <w:r w:rsidRPr="00751400">
        <w:rPr>
          <w:szCs w:val="24"/>
          <w:lang w:val="es-ES_tradnl"/>
        </w:rPr>
        <w:t xml:space="preserve"> llevará a cabo las medidas propuestas.</w:t>
      </w:r>
    </w:p>
    <w:p w:rsidR="00D01428" w:rsidRDefault="00D01428" w:rsidP="0062524A">
      <w:pPr>
        <w:spacing w:before="60"/>
        <w:rPr>
          <w:szCs w:val="24"/>
          <w:lang w:val="es-ES_tradnl"/>
        </w:rPr>
      </w:pPr>
      <w:r>
        <w:rPr>
          <w:szCs w:val="24"/>
          <w:lang w:val="es-ES_tradnl"/>
        </w:rPr>
        <w:br w:type="page"/>
      </w:r>
    </w:p>
    <w:p w:rsidR="00353B4B" w:rsidRPr="00751400" w:rsidRDefault="00353B4B" w:rsidP="00AF7287">
      <w:pPr>
        <w:rPr>
          <w:szCs w:val="24"/>
          <w:lang w:val="es-ES_tradnl"/>
        </w:rPr>
      </w:pPr>
      <w:r w:rsidRPr="00751400">
        <w:rPr>
          <w:szCs w:val="24"/>
          <w:lang w:val="es-ES_tradnl"/>
        </w:rPr>
        <w:lastRenderedPageBreak/>
        <w:t>3</w:t>
      </w:r>
      <w:r w:rsidRPr="00751400">
        <w:rPr>
          <w:szCs w:val="24"/>
          <w:lang w:val="es-ES_tradnl"/>
        </w:rPr>
        <w:tab/>
        <w:t xml:space="preserve">Cuando un cambio del Artículo </w:t>
      </w:r>
      <w:r w:rsidRPr="00A8003B">
        <w:rPr>
          <w:b/>
          <w:bCs/>
          <w:szCs w:val="24"/>
          <w:lang w:val="es-ES_tradnl"/>
        </w:rPr>
        <w:t>5</w:t>
      </w:r>
      <w:r w:rsidRPr="00751400">
        <w:rPr>
          <w:szCs w:val="24"/>
          <w:lang w:val="es-ES_tradnl"/>
        </w:rPr>
        <w:t xml:space="preserve"> tenga como consecuencia la derogación de una atribución a un servicio de radiocomunicaciones, la asignación inscrita correspondiente debe suprimirse del Registro Internacional de Frecuencias. Si la Administración notificante solicita que se mantenga la asignación y señala que funcionará de conformidad con lo dispuesto en el </w:t>
      </w:r>
      <w:r w:rsidR="00AF7287" w:rsidRPr="00AF7287">
        <w:rPr>
          <w:lang w:val="es-ES_tradnl"/>
        </w:rPr>
        <w:t>número</w:t>
      </w:r>
      <w:r w:rsidR="00AF7287" w:rsidRPr="00DE1E30">
        <w:rPr>
          <w:i/>
          <w:iCs/>
          <w:lang w:val="es-ES_tradnl"/>
        </w:rPr>
        <w:t xml:space="preserve"> </w:t>
      </w:r>
      <w:r w:rsidRPr="00751400">
        <w:rPr>
          <w:b/>
          <w:bCs/>
          <w:szCs w:val="24"/>
          <w:lang w:val="es-ES_tradnl"/>
        </w:rPr>
        <w:t>4.4</w:t>
      </w:r>
      <w:r w:rsidRPr="00751400">
        <w:rPr>
          <w:szCs w:val="24"/>
          <w:lang w:val="es-ES_tradnl"/>
        </w:rPr>
        <w:t xml:space="preserve">, la asignación se mantendrá en el MIFR a título informativo bajo las condiciones especificadas en el </w:t>
      </w:r>
      <w:r w:rsidR="00AF7287" w:rsidRPr="00AF7287">
        <w:rPr>
          <w:lang w:val="es-ES_tradnl"/>
        </w:rPr>
        <w:t>número</w:t>
      </w:r>
      <w:r w:rsidR="00AF7287" w:rsidRPr="00DE1E30">
        <w:rPr>
          <w:i/>
          <w:iCs/>
          <w:lang w:val="es-ES_tradnl"/>
        </w:rPr>
        <w:t xml:space="preserve"> </w:t>
      </w:r>
      <w:r w:rsidRPr="00751400">
        <w:rPr>
          <w:b/>
          <w:bCs/>
          <w:szCs w:val="24"/>
          <w:lang w:val="es-ES_tradnl"/>
        </w:rPr>
        <w:t>8.5</w:t>
      </w:r>
      <w:r w:rsidRPr="00751400">
        <w:rPr>
          <w:szCs w:val="24"/>
          <w:lang w:val="es-ES_tradnl"/>
        </w:rPr>
        <w:t>.</w:t>
      </w:r>
    </w:p>
    <w:p w:rsidR="00353B4B" w:rsidRPr="00751400" w:rsidRDefault="00353B4B" w:rsidP="00353B4B">
      <w:pPr>
        <w:rPr>
          <w:szCs w:val="24"/>
          <w:lang w:val="es-ES_tradnl"/>
        </w:rPr>
      </w:pPr>
      <w:r w:rsidRPr="00751400">
        <w:rPr>
          <w:szCs w:val="24"/>
          <w:lang w:val="es-ES_tradnl"/>
        </w:rPr>
        <w:t>4</w:t>
      </w:r>
      <w:r w:rsidRPr="00751400">
        <w:rPr>
          <w:szCs w:val="24"/>
          <w:lang w:val="es-ES_tradnl"/>
        </w:rPr>
        <w:tab/>
        <w:t xml:space="preserve">Cuando un cambio en el Artículo </w:t>
      </w:r>
      <w:r w:rsidRPr="00A8003B">
        <w:rPr>
          <w:b/>
          <w:bCs/>
          <w:szCs w:val="24"/>
          <w:lang w:val="es-ES_tradnl"/>
        </w:rPr>
        <w:t>5</w:t>
      </w:r>
      <w:r w:rsidRPr="00751400">
        <w:rPr>
          <w:szCs w:val="24"/>
          <w:lang w:val="es-ES_tradnl"/>
        </w:rPr>
        <w:t xml:space="preserve"> tenga como consecuencia una disminución de la categoría de la atribución y dicha atribución no está sujeta a ninguna condición adicional, o cuando las asignaciones inscritas satisfacen todas las condiciones adicionales a las que está sujeta la atribución cuya categoría se ha disminuido, la categoría de la asignación inscrita implicada disminuirá de la forma correspondiente y la asignación se mantendrá en el Registro Internacional de Frecuencias, a menos que la Administración notificante solicite su supresión.</w:t>
      </w:r>
    </w:p>
    <w:p w:rsidR="00353B4B" w:rsidRPr="00751400" w:rsidRDefault="00353B4B" w:rsidP="00AF7287">
      <w:pPr>
        <w:pStyle w:val="enumlev1"/>
        <w:tabs>
          <w:tab w:val="left" w:pos="567"/>
        </w:tabs>
        <w:ind w:left="0" w:firstLine="0"/>
        <w:rPr>
          <w:szCs w:val="24"/>
          <w:lang w:val="es-ES_tradnl"/>
        </w:rPr>
      </w:pPr>
      <w:r w:rsidRPr="00751400">
        <w:rPr>
          <w:szCs w:val="24"/>
          <w:lang w:val="es-ES_tradnl"/>
        </w:rPr>
        <w:t xml:space="preserve">Cuando la atribución degradada esté sujeta a condiciones adicionales y las condiciones relativas al examen reglamentario con arreglo al </w:t>
      </w:r>
      <w:r w:rsidR="00AF7287" w:rsidRPr="00AF7287">
        <w:rPr>
          <w:lang w:val="es-ES_tradnl"/>
        </w:rPr>
        <w:t>número</w:t>
      </w:r>
      <w:r w:rsidR="00AF7287" w:rsidRPr="00DE1E30">
        <w:rPr>
          <w:i/>
          <w:iCs/>
          <w:lang w:val="es-ES_tradnl"/>
        </w:rPr>
        <w:t xml:space="preserve"> </w:t>
      </w:r>
      <w:r w:rsidRPr="00751400">
        <w:rPr>
          <w:b/>
          <w:bCs/>
          <w:szCs w:val="24"/>
          <w:lang w:val="es-ES_tradnl"/>
        </w:rPr>
        <w:t>11.31</w:t>
      </w:r>
      <w:r w:rsidRPr="00751400">
        <w:rPr>
          <w:szCs w:val="24"/>
          <w:lang w:val="es-ES_tradnl"/>
        </w:rPr>
        <w:t xml:space="preserve"> (por ejemplo, límites de potencia, restricciones al funcionamiento nacional, requisitos para un acuerdo con arreglo al </w:t>
      </w:r>
      <w:r w:rsidR="00AF7287" w:rsidRPr="00AF7287">
        <w:rPr>
          <w:lang w:val="es-ES_tradnl"/>
        </w:rPr>
        <w:t>número</w:t>
      </w:r>
      <w:r w:rsidR="00AF7287" w:rsidRPr="00DE1E30">
        <w:rPr>
          <w:i/>
          <w:iCs/>
          <w:lang w:val="es-ES_tradnl"/>
        </w:rPr>
        <w:t xml:space="preserve"> </w:t>
      </w:r>
      <w:r w:rsidRPr="00751400">
        <w:rPr>
          <w:b/>
          <w:bCs/>
          <w:szCs w:val="24"/>
          <w:lang w:val="es-ES_tradnl"/>
        </w:rPr>
        <w:t>9.21</w:t>
      </w:r>
      <w:r w:rsidRPr="00751400">
        <w:rPr>
          <w:szCs w:val="24"/>
          <w:lang w:val="es-ES_tradnl"/>
        </w:rPr>
        <w:t xml:space="preserve">, distancias de separación, etc.) no se satisfagan, la Oficina propondrá a la Administración notificante suprimir la asignación, o que modifique sus características para cumplir las nuevas condiciones. Si la Administración solicita mantener la asignación con sus características sin modificar y señala que funcionará de conformidad con el </w:t>
      </w:r>
      <w:r w:rsidR="00AF7287" w:rsidRPr="00AF7287">
        <w:rPr>
          <w:lang w:val="es-ES_tradnl"/>
        </w:rPr>
        <w:t>número</w:t>
      </w:r>
      <w:r w:rsidR="00AF7287" w:rsidRPr="00DE1E30">
        <w:rPr>
          <w:i/>
          <w:iCs/>
          <w:lang w:val="es-ES_tradnl"/>
        </w:rPr>
        <w:t xml:space="preserve"> </w:t>
      </w:r>
      <w:r w:rsidRPr="00751400">
        <w:rPr>
          <w:b/>
          <w:bCs/>
          <w:szCs w:val="24"/>
          <w:lang w:val="es-ES_tradnl"/>
        </w:rPr>
        <w:t>4.4</w:t>
      </w:r>
      <w:r w:rsidRPr="00751400">
        <w:rPr>
          <w:szCs w:val="24"/>
          <w:lang w:val="es-ES_tradnl"/>
        </w:rPr>
        <w:t xml:space="preserve">, la asignación seguirá inscrita en el MIFR a título informativo bajo las condiciones indicadas en el </w:t>
      </w:r>
      <w:r w:rsidR="00AF7287" w:rsidRPr="00AF7287">
        <w:rPr>
          <w:lang w:val="es-ES_tradnl"/>
        </w:rPr>
        <w:t>número</w:t>
      </w:r>
      <w:r w:rsidR="00AF7287" w:rsidRPr="00DE1E30">
        <w:rPr>
          <w:i/>
          <w:iCs/>
          <w:lang w:val="es-ES_tradnl"/>
        </w:rPr>
        <w:t xml:space="preserve"> </w:t>
      </w:r>
      <w:r w:rsidRPr="00751400">
        <w:rPr>
          <w:b/>
          <w:bCs/>
          <w:szCs w:val="24"/>
          <w:lang w:val="es-ES_tradnl"/>
        </w:rPr>
        <w:t>8.5</w:t>
      </w:r>
      <w:r w:rsidRPr="00751400">
        <w:rPr>
          <w:szCs w:val="24"/>
          <w:lang w:val="es-ES_tradnl"/>
        </w:rPr>
        <w:t>.</w:t>
      </w:r>
      <w:r w:rsidR="00340DF3">
        <w:rPr>
          <w:szCs w:val="24"/>
          <w:lang w:val="es-ES_tradnl"/>
        </w:rPr>
        <w:t xml:space="preserve"> </w:t>
      </w:r>
      <w:r w:rsidRPr="00751400">
        <w:rPr>
          <w:szCs w:val="24"/>
          <w:lang w:val="es-ES_tradnl"/>
        </w:rPr>
        <w:t xml:space="preserve">Con respecto a la aplicación de los procedimientos de coordinación pertinentes, la Oficina propondrá a la Administración notificante que suprima o vuelva a presentar la asignación para aplicar estos procedimientos. Con relación al examen en virtud del </w:t>
      </w:r>
      <w:r w:rsidR="00AF7287" w:rsidRPr="00AF7287">
        <w:rPr>
          <w:lang w:val="es-ES_tradnl"/>
        </w:rPr>
        <w:t>número</w:t>
      </w:r>
      <w:r w:rsidR="00AF7287" w:rsidRPr="00DE1E30">
        <w:rPr>
          <w:i/>
          <w:iCs/>
          <w:lang w:val="es-ES_tradnl"/>
        </w:rPr>
        <w:t xml:space="preserve"> </w:t>
      </w:r>
      <w:r w:rsidRPr="00751400">
        <w:rPr>
          <w:b/>
          <w:bCs/>
          <w:szCs w:val="24"/>
          <w:lang w:val="es-ES_tradnl"/>
        </w:rPr>
        <w:t>11.32</w:t>
      </w:r>
      <w:r w:rsidRPr="00751400">
        <w:rPr>
          <w:szCs w:val="24"/>
          <w:lang w:val="es-ES_tradnl"/>
        </w:rPr>
        <w:t>, se considerará que la asignación inscrita, con sus características sin modificar, ha completado satisfactoriamente, en la fecha de su inscripción original en el MIFR, los procedimientos de coordinación aplicables respecto a los servicios que tengan atribuciones con igualdad de derechos.</w:t>
      </w:r>
    </w:p>
    <w:p w:rsidR="00E41FDD" w:rsidRDefault="00353B4B" w:rsidP="00E41FDD">
      <w:pPr>
        <w:tabs>
          <w:tab w:val="left" w:pos="0"/>
          <w:tab w:val="left" w:pos="709"/>
          <w:tab w:val="left" w:pos="993"/>
        </w:tabs>
        <w:overflowPunct/>
        <w:textAlignment w:val="auto"/>
        <w:rPr>
          <w:lang w:val="es-ES_tradnl" w:eastAsia="zh-CN"/>
        </w:rPr>
      </w:pPr>
      <w:r w:rsidRPr="00751400">
        <w:rPr>
          <w:szCs w:val="24"/>
          <w:lang w:val="es-ES_tradnl" w:eastAsia="zh-CN"/>
        </w:rPr>
        <w:t>5</w:t>
      </w:r>
      <w:r w:rsidRPr="00751400">
        <w:rPr>
          <w:szCs w:val="24"/>
          <w:lang w:val="es-ES_tradnl"/>
        </w:rPr>
        <w:tab/>
      </w:r>
      <w:r w:rsidR="0062524A" w:rsidRPr="0062524A">
        <w:rPr>
          <w:lang w:val="es-ES_tradnl" w:eastAsia="zh-CN"/>
        </w:rPr>
        <w:t xml:space="preserve">Cuando un cambio en el Artículo </w:t>
      </w:r>
      <w:r w:rsidR="0062524A" w:rsidRPr="0062524A">
        <w:rPr>
          <w:b/>
          <w:bCs/>
          <w:lang w:val="es-ES_tradnl" w:eastAsia="zh-CN"/>
        </w:rPr>
        <w:t>5</w:t>
      </w:r>
      <w:r w:rsidR="0062524A" w:rsidRPr="0062524A">
        <w:rPr>
          <w:lang w:val="es-ES_tradnl" w:eastAsia="zh-CN"/>
        </w:rPr>
        <w:t xml:space="preserve"> tenga como consecuencia la atribución a un nuevo servicio o un incremento de la categoría de un servicio existente, la Oficina llamará la atención de la Administración notificante sobre la asignación inscrita correspondiente, que previamente tenía una categoría inferior o fue inscrita bajo las condiciones del número </w:t>
      </w:r>
      <w:r w:rsidR="0062524A" w:rsidRPr="0062524A">
        <w:rPr>
          <w:b/>
          <w:bCs/>
          <w:lang w:val="es-ES_tradnl" w:eastAsia="zh-CN"/>
        </w:rPr>
        <w:t>4.4</w:t>
      </w:r>
      <w:r w:rsidR="0062524A" w:rsidRPr="0062524A">
        <w:rPr>
          <w:lang w:val="es-ES_tradnl" w:eastAsia="zh-CN"/>
        </w:rPr>
        <w:t xml:space="preserve"> y propondrá a la administración que presente una nueva asignación o sustituya la anterior. A la nueva asignación presentada se le aplicarán los procedimientos de coordinación correspondientes y no se le dará ninguna prioridad particular en este proceso. La categoría de la asignación debe aumentarse sólo si se satisfacen todas las disposiciones pertinentes del RR. </w:t>
      </w:r>
    </w:p>
    <w:p w:rsidR="0055260C" w:rsidRDefault="0055260C" w:rsidP="00E41FDD">
      <w:pPr>
        <w:tabs>
          <w:tab w:val="left" w:pos="0"/>
          <w:tab w:val="left" w:pos="709"/>
          <w:tab w:val="left" w:pos="993"/>
        </w:tabs>
        <w:overflowPunct/>
        <w:textAlignment w:val="auto"/>
        <w:rPr>
          <w:lang w:val="es-ES_tradnl" w:eastAsia="zh-CN"/>
        </w:rPr>
      </w:pPr>
      <w:r>
        <w:rPr>
          <w:lang w:val="es-ES_tradnl" w:eastAsia="zh-CN"/>
        </w:rPr>
        <w:br w:type="page"/>
      </w:r>
    </w:p>
    <w:p w:rsidR="00E41FDD" w:rsidRDefault="0062524A" w:rsidP="00E41FDD">
      <w:pPr>
        <w:tabs>
          <w:tab w:val="left" w:pos="0"/>
          <w:tab w:val="left" w:pos="709"/>
          <w:tab w:val="left" w:pos="993"/>
        </w:tabs>
        <w:overflowPunct/>
        <w:textAlignment w:val="auto"/>
        <w:rPr>
          <w:lang w:val="es-ES_tradnl" w:eastAsia="zh-CN"/>
        </w:rPr>
      </w:pPr>
      <w:r w:rsidRPr="0062524A">
        <w:rPr>
          <w:lang w:val="es-ES_tradnl" w:eastAsia="zh-CN"/>
        </w:rPr>
        <w:lastRenderedPageBreak/>
        <w:t xml:space="preserve">Si además de resultar en una nueva atribución o en un incremento de la categoría de un servicio (S2), el cambio en el Artículo </w:t>
      </w:r>
      <w:r w:rsidRPr="00AF7287">
        <w:rPr>
          <w:b/>
          <w:bCs/>
          <w:lang w:val="es-ES_tradnl" w:eastAsia="zh-CN"/>
        </w:rPr>
        <w:t>5</w:t>
      </w:r>
      <w:r w:rsidRPr="0062524A">
        <w:rPr>
          <w:lang w:val="es-ES_tradnl" w:eastAsia="zh-CN"/>
        </w:rPr>
        <w:t xml:space="preserve"> diese lugar al incremento de la categoría de otro servicio existente (S1) en la misma banda de frecuencias, la Oficina llamará la atención de la administración sobre sus asignaciones para el servicio S1 inscritas previamente en el Registro o recibidas para coordinación antes de la decisión de la Conferencia, y propondrá a la administración que presente una nuevas asignaciones para sustituir las anteriores dentro de un plazo límite de hasta cuatro meses. La Oficina considerará que a estas nuevas notificaciones de asignaciones a S1 recibidas dentro del plazo no se les tiene que aplicar el procedimiento de coordinación pertinente con las asignaciones al servicio S2 nuevo o cuya categoría se ha incrementado.</w:t>
      </w:r>
    </w:p>
    <w:p w:rsidR="00353B4B" w:rsidRPr="00751400" w:rsidRDefault="00353B4B" w:rsidP="00AF7287">
      <w:pPr>
        <w:tabs>
          <w:tab w:val="left" w:pos="0"/>
          <w:tab w:val="left" w:pos="284"/>
          <w:tab w:val="left" w:pos="709"/>
        </w:tabs>
        <w:overflowPunct/>
        <w:textAlignment w:val="auto"/>
        <w:rPr>
          <w:szCs w:val="24"/>
          <w:lang w:val="es-ES_tradnl" w:eastAsia="zh-CN"/>
        </w:rPr>
      </w:pPr>
      <w:r w:rsidRPr="00751400">
        <w:rPr>
          <w:szCs w:val="24"/>
          <w:lang w:val="es-ES_tradnl" w:eastAsia="zh-CN"/>
        </w:rPr>
        <w:t>6</w:t>
      </w:r>
      <w:r w:rsidRPr="00751400">
        <w:rPr>
          <w:szCs w:val="24"/>
          <w:lang w:val="es-ES_tradnl" w:eastAsia="zh-CN"/>
        </w:rPr>
        <w:tab/>
      </w:r>
      <w:r w:rsidRPr="00751400">
        <w:rPr>
          <w:szCs w:val="24"/>
          <w:lang w:val="es-ES_tradnl" w:eastAsia="zh-CN"/>
        </w:rPr>
        <w:tab/>
        <w:t xml:space="preserve">Cuando un cambio en el Artículo </w:t>
      </w:r>
      <w:r w:rsidRPr="00A8003B">
        <w:rPr>
          <w:b/>
          <w:bCs/>
          <w:szCs w:val="24"/>
          <w:lang w:val="es-ES_tradnl" w:eastAsia="zh-CN"/>
        </w:rPr>
        <w:t xml:space="preserve">5 </w:t>
      </w:r>
      <w:r w:rsidRPr="00751400">
        <w:rPr>
          <w:szCs w:val="24"/>
          <w:lang w:val="es-ES_tradnl" w:eastAsia="zh-CN"/>
        </w:rPr>
        <w:t xml:space="preserve">tenga como consecuencia la modificación de las condiciones de una atribución sin modificar la categoría de la misma (por ejemplo, restricciones reglamentarias/técnicas adicionales o procedimientos de coordinación nuevos/modificados), las conclusiones originales de la asignación inscrita pueden mantenerse únicamente sujetas a la conformidad con las nuevas condiciones. </w:t>
      </w:r>
      <w:r>
        <w:rPr>
          <w:szCs w:val="24"/>
          <w:lang w:val="es-ES_tradnl" w:eastAsia="zh-CN"/>
        </w:rPr>
        <w:t xml:space="preserve">En ese caso, la Oficina pedirá a la Administración notificante si las características de la asignación serán modificadas para cumplir las nuevas condiciones. Si la Administración notificante no responde al pedido de la Oficina (véase el apartado 2 </w:t>
      </w:r>
      <w:r w:rsidRPr="00C96384">
        <w:rPr>
          <w:szCs w:val="24"/>
          <w:lang w:val="es-ES_tradnl" w:eastAsia="zh-CN"/>
        </w:rPr>
        <w:t>supra</w:t>
      </w:r>
      <w:r>
        <w:rPr>
          <w:szCs w:val="24"/>
          <w:lang w:val="es-ES_tradnl" w:eastAsia="zh-CN"/>
        </w:rPr>
        <w:t>) o s</w:t>
      </w:r>
      <w:r w:rsidRPr="00C96384">
        <w:rPr>
          <w:szCs w:val="24"/>
          <w:lang w:val="es-ES_tradnl" w:eastAsia="zh-CN"/>
        </w:rPr>
        <w:t>i</w:t>
      </w:r>
      <w:r w:rsidRPr="00751400">
        <w:rPr>
          <w:szCs w:val="24"/>
          <w:lang w:val="es-ES_tradnl" w:eastAsia="zh-CN"/>
        </w:rPr>
        <w:t xml:space="preserve"> no se satisfacen las condiciones, la Oficina propondrá a la Administración notificante suprimir la asignación</w:t>
      </w:r>
      <w:r>
        <w:rPr>
          <w:szCs w:val="24"/>
          <w:lang w:val="es-ES_tradnl" w:eastAsia="zh-CN"/>
        </w:rPr>
        <w:t>.</w:t>
      </w:r>
      <w:r w:rsidRPr="00751400">
        <w:rPr>
          <w:szCs w:val="24"/>
          <w:lang w:val="es-ES_tradnl" w:eastAsia="zh-CN"/>
        </w:rPr>
        <w:t xml:space="preserve"> Si la administración solicita mantener la asignación con sus características sin modificar y señala que funcionará de conformidad con 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4.4</w:t>
      </w:r>
      <w:r w:rsidRPr="00751400">
        <w:rPr>
          <w:szCs w:val="24"/>
          <w:lang w:val="es-ES_tradnl" w:eastAsia="zh-CN"/>
        </w:rPr>
        <w:t xml:space="preserve">, la asignación seguirá inscrita en el MIFR a título informativo bajo las condiciones indicadas en 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8.5</w:t>
      </w:r>
      <w:r w:rsidRPr="00751400">
        <w:rPr>
          <w:szCs w:val="24"/>
          <w:lang w:val="es-ES_tradnl" w:eastAsia="zh-CN"/>
        </w:rPr>
        <w:t>.</w:t>
      </w:r>
    </w:p>
    <w:p w:rsidR="00353B4B" w:rsidRPr="00751400" w:rsidRDefault="00353B4B" w:rsidP="00AF7287">
      <w:pPr>
        <w:tabs>
          <w:tab w:val="left" w:pos="0"/>
          <w:tab w:val="left" w:pos="284"/>
        </w:tabs>
        <w:overflowPunct/>
        <w:textAlignment w:val="auto"/>
        <w:rPr>
          <w:szCs w:val="24"/>
          <w:lang w:val="es-ES_tradnl" w:eastAsia="zh-CN"/>
        </w:rPr>
      </w:pPr>
      <w:r w:rsidRPr="00751400">
        <w:rPr>
          <w:szCs w:val="24"/>
          <w:lang w:val="es-ES_tradnl" w:eastAsia="zh-CN"/>
        </w:rPr>
        <w:t xml:space="preserve">En relación al examen de las asignaciones de frecuencia con respeto a su conformidad con un plan mundial o regional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 xml:space="preserve">, cuando las condiciones del plan aplicable se modifican, las conclusiones originales de la asignación inscrita pueden mantenerse únicamente sujetas a la conformidad con las nuevas condiciones. Si no se han satisfecho las condiciones, la asignación correspondiente puede mantenerse en el MIFR con conclusión desfavorable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w:t>
      </w:r>
    </w:p>
    <w:p w:rsidR="00353B4B" w:rsidRPr="00751400" w:rsidRDefault="00353B4B" w:rsidP="00AF7287">
      <w:pPr>
        <w:tabs>
          <w:tab w:val="left" w:pos="0"/>
          <w:tab w:val="left" w:pos="284"/>
        </w:tabs>
        <w:overflowPunct/>
        <w:textAlignment w:val="auto"/>
        <w:rPr>
          <w:szCs w:val="24"/>
          <w:lang w:val="es-ES_tradnl" w:eastAsia="zh-CN"/>
        </w:rPr>
      </w:pPr>
      <w:r w:rsidRPr="00751400">
        <w:rPr>
          <w:szCs w:val="24"/>
          <w:lang w:val="es-ES_tradnl" w:eastAsia="zh-CN"/>
        </w:rPr>
        <w:t>7</w:t>
      </w:r>
      <w:r w:rsidRPr="00751400">
        <w:rPr>
          <w:szCs w:val="24"/>
          <w:lang w:val="es-ES_tradnl" w:eastAsia="zh-CN"/>
        </w:rPr>
        <w:tab/>
      </w:r>
      <w:r w:rsidRPr="00751400">
        <w:rPr>
          <w:szCs w:val="24"/>
          <w:lang w:val="es-ES_tradnl" w:eastAsia="zh-CN"/>
        </w:rPr>
        <w:tab/>
        <w:t xml:space="preserve">La Junta observó que el Artículo </w:t>
      </w:r>
      <w:r w:rsidRPr="00A8003B">
        <w:rPr>
          <w:b/>
          <w:bCs/>
          <w:szCs w:val="24"/>
          <w:lang w:val="es-ES_tradnl" w:eastAsia="zh-CN"/>
        </w:rPr>
        <w:t>5</w:t>
      </w:r>
      <w:r w:rsidRPr="00751400">
        <w:rPr>
          <w:szCs w:val="24"/>
          <w:lang w:val="es-ES_tradnl" w:eastAsia="zh-CN"/>
        </w:rPr>
        <w:t xml:space="preserve"> contiene un cierto número de disposiciones bajo las cuales una atribución a un servicio de radiocomunicaciones está sujeta a la obtención del acuerdo de las administraciones correspondientes, por ejemplo, </w:t>
      </w:r>
      <w:r w:rsidR="00AF7287" w:rsidRPr="00AF7287">
        <w:rPr>
          <w:lang w:val="es-ES_tradnl"/>
        </w:rPr>
        <w:t>número</w:t>
      </w:r>
      <w:r w:rsidR="00AF7287" w:rsidRPr="00DE1E30">
        <w:rPr>
          <w:i/>
          <w:iCs/>
          <w:lang w:val="es-ES_tradnl"/>
        </w:rPr>
        <w:t xml:space="preserve"> </w:t>
      </w:r>
      <w:r w:rsidRPr="00A8003B">
        <w:rPr>
          <w:b/>
          <w:bCs/>
          <w:szCs w:val="24"/>
          <w:lang w:val="es-ES_tradnl" w:eastAsia="zh-CN"/>
        </w:rPr>
        <w:t>5.175</w:t>
      </w:r>
      <w:r w:rsidRPr="00751400">
        <w:rPr>
          <w:szCs w:val="24"/>
          <w:lang w:val="es-ES_tradnl" w:eastAsia="zh-CN"/>
        </w:rPr>
        <w:t xml:space="preserve">, </w:t>
      </w:r>
      <w:r w:rsidR="00AF7287" w:rsidRPr="00AF7287">
        <w:rPr>
          <w:lang w:val="es-ES_tradnl"/>
        </w:rPr>
        <w:t>número</w:t>
      </w:r>
      <w:r w:rsidR="00AF7287" w:rsidRPr="00DE1E30">
        <w:rPr>
          <w:i/>
          <w:iCs/>
          <w:lang w:val="es-ES_tradnl"/>
        </w:rPr>
        <w:t xml:space="preserve"> </w:t>
      </w:r>
      <w:r w:rsidRPr="00A8003B">
        <w:rPr>
          <w:b/>
          <w:bCs/>
          <w:szCs w:val="24"/>
          <w:lang w:val="es-ES_tradnl" w:eastAsia="zh-CN"/>
        </w:rPr>
        <w:t>5.188</w:t>
      </w:r>
      <w:r w:rsidRPr="00751400">
        <w:rPr>
          <w:szCs w:val="24"/>
          <w:lang w:val="es-ES_tradnl" w:eastAsia="zh-CN"/>
        </w:rPr>
        <w:t xml:space="preserve">, etc., sin </w:t>
      </w:r>
      <w:r>
        <w:rPr>
          <w:szCs w:val="24"/>
          <w:lang w:val="es-ES_tradnl" w:eastAsia="zh-CN"/>
        </w:rPr>
        <w:t>que se haga mención al</w:t>
      </w:r>
      <w:r w:rsidRPr="00751400">
        <w:rPr>
          <w:szCs w:val="24"/>
          <w:lang w:val="es-ES_tradnl" w:eastAsia="zh-CN"/>
        </w:rPr>
        <w:t xml:space="preserve"> </w:t>
      </w:r>
      <w:r w:rsidR="00AF7287" w:rsidRPr="00AF7287">
        <w:rPr>
          <w:lang w:val="es-ES_tradnl"/>
        </w:rPr>
        <w:t>número</w:t>
      </w:r>
      <w:r w:rsidR="00AF7287" w:rsidRPr="00DE1E30">
        <w:rPr>
          <w:i/>
          <w:iCs/>
          <w:lang w:val="es-ES_tradnl"/>
        </w:rPr>
        <w:t xml:space="preserve"> </w:t>
      </w:r>
      <w:r w:rsidRPr="00751400">
        <w:rPr>
          <w:b/>
          <w:bCs/>
          <w:szCs w:val="24"/>
          <w:lang w:val="es-ES_tradnl" w:eastAsia="zh-CN"/>
        </w:rPr>
        <w:t>9.21</w:t>
      </w:r>
      <w:r w:rsidRPr="00751400">
        <w:rPr>
          <w:szCs w:val="24"/>
          <w:lang w:val="es-ES_tradnl" w:eastAsia="zh-CN"/>
        </w:rPr>
        <w:t xml:space="preserve">. La obtención de dicho acuerdo no está regulada por los procedimientos del Artículo </w:t>
      </w:r>
      <w:r w:rsidRPr="00A8003B">
        <w:rPr>
          <w:b/>
          <w:bCs/>
          <w:szCs w:val="24"/>
          <w:lang w:val="es-ES_tradnl" w:eastAsia="zh-CN"/>
        </w:rPr>
        <w:t>9</w:t>
      </w:r>
      <w:r w:rsidRPr="00751400">
        <w:rPr>
          <w:szCs w:val="24"/>
          <w:lang w:val="es-ES_tradnl" w:eastAsia="zh-CN"/>
        </w:rPr>
        <w:t xml:space="preserve"> ni por las Reglas de Procedimiento y debe resolverse directamente entre las administraciones implicadas. Además, al examinar las notificaciones de asignaciones de frecuencia pertinentes, la Oficina no verifica dichos acuerdos. En el contexto anterior, la Junta decidió que en el caso de un examen de las conclusiones sobre las asignaciones pertinentes, la Oficina no deberá tener en cuenta la presencia o ausencia de acuerdos de otras administraciones al formular nuevas conclusiones.</w:t>
      </w:r>
    </w:p>
    <w:p w:rsidR="00353B4B" w:rsidRPr="00751400" w:rsidRDefault="00353B4B" w:rsidP="00353B4B">
      <w:pPr>
        <w:tabs>
          <w:tab w:val="left" w:pos="0"/>
          <w:tab w:val="left" w:pos="284"/>
        </w:tabs>
        <w:overflowPunct/>
        <w:textAlignment w:val="auto"/>
        <w:rPr>
          <w:szCs w:val="24"/>
          <w:lang w:val="es-ES_tradnl" w:eastAsia="zh-CN"/>
        </w:rPr>
      </w:pPr>
      <w:r w:rsidRPr="00751400">
        <w:rPr>
          <w:szCs w:val="24"/>
          <w:lang w:val="es-ES_tradnl" w:eastAsia="zh-CN"/>
        </w:rPr>
        <w:t>8</w:t>
      </w:r>
      <w:r w:rsidRPr="00751400">
        <w:rPr>
          <w:szCs w:val="24"/>
          <w:lang w:val="es-ES_tradnl" w:eastAsia="zh-CN"/>
        </w:rPr>
        <w:tab/>
      </w:r>
      <w:r w:rsidRPr="00751400">
        <w:rPr>
          <w:szCs w:val="24"/>
          <w:lang w:val="es-ES_tradnl" w:eastAsia="zh-CN"/>
        </w:rPr>
        <w:tab/>
        <w:t>Tras completar la revisión de las conclusio</w:t>
      </w:r>
      <w:bookmarkStart w:id="58" w:name="_GoBack"/>
      <w:bookmarkEnd w:id="58"/>
      <w:r w:rsidRPr="00751400">
        <w:rPr>
          <w:szCs w:val="24"/>
          <w:lang w:val="es-ES_tradnl" w:eastAsia="zh-CN"/>
        </w:rPr>
        <w:t>nes, las asignaciones de frecuencia correspondientes junto con las conclusiones modificadas se publicarán en las Partes de la BR IFIC pertinentes y se incluirá una nota informativa en la BR IFIC llamando la atención de las administraciones sobre la revisión de las conclusiones y explicando los motivos y el contenido de los cambios.</w:t>
      </w:r>
    </w:p>
    <w:p w:rsidR="00A60C28" w:rsidRPr="003667EC" w:rsidRDefault="00A60C28" w:rsidP="00353B4B">
      <w:pPr>
        <w:jc w:val="center"/>
        <w:rPr>
          <w:lang w:val="es-ES_tradnl"/>
        </w:rPr>
      </w:pPr>
      <w:r w:rsidRPr="003667EC">
        <w:rPr>
          <w:lang w:val="es-ES_tradnl"/>
        </w:rPr>
        <w:t>_________________</w:t>
      </w:r>
    </w:p>
    <w:p w:rsidR="003667EC" w:rsidRPr="003667EC" w:rsidRDefault="003667EC">
      <w:pPr>
        <w:rPr>
          <w:color w:val="000000"/>
          <w:lang w:val="es-ES_tradnl"/>
        </w:rPr>
      </w:pPr>
    </w:p>
    <w:p w:rsidR="00A60C28" w:rsidRPr="003667EC" w:rsidRDefault="00A60C28">
      <w:pPr>
        <w:rPr>
          <w:color w:val="000000"/>
          <w:lang w:val="es-ES_tradnl"/>
        </w:rPr>
        <w:sectPr w:rsidR="00A60C28" w:rsidRPr="003667EC" w:rsidSect="00E40C2F">
          <w:headerReference w:type="even" r:id="rId13"/>
          <w:headerReference w:type="default" r:id="rId14"/>
          <w:footnotePr>
            <w:pos w:val="beneathText"/>
            <w:numFmt w:val="chicago"/>
          </w:footnotePr>
          <w:pgSz w:w="11907" w:h="16840" w:code="9"/>
          <w:pgMar w:top="1701" w:right="851" w:bottom="1134" w:left="1985" w:header="720" w:footer="482" w:gutter="0"/>
          <w:pgNumType w:start="29"/>
          <w:cols w:space="720"/>
          <w:vAlign w:val="both"/>
        </w:sectPr>
      </w:pPr>
    </w:p>
    <w:p w:rsidR="00A60C28" w:rsidRPr="003667EC" w:rsidRDefault="00A60C28">
      <w:pPr>
        <w:rPr>
          <w:lang w:val="es-ES_tradnl"/>
        </w:rPr>
      </w:pPr>
    </w:p>
    <w:sectPr w:rsidR="00A60C28" w:rsidRPr="003667EC" w:rsidSect="009C54F8">
      <w:headerReference w:type="even" r:id="rId15"/>
      <w:headerReference w:type="default" r:id="rId16"/>
      <w:headerReference w:type="first" r:id="rId1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361" w:rsidRDefault="00E14361">
      <w:r>
        <w:separator/>
      </w:r>
    </w:p>
  </w:endnote>
  <w:endnote w:type="continuationSeparator" w:id="0">
    <w:p w:rsidR="00E14361" w:rsidRDefault="00E1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361" w:rsidRDefault="00E14361">
      <w:r>
        <w:rPr>
          <w:b/>
        </w:rPr>
        <w:t>_______________</w:t>
      </w:r>
    </w:p>
  </w:footnote>
  <w:footnote w:type="continuationSeparator" w:id="0">
    <w:p w:rsidR="00E14361" w:rsidRDefault="00E14361">
      <w:r>
        <w:continuationSeparator/>
      </w:r>
    </w:p>
  </w:footnote>
  <w:footnote w:id="1">
    <w:p w:rsidR="00E14361" w:rsidRDefault="00E14361" w:rsidP="007E3FFE">
      <w:pPr>
        <w:pStyle w:val="FootnoteText"/>
        <w:rPr>
          <w:color w:val="000000"/>
          <w:lang w:val="es-ES"/>
        </w:rPr>
      </w:pPr>
      <w:r>
        <w:rPr>
          <w:rStyle w:val="FootnoteReference"/>
          <w:color w:val="000000"/>
          <w:lang w:val="es-ES"/>
        </w:rPr>
        <w:t>1</w:t>
      </w:r>
      <w:r>
        <w:rPr>
          <w:color w:val="000000"/>
          <w:lang w:val="es-ES"/>
        </w:rPr>
        <w:tab/>
        <w:t>No se notificarán las frecuencias de uso común indicadas en el Capítulo VI del Prefacio de la LIF.</w:t>
      </w:r>
    </w:p>
  </w:footnote>
  <w:footnote w:id="2">
    <w:p w:rsidR="00E14361" w:rsidRDefault="00E14361" w:rsidP="007E3FFE">
      <w:pPr>
        <w:pStyle w:val="FootnoteText"/>
        <w:rPr>
          <w:color w:val="000000"/>
          <w:lang w:val="es-ES"/>
        </w:rPr>
      </w:pPr>
      <w:r>
        <w:rPr>
          <w:rStyle w:val="FootnoteReference"/>
          <w:color w:val="000000"/>
          <w:lang w:val="es-ES"/>
        </w:rPr>
        <w:t>2</w:t>
      </w:r>
      <w:r>
        <w:rPr>
          <w:color w:val="000000"/>
          <w:lang w:val="es-ES"/>
        </w:rPr>
        <w:tab/>
        <w:t>No se notificarán las asignaciones de frecuencia a estaciones en el servicio de radioaficionados (número </w:t>
      </w:r>
      <w:r>
        <w:rPr>
          <w:rStyle w:val="Artref"/>
          <w:b/>
          <w:bCs/>
          <w:color w:val="000000"/>
          <w:lang w:val="es-ES"/>
        </w:rPr>
        <w:t>11.14</w:t>
      </w:r>
      <w:r>
        <w:rPr>
          <w:color w:val="000000"/>
          <w:lang w:val="es-ES"/>
        </w:rPr>
        <w:t>).</w:t>
      </w:r>
    </w:p>
  </w:footnote>
  <w:footnote w:id="3">
    <w:p w:rsidR="00E14361" w:rsidRDefault="00E14361">
      <w:pPr>
        <w:pStyle w:val="FootnoteText"/>
        <w:rPr>
          <w:color w:val="000000"/>
          <w:lang w:val="es-ES"/>
        </w:rPr>
      </w:pPr>
      <w:r>
        <w:rPr>
          <w:rStyle w:val="FootnoteReference"/>
          <w:color w:val="000000"/>
          <w:lang w:val="es-ES"/>
        </w:rPr>
        <w:t>3</w:t>
      </w:r>
      <w:r>
        <w:rPr>
          <w:color w:val="000000"/>
          <w:lang w:val="es-ES"/>
        </w:rPr>
        <w:tab/>
        <w:t>No se notificarán, en virtud del Artículo </w:t>
      </w:r>
      <w:r>
        <w:rPr>
          <w:rStyle w:val="Artref"/>
          <w:b/>
          <w:bCs/>
          <w:color w:val="000000"/>
          <w:lang w:val="es-ES"/>
        </w:rPr>
        <w:t>11</w:t>
      </w:r>
      <w:r>
        <w:rPr>
          <w:color w:val="000000"/>
          <w:lang w:val="es-ES"/>
        </w:rPr>
        <w:t>, las asignaciones de frecuencia a las estaciones de radiodifusión en las bandas de alta frecuencia atribuidas al servicio de radiodifusión entre 5</w:t>
      </w:r>
      <w:r>
        <w:rPr>
          <w:rFonts w:ascii="Tms Rmn" w:hAnsi="Tms Rmn"/>
          <w:color w:val="000000"/>
          <w:sz w:val="12"/>
          <w:lang w:val="es-ES"/>
        </w:rPr>
        <w:t> </w:t>
      </w:r>
      <w:r>
        <w:rPr>
          <w:color w:val="000000"/>
          <w:lang w:val="es-ES"/>
        </w:rPr>
        <w:t>900 kHz y 26</w:t>
      </w:r>
      <w:r>
        <w:rPr>
          <w:rFonts w:ascii="Tms Rmn" w:hAnsi="Tms Rmn"/>
          <w:color w:val="000000"/>
          <w:sz w:val="12"/>
          <w:lang w:val="es-ES"/>
        </w:rPr>
        <w:t> </w:t>
      </w:r>
      <w:r>
        <w:rPr>
          <w:color w:val="000000"/>
          <w:lang w:val="es-ES"/>
        </w:rPr>
        <w:t>100 kHz, que están sujetas al procedimiento del Artículo </w:t>
      </w:r>
      <w:r>
        <w:rPr>
          <w:rStyle w:val="Artref"/>
          <w:b/>
          <w:bCs/>
          <w:color w:val="000000"/>
          <w:lang w:val="es-ES"/>
        </w:rPr>
        <w:t>12</w:t>
      </w:r>
      <w:r>
        <w:rPr>
          <w:color w:val="000000"/>
          <w:lang w:val="es-ES"/>
        </w:rPr>
        <w:t xml:space="preserve"> (véase el número </w:t>
      </w:r>
      <w:r>
        <w:rPr>
          <w:rStyle w:val="Artref"/>
          <w:b/>
          <w:bCs/>
          <w:color w:val="000000"/>
          <w:lang w:val="es-ES"/>
        </w:rPr>
        <w:t>11.14</w:t>
      </w:r>
      <w:r>
        <w:rPr>
          <w:color w:val="000000"/>
          <w:lang w:val="es-ES"/>
        </w:rPr>
        <w:t>).</w:t>
      </w:r>
    </w:p>
  </w:footnote>
  <w:footnote w:id="4">
    <w:p w:rsidR="00E14361" w:rsidRDefault="00E14361" w:rsidP="007E3FFE">
      <w:pPr>
        <w:pStyle w:val="FootnoteText"/>
        <w:rPr>
          <w:lang w:val="es-ES"/>
        </w:rPr>
      </w:pPr>
      <w:r>
        <w:rPr>
          <w:rStyle w:val="FootnoteReference"/>
          <w:lang w:val="es-ES"/>
        </w:rPr>
        <w:t>4</w:t>
      </w:r>
      <w:r>
        <w:rPr>
          <w:lang w:val="es-ES"/>
        </w:rPr>
        <w:tab/>
      </w:r>
      <w:r>
        <w:rPr>
          <w:color w:val="000000"/>
          <w:lang w:val="es-ES"/>
        </w:rPr>
        <w:t>La p.i.r.e. indicada en los Cuadros 8c y 8d del Apéndice </w:t>
      </w:r>
      <w:r>
        <w:rPr>
          <w:rStyle w:val="Appref"/>
          <w:b/>
          <w:bCs/>
          <w:color w:val="000000"/>
          <w:lang w:val="es-ES"/>
        </w:rPr>
        <w:t>7</w:t>
      </w:r>
      <w:r>
        <w:rPr>
          <w:color w:val="000000"/>
          <w:lang w:val="es-ES"/>
        </w:rPr>
        <w:t xml:space="preserve"> se obtiene a partir de una p.i.r.e. total de 55 dBW.</w:t>
      </w:r>
    </w:p>
  </w:footnote>
  <w:footnote w:id="5">
    <w:p w:rsidR="00E14361" w:rsidRDefault="00E14361" w:rsidP="00774C65">
      <w:pPr>
        <w:pStyle w:val="FootnoteText"/>
        <w:spacing w:before="0"/>
        <w:rPr>
          <w:lang w:val="es-ES"/>
        </w:rPr>
      </w:pPr>
      <w:r>
        <w:rPr>
          <w:rStyle w:val="FootnoteReference"/>
          <w:lang w:val="es-ES"/>
        </w:rPr>
        <w:t>5</w:t>
      </w:r>
      <w:r>
        <w:rPr>
          <w:lang w:val="es-ES"/>
        </w:rPr>
        <w:tab/>
      </w:r>
      <w:r>
        <w:rPr>
          <w:color w:val="000000"/>
          <w:lang w:val="es-ES"/>
        </w:rPr>
        <w:t>Respecto a la aplicación de esta disposición a las asignaciones del SRS sometidas en virtud de la Reso</w:t>
      </w:r>
      <w:r>
        <w:rPr>
          <w:color w:val="000000"/>
          <w:lang w:val="es-ES"/>
        </w:rPr>
        <w:softHyphen/>
        <w:t>lución </w:t>
      </w:r>
      <w:r>
        <w:rPr>
          <w:b/>
          <w:bCs/>
          <w:color w:val="000000"/>
          <w:lang w:val="es-ES"/>
        </w:rPr>
        <w:t>33</w:t>
      </w:r>
      <w:r>
        <w:rPr>
          <w:color w:val="000000"/>
          <w:lang w:val="es-ES"/>
        </w:rPr>
        <w:t xml:space="preserve"> </w:t>
      </w:r>
      <w:r w:rsidR="00774C65">
        <w:rPr>
          <w:b/>
          <w:color w:val="000000"/>
          <w:lang w:val="es-ES"/>
        </w:rPr>
        <w:t>(Rev.CMR-15</w:t>
      </w:r>
      <w:r>
        <w:rPr>
          <w:b/>
          <w:color w:val="000000"/>
          <w:lang w:val="es-ES"/>
        </w:rPr>
        <w:t>)</w:t>
      </w:r>
      <w:r>
        <w:rPr>
          <w:color w:val="000000"/>
          <w:lang w:val="es-ES"/>
        </w:rPr>
        <w:t>, véanse los comentarios de las Reglas de Procedimiento relativas al número </w:t>
      </w:r>
      <w:r>
        <w:rPr>
          <w:rStyle w:val="Artref"/>
          <w:b/>
          <w:bCs/>
          <w:color w:val="000000"/>
          <w:lang w:val="es-ES"/>
        </w:rPr>
        <w:t>23.13</w:t>
      </w:r>
      <w:r>
        <w:rPr>
          <w:color w:val="000000"/>
          <w:lang w:val="es-ES"/>
        </w:rPr>
        <w:t>.</w:t>
      </w:r>
    </w:p>
  </w:footnote>
  <w:footnote w:id="6">
    <w:p w:rsidR="00E14361" w:rsidRDefault="00E14361" w:rsidP="00F064A9">
      <w:pPr>
        <w:pStyle w:val="FootnoteText"/>
        <w:rPr>
          <w:lang w:val="es-ES"/>
        </w:rPr>
      </w:pPr>
      <w:r>
        <w:rPr>
          <w:rStyle w:val="FootnoteReference"/>
          <w:lang w:val="es-ES"/>
        </w:rPr>
        <w:t>6</w:t>
      </w:r>
      <w:r>
        <w:rPr>
          <w:lang w:val="es-ES"/>
        </w:rPr>
        <w:t xml:space="preserve"> </w:t>
      </w:r>
      <w:r>
        <w:rPr>
          <w:lang w:val="es-ES"/>
        </w:rPr>
        <w:tab/>
      </w:r>
      <w:r>
        <w:rPr>
          <w:color w:val="000000"/>
          <w:lang w:val="es-ES"/>
        </w:rPr>
        <w:t>En las bandas compartidas por los servicios de radiocomunicaciones terrenales y espaciales, la adminis</w:t>
      </w:r>
      <w:r>
        <w:rPr>
          <w:color w:val="000000"/>
          <w:lang w:val="es-ES"/>
        </w:rPr>
        <w:softHyphen/>
        <w:t>tración puede utilizar repetidores pasivos en el servicio fijo (sistemas de relevadores radioeléctricos). Si bien en general el repetidor pasivo está próximo a la estación transmisora o receptora, normalmente supone un impor</w:t>
      </w:r>
      <w:r>
        <w:rPr>
          <w:color w:val="000000"/>
          <w:lang w:val="es-ES"/>
        </w:rPr>
        <w:softHyphen/>
        <w:t>tante cambio en la orientación de la radiación máxima que puede afectar aún más a la órbita; por este motivo, la Junta decidió que se pedirá a las administraciones que notifiquen ambas partes en el enlace como estaciones separadas, es decir, estaciones transmisoras a repetidor pasivo y repetidor pasivo a estaciones receptoras, y que cada una de estas notificaciones, que contienen información de conformidad con el Apéndice </w:t>
      </w:r>
      <w:r>
        <w:rPr>
          <w:rStyle w:val="Appref"/>
          <w:b/>
          <w:bCs/>
          <w:color w:val="000000"/>
          <w:lang w:val="es-ES"/>
        </w:rPr>
        <w:t>4</w:t>
      </w:r>
      <w:r>
        <w:rPr>
          <w:color w:val="000000"/>
          <w:lang w:val="es-ES"/>
        </w:rPr>
        <w:t>, se trate como una asignación distinta que representa una estación distinta.</w:t>
      </w:r>
    </w:p>
  </w:footnote>
  <w:footnote w:id="7">
    <w:p w:rsidR="00E14361" w:rsidRDefault="00E14361" w:rsidP="007E3FFE">
      <w:pPr>
        <w:pStyle w:val="FootnoteText"/>
        <w:rPr>
          <w:lang w:val="es-ES"/>
        </w:rPr>
      </w:pPr>
      <w:r>
        <w:rPr>
          <w:rStyle w:val="FootnoteReference"/>
          <w:lang w:val="es-ES"/>
        </w:rPr>
        <w:t>7</w:t>
      </w:r>
      <w:r>
        <w:rPr>
          <w:lang w:val="es-ES"/>
        </w:rPr>
        <w:tab/>
      </w:r>
      <w:r>
        <w:rPr>
          <w:color w:val="000000"/>
          <w:lang w:val="es-ES"/>
        </w:rPr>
        <w:t>Véanse las Reglas de Procedimiento relativas al número </w:t>
      </w:r>
      <w:r>
        <w:rPr>
          <w:rStyle w:val="Artref"/>
          <w:b/>
          <w:bCs/>
          <w:color w:val="000000"/>
          <w:lang w:val="es-ES"/>
        </w:rPr>
        <w:t>21.11</w:t>
      </w:r>
      <w:r>
        <w:rPr>
          <w:color w:val="000000"/>
          <w:lang w:val="es-ES"/>
        </w:rPr>
        <w:t>.</w:t>
      </w:r>
    </w:p>
  </w:footnote>
  <w:footnote w:id="8">
    <w:p w:rsidR="00E14361" w:rsidRDefault="00E14361" w:rsidP="007E3FFE">
      <w:pPr>
        <w:pStyle w:val="FootnoteText"/>
        <w:rPr>
          <w:lang w:val="es-ES"/>
        </w:rPr>
      </w:pPr>
      <w:r>
        <w:rPr>
          <w:rStyle w:val="FootnoteReference"/>
          <w:lang w:val="es-ES"/>
        </w:rPr>
        <w:t>8</w:t>
      </w:r>
      <w:r>
        <w:rPr>
          <w:lang w:val="es-ES"/>
        </w:rPr>
        <w:tab/>
      </w:r>
      <w:r>
        <w:rPr>
          <w:color w:val="000000"/>
          <w:lang w:val="es-ES"/>
        </w:rPr>
        <w:t>Véanse las Reglas de Procedimiento relativas al número </w:t>
      </w:r>
      <w:r>
        <w:rPr>
          <w:rStyle w:val="Artref"/>
          <w:b/>
          <w:bCs/>
          <w:color w:val="000000"/>
          <w:lang w:val="es-ES"/>
        </w:rPr>
        <w:t>21.14</w:t>
      </w:r>
      <w:r>
        <w:rPr>
          <w:color w:val="000000"/>
          <w:lang w:val="es-ES"/>
        </w:rPr>
        <w:t>.</w:t>
      </w:r>
    </w:p>
  </w:footnote>
  <w:footnote w:id="9">
    <w:p w:rsidR="00E14361" w:rsidRDefault="00E14361" w:rsidP="007E3FFE">
      <w:pPr>
        <w:pStyle w:val="FootnoteText"/>
        <w:rPr>
          <w:lang w:val="es-ES"/>
        </w:rPr>
      </w:pPr>
      <w:r>
        <w:rPr>
          <w:rStyle w:val="FootnoteReference"/>
          <w:lang w:val="es-ES"/>
        </w:rPr>
        <w:t>9</w:t>
      </w:r>
      <w:r>
        <w:rPr>
          <w:lang w:val="es-ES"/>
        </w:rPr>
        <w:tab/>
      </w:r>
      <w:r>
        <w:rPr>
          <w:color w:val="000000"/>
          <w:lang w:val="es-ES"/>
        </w:rPr>
        <w:t xml:space="preserve">Cuando la Oficina no pueda publicar los datos de notificación con arreglo al número </w:t>
      </w:r>
      <w:r>
        <w:rPr>
          <w:rStyle w:val="Artref"/>
          <w:b/>
          <w:bCs/>
          <w:color w:val="000000"/>
          <w:lang w:val="es-ES"/>
        </w:rPr>
        <w:t>11.28</w:t>
      </w:r>
      <w:r>
        <w:rPr>
          <w:color w:val="000000"/>
          <w:lang w:val="es-ES"/>
        </w:rPr>
        <w:t xml:space="preserve"> en el plazo de tres años tras la fecha de notificación, tendrá en cuenta los comentarios recibidos tres meses después de la fecha de publicación.</w:t>
      </w:r>
    </w:p>
  </w:footnote>
  <w:footnote w:id="10">
    <w:p w:rsidR="00C124BB" w:rsidRPr="00C124BB" w:rsidRDefault="00C124BB">
      <w:pPr>
        <w:pStyle w:val="FootnoteText"/>
        <w:rPr>
          <w:lang w:val="es-ES_tradnl"/>
        </w:rPr>
      </w:pPr>
      <w:r w:rsidRPr="006B10B0">
        <w:rPr>
          <w:rStyle w:val="FootnoteReference"/>
          <w:lang w:val="es-ES_tradnl"/>
        </w:rPr>
        <w:t>*</w:t>
      </w:r>
      <w:r w:rsidRPr="006B10B0">
        <w:rPr>
          <w:lang w:val="es-ES_tradnl"/>
        </w:rPr>
        <w:t xml:space="preserve"> </w:t>
      </w:r>
      <w:r>
        <w:rPr>
          <w:lang w:val="es-ES_tradnl"/>
        </w:rPr>
        <w:tab/>
      </w:r>
      <w:r w:rsidRPr="00DA47A4">
        <w:rPr>
          <w:i/>
          <w:iCs/>
          <w:lang w:val="es-ES_tradnl"/>
        </w:rPr>
        <w:t>Nota de la Secretaría</w:t>
      </w:r>
      <w:r>
        <w:rPr>
          <w:lang w:val="es-ES_tradnl"/>
        </w:rPr>
        <w:t>: Esta Resolución ha sido abrogada por la CMR-95.</w:t>
      </w:r>
    </w:p>
  </w:footnote>
  <w:footnote w:id="11">
    <w:p w:rsidR="00E14361" w:rsidRPr="00782C00" w:rsidRDefault="00E14361" w:rsidP="00BF0573">
      <w:pPr>
        <w:pStyle w:val="FootnoteText"/>
        <w:rPr>
          <w:lang w:val="es-ES_tradnl"/>
        </w:rPr>
      </w:pPr>
      <w:r w:rsidRPr="005A408A">
        <w:rPr>
          <w:rStyle w:val="FootnoteReference"/>
          <w:lang w:val="es-ES_tradnl"/>
        </w:rPr>
        <w:t>*</w:t>
      </w:r>
      <w:r w:rsidRPr="00782C00">
        <w:rPr>
          <w:lang w:val="es-ES_tradnl"/>
        </w:rPr>
        <w:t xml:space="preserve"> </w:t>
      </w:r>
      <w:r>
        <w:rPr>
          <w:lang w:val="es-ES_tradnl"/>
        </w:rPr>
        <w:tab/>
      </w:r>
      <w:r w:rsidRPr="00A65E00">
        <w:rPr>
          <w:i/>
          <w:iCs/>
          <w:lang w:val="es-ES_tradnl"/>
        </w:rPr>
        <w:t>Nota de la Secretaría</w:t>
      </w:r>
      <w:r>
        <w:rPr>
          <w:lang w:val="es-ES_tradnl"/>
        </w:rPr>
        <w:t>: Esta Resolución ha sido abrogada por la CMR-95.</w:t>
      </w:r>
    </w:p>
  </w:footnote>
  <w:footnote w:id="12">
    <w:p w:rsidR="00587B8C" w:rsidRPr="00FB2095" w:rsidRDefault="00587B8C" w:rsidP="00EF41B3">
      <w:pPr>
        <w:pStyle w:val="FootnoteText"/>
        <w:rPr>
          <w:lang w:val="es-ES_tradnl"/>
        </w:rPr>
      </w:pPr>
      <w:r w:rsidRPr="006B10B0">
        <w:rPr>
          <w:rStyle w:val="FootnoteReference"/>
          <w:lang w:val="es-ES_tradnl"/>
        </w:rPr>
        <w:t>10</w:t>
      </w:r>
      <w:r w:rsidRPr="00FB2095">
        <w:rPr>
          <w:lang w:val="es-ES_tradnl"/>
        </w:rPr>
        <w:t xml:space="preserve"> </w:t>
      </w:r>
      <w:r>
        <w:rPr>
          <w:lang w:val="es-ES_tradnl"/>
        </w:rPr>
        <w:tab/>
      </w:r>
      <w:r w:rsidRPr="00685DBD">
        <w:rPr>
          <w:lang w:val="es-ES_tradnl"/>
        </w:rPr>
        <w:t>Igualmente aplicable al § 4.1.3 ó 4.1.3</w:t>
      </w:r>
      <w:r w:rsidRPr="00EF41B3">
        <w:rPr>
          <w:i/>
          <w:iCs/>
          <w:lang w:val="es-ES_tradnl"/>
        </w:rPr>
        <w:t>bis</w:t>
      </w:r>
      <w:r w:rsidRPr="00685DBD">
        <w:rPr>
          <w:lang w:val="es-ES_tradnl"/>
        </w:rPr>
        <w:t xml:space="preserve"> ó 4.2.6 ó 4.2.6</w:t>
      </w:r>
      <w:r w:rsidRPr="00EF41B3">
        <w:rPr>
          <w:i/>
          <w:iCs/>
          <w:lang w:val="es-ES_tradnl"/>
        </w:rPr>
        <w:t>bis</w:t>
      </w:r>
      <w:r w:rsidRPr="00685DBD">
        <w:rPr>
          <w:lang w:val="es-ES_tradnl"/>
        </w:rPr>
        <w:t xml:space="preserve"> del Artículo 4 de Apéndices </w:t>
      </w:r>
      <w:r w:rsidRPr="00685DBD">
        <w:rPr>
          <w:b/>
          <w:bCs/>
          <w:lang w:val="es-ES_tradnl"/>
        </w:rPr>
        <w:t>30</w:t>
      </w:r>
      <w:r w:rsidRPr="00685DBD">
        <w:rPr>
          <w:lang w:val="es-ES_tradnl"/>
        </w:rPr>
        <w:t xml:space="preserve"> y </w:t>
      </w:r>
      <w:r w:rsidRPr="00685DBD">
        <w:rPr>
          <w:b/>
          <w:bCs/>
          <w:lang w:val="es-ES_tradnl"/>
        </w:rPr>
        <w:t>30A</w:t>
      </w:r>
      <w:r w:rsidRPr="00685DBD">
        <w:rPr>
          <w:lang w:val="es-ES_tradnl"/>
        </w:rPr>
        <w:t xml:space="preserve"> y al § 6.1 ó 6.31</w:t>
      </w:r>
      <w:r w:rsidRPr="00EF41B3">
        <w:rPr>
          <w:i/>
          <w:iCs/>
          <w:lang w:val="es-ES_tradnl"/>
        </w:rPr>
        <w:t>bis</w:t>
      </w:r>
      <w:r w:rsidRPr="00685DBD">
        <w:rPr>
          <w:lang w:val="es-ES_tradnl"/>
        </w:rPr>
        <w:t xml:space="preserve">, y 6.33 del Artículo 6 del Apéndice </w:t>
      </w:r>
      <w:r w:rsidRPr="00685DBD">
        <w:rPr>
          <w:b/>
          <w:bCs/>
          <w:lang w:val="es-ES_tradnl"/>
        </w:rPr>
        <w:t>30B</w:t>
      </w:r>
      <w:r w:rsidRPr="00685DBD">
        <w:rPr>
          <w:lang w:val="es-ES_tradnl"/>
        </w:rPr>
        <w:t>.</w:t>
      </w:r>
    </w:p>
  </w:footnote>
  <w:footnote w:id="13">
    <w:p w:rsidR="00587B8C" w:rsidRPr="00FB2095" w:rsidRDefault="00587B8C">
      <w:pPr>
        <w:pStyle w:val="FootnoteText"/>
        <w:rPr>
          <w:lang w:val="es-ES_tradnl"/>
        </w:rPr>
      </w:pPr>
      <w:r w:rsidRPr="006B10B0">
        <w:rPr>
          <w:rStyle w:val="FootnoteReference"/>
          <w:lang w:val="es-ES_tradnl"/>
        </w:rPr>
        <w:t>11</w:t>
      </w:r>
      <w:r w:rsidRPr="00FB2095">
        <w:rPr>
          <w:lang w:val="es-ES_tradnl"/>
        </w:rPr>
        <w:t xml:space="preserve"> </w:t>
      </w:r>
      <w:r>
        <w:rPr>
          <w:lang w:val="es-ES_tradnl"/>
        </w:rPr>
        <w:tab/>
      </w:r>
      <w:r w:rsidRPr="00685DBD">
        <w:rPr>
          <w:lang w:val="es-ES_tradnl"/>
        </w:rPr>
        <w:t xml:space="preserve">Igualmente aplicable al § 5.3.1 del Artículo 5 de los Apéndices </w:t>
      </w:r>
      <w:r w:rsidRPr="00FB2095">
        <w:rPr>
          <w:b/>
          <w:bCs/>
          <w:lang w:val="es-ES_tradnl"/>
        </w:rPr>
        <w:t>30</w:t>
      </w:r>
      <w:r w:rsidRPr="00685DBD">
        <w:rPr>
          <w:lang w:val="es-ES_tradnl"/>
        </w:rPr>
        <w:t xml:space="preserve"> y </w:t>
      </w:r>
      <w:r w:rsidRPr="00FB2095">
        <w:rPr>
          <w:b/>
          <w:bCs/>
          <w:lang w:val="es-ES_tradnl"/>
        </w:rPr>
        <w:t>30A</w:t>
      </w:r>
      <w:r w:rsidRPr="00685DBD">
        <w:rPr>
          <w:lang w:val="es-ES_tradnl"/>
        </w:rPr>
        <w:t xml:space="preserve"> y al § 8.16 del Artículo 8 del Apéndice </w:t>
      </w:r>
      <w:r w:rsidRPr="00FB2095">
        <w:rPr>
          <w:b/>
          <w:bCs/>
          <w:lang w:val="es-ES_tradnl"/>
        </w:rPr>
        <w:t>30B</w:t>
      </w:r>
      <w:r w:rsidRPr="00685DBD">
        <w:rPr>
          <w:lang w:val="es-ES_tradnl"/>
        </w:rPr>
        <w:t>.</w:t>
      </w:r>
    </w:p>
  </w:footnote>
  <w:footnote w:id="14">
    <w:p w:rsidR="00587B8C" w:rsidRPr="00FB2095" w:rsidRDefault="00587B8C">
      <w:pPr>
        <w:pStyle w:val="FootnoteText"/>
        <w:rPr>
          <w:lang w:val="es-ES_tradnl"/>
        </w:rPr>
      </w:pPr>
      <w:r w:rsidRPr="006B10B0">
        <w:rPr>
          <w:rStyle w:val="FootnoteReference"/>
          <w:lang w:val="es-ES_tradnl"/>
        </w:rPr>
        <w:t>12</w:t>
      </w:r>
      <w:r w:rsidRPr="00FB2095">
        <w:rPr>
          <w:lang w:val="es-ES_tradnl"/>
        </w:rPr>
        <w:t xml:space="preserve"> </w:t>
      </w:r>
      <w:r>
        <w:rPr>
          <w:lang w:val="es-ES_tradnl"/>
        </w:rPr>
        <w:tab/>
      </w:r>
      <w:r w:rsidRPr="00685DBD">
        <w:rPr>
          <w:lang w:val="es-ES_tradnl"/>
        </w:rPr>
        <w:t>Igualmente aplicable al § 4.1.3 ó 4.1.3</w:t>
      </w:r>
      <w:r w:rsidRPr="00EF41B3">
        <w:rPr>
          <w:i/>
          <w:iCs/>
          <w:lang w:val="es-ES_tradnl"/>
        </w:rPr>
        <w:t>bis</w:t>
      </w:r>
      <w:r w:rsidRPr="00685DBD">
        <w:rPr>
          <w:lang w:val="es-ES_tradnl"/>
        </w:rPr>
        <w:t xml:space="preserve"> o 4.2.6 ó 4.2.6</w:t>
      </w:r>
      <w:r w:rsidRPr="00EF41B3">
        <w:rPr>
          <w:i/>
          <w:iCs/>
          <w:lang w:val="es-ES_tradnl"/>
        </w:rPr>
        <w:t>bis</w:t>
      </w:r>
      <w:r w:rsidRPr="00685DBD">
        <w:rPr>
          <w:lang w:val="es-ES_tradnl"/>
        </w:rPr>
        <w:t xml:space="preserve"> del Artículo 4 de los Apéndices </w:t>
      </w:r>
      <w:r w:rsidRPr="00FB2095">
        <w:rPr>
          <w:b/>
          <w:bCs/>
          <w:lang w:val="es-ES_tradnl"/>
        </w:rPr>
        <w:t>30</w:t>
      </w:r>
      <w:r w:rsidRPr="00685DBD">
        <w:rPr>
          <w:lang w:val="es-ES_tradnl"/>
        </w:rPr>
        <w:t xml:space="preserve"> y </w:t>
      </w:r>
      <w:r w:rsidRPr="00FB2095">
        <w:rPr>
          <w:b/>
          <w:bCs/>
          <w:lang w:val="es-ES_tradnl"/>
        </w:rPr>
        <w:t>30A</w:t>
      </w:r>
      <w:r w:rsidRPr="00685DBD">
        <w:rPr>
          <w:lang w:val="es-ES_tradnl"/>
        </w:rPr>
        <w:t xml:space="preserve"> y al §</w:t>
      </w:r>
      <w:r>
        <w:rPr>
          <w:lang w:val="es-ES_tradnl"/>
        </w:rPr>
        <w:t> </w:t>
      </w:r>
      <w:r w:rsidRPr="00685DBD">
        <w:rPr>
          <w:lang w:val="es-ES_tradnl"/>
        </w:rPr>
        <w:t xml:space="preserve">6.33 del Artículo 6 del Apéndice </w:t>
      </w:r>
      <w:r w:rsidRPr="00FB2095">
        <w:rPr>
          <w:b/>
          <w:bCs/>
          <w:lang w:val="es-ES_tradnl"/>
        </w:rPr>
        <w:t>30B</w:t>
      </w:r>
      <w:r w:rsidRPr="00685DBD">
        <w:rPr>
          <w:lang w:val="es-ES_tradnl"/>
        </w:rPr>
        <w:t>.</w:t>
      </w:r>
    </w:p>
  </w:footnote>
  <w:footnote w:id="15">
    <w:p w:rsidR="00E40C2F" w:rsidRPr="00E40C2F" w:rsidRDefault="00E40C2F" w:rsidP="00E40C2F">
      <w:pPr>
        <w:pStyle w:val="FootnoteText"/>
        <w:rPr>
          <w:rFonts w:asciiTheme="majorBidi" w:hAnsiTheme="majorBidi" w:cstheme="majorBidi"/>
          <w:lang w:val="es-ES_tradnl"/>
        </w:rPr>
      </w:pPr>
      <w:r w:rsidRPr="00E40C2F">
        <w:rPr>
          <w:rStyle w:val="FootnoteReference"/>
          <w:rFonts w:asciiTheme="majorBidi" w:hAnsiTheme="majorBidi" w:cstheme="majorBidi"/>
          <w:lang w:val="es-ES_tradnl"/>
        </w:rPr>
        <w:t>*</w:t>
      </w:r>
      <w:r w:rsidRPr="00E40C2F">
        <w:rPr>
          <w:rFonts w:asciiTheme="majorBidi" w:hAnsiTheme="majorBidi" w:cstheme="majorBidi"/>
          <w:lang w:val="es-ES_tradnl"/>
        </w:rPr>
        <w:t xml:space="preserve"> </w:t>
      </w:r>
      <w:r w:rsidRPr="00E40C2F">
        <w:rPr>
          <w:rFonts w:asciiTheme="majorBidi" w:hAnsiTheme="majorBidi" w:cstheme="majorBidi"/>
          <w:lang w:val="es-ES_tradnl"/>
        </w:rPr>
        <w:tab/>
      </w:r>
      <w:r w:rsidRPr="00E40C2F">
        <w:rPr>
          <w:rFonts w:asciiTheme="majorBidi" w:hAnsiTheme="majorBidi" w:cstheme="majorBidi"/>
          <w:i/>
          <w:iCs/>
          <w:lang w:val="es-ES_tradnl"/>
        </w:rPr>
        <w:t>Nota de la Secretaría:</w:t>
      </w:r>
      <w:r w:rsidRPr="00E40C2F">
        <w:rPr>
          <w:rFonts w:asciiTheme="majorBidi" w:hAnsiTheme="majorBidi" w:cstheme="majorBidi"/>
          <w:lang w:val="es-ES_tradnl"/>
        </w:rPr>
        <w:t xml:space="preserve"> Esta Resolución ha sido revisada por la CMR-15.</w:t>
      </w:r>
    </w:p>
  </w:footnote>
  <w:footnote w:id="16">
    <w:p w:rsidR="00E40C2F" w:rsidRPr="00E40C2F" w:rsidRDefault="00E40C2F" w:rsidP="00E40C2F">
      <w:pPr>
        <w:pStyle w:val="FootnoteText"/>
        <w:rPr>
          <w:rFonts w:asciiTheme="majorBidi" w:hAnsiTheme="majorBidi" w:cstheme="majorBidi"/>
          <w:lang w:val="es-ES_tradnl"/>
        </w:rPr>
      </w:pPr>
      <w:r w:rsidRPr="00E40C2F">
        <w:rPr>
          <w:rStyle w:val="FootnoteReference"/>
          <w:rFonts w:asciiTheme="majorBidi" w:hAnsiTheme="majorBidi" w:cstheme="majorBidi"/>
          <w:lang w:val="es-ES_tradnl"/>
        </w:rPr>
        <w:t>**</w:t>
      </w:r>
      <w:r w:rsidRPr="00E40C2F">
        <w:rPr>
          <w:rFonts w:asciiTheme="majorBidi" w:hAnsiTheme="majorBidi" w:cstheme="majorBidi"/>
          <w:lang w:val="es-ES_tradnl"/>
        </w:rPr>
        <w:t xml:space="preserve"> </w:t>
      </w:r>
      <w:r w:rsidRPr="00E40C2F">
        <w:rPr>
          <w:rFonts w:asciiTheme="majorBidi" w:hAnsiTheme="majorBidi" w:cstheme="majorBidi"/>
          <w:lang w:val="es-ES_tradnl"/>
        </w:rPr>
        <w:tab/>
      </w:r>
      <w:r w:rsidRPr="00E40C2F">
        <w:rPr>
          <w:rFonts w:asciiTheme="majorBidi" w:hAnsiTheme="majorBidi" w:cstheme="majorBidi"/>
          <w:i/>
          <w:iCs/>
          <w:lang w:val="es-ES_tradnl"/>
        </w:rPr>
        <w:t>Nota de la Secretaría:</w:t>
      </w:r>
      <w:r w:rsidRPr="00E40C2F">
        <w:rPr>
          <w:rFonts w:asciiTheme="majorBidi" w:hAnsiTheme="majorBidi" w:cstheme="majorBidi"/>
          <w:lang w:val="es-ES_tradnl"/>
        </w:rPr>
        <w:t xml:space="preserve"> La CMR-15 modificó asimismo las disposiciones del número </w:t>
      </w:r>
      <w:r w:rsidRPr="00E40C2F">
        <w:rPr>
          <w:rFonts w:asciiTheme="majorBidi" w:hAnsiTheme="majorBidi" w:cstheme="majorBidi"/>
          <w:b/>
          <w:bCs/>
          <w:lang w:val="es-ES_tradnl"/>
        </w:rPr>
        <w:t>11.49</w:t>
      </w:r>
      <w:r w:rsidRPr="00E40C2F">
        <w:rPr>
          <w:rFonts w:asciiTheme="majorBidi" w:hAnsiTheme="majorBidi" w:cstheme="majorBidi"/>
          <w:lang w:val="es-ES_tradnl"/>
        </w:rPr>
        <w:t xml:space="preserve">. En consecuencia, se entiende que el «periodo de tres años contados desde la fecha de suspensión» hace referencia al periodo máximo de suspensión en virtud del número </w:t>
      </w:r>
      <w:r w:rsidRPr="00E40C2F">
        <w:rPr>
          <w:rFonts w:asciiTheme="majorBidi" w:hAnsiTheme="majorBidi" w:cstheme="majorBidi"/>
          <w:b/>
          <w:bCs/>
          <w:lang w:val="es-ES_tradnl"/>
        </w:rPr>
        <w:t>11.49</w:t>
      </w:r>
      <w:r w:rsidRPr="00E40C2F">
        <w:rPr>
          <w:rFonts w:asciiTheme="majorBidi" w:hAnsiTheme="majorBidi" w:cstheme="majorBidi"/>
          <w:lang w:val="es-ES_tradnl"/>
        </w:rPr>
        <w:t>.</w:t>
      </w:r>
    </w:p>
  </w:footnote>
  <w:footnote w:id="17">
    <w:p w:rsidR="003F178D" w:rsidRPr="00653B0A" w:rsidRDefault="003F178D" w:rsidP="00653B0A">
      <w:pPr>
        <w:pStyle w:val="FootnoteText"/>
        <w:rPr>
          <w:lang w:val="es-ES_tradnl"/>
        </w:rPr>
      </w:pPr>
      <w:r w:rsidRPr="003F178D">
        <w:rPr>
          <w:rStyle w:val="FootnoteReference"/>
          <w:lang w:val="es-ES_tradnl"/>
        </w:rPr>
        <w:t>13</w:t>
      </w:r>
      <w:r w:rsidRPr="00653B0A">
        <w:rPr>
          <w:lang w:val="es-ES_tradnl"/>
        </w:rPr>
        <w:t xml:space="preserve"> </w:t>
      </w:r>
      <w:r w:rsidRPr="00653B0A">
        <w:rPr>
          <w:lang w:val="es-ES_tradnl"/>
        </w:rPr>
        <w:tab/>
        <w:t xml:space="preserve">Igualmente aplicable a los §§5.2.10 y 5.2.11 del Artículo 5 de los Apéndices </w:t>
      </w:r>
      <w:r w:rsidRPr="00653B0A">
        <w:rPr>
          <w:b/>
          <w:bCs/>
          <w:lang w:val="es-ES_tradnl"/>
        </w:rPr>
        <w:t>30</w:t>
      </w:r>
      <w:r w:rsidRPr="00653B0A">
        <w:rPr>
          <w:lang w:val="es-ES_tradnl"/>
        </w:rPr>
        <w:t xml:space="preserve"> y </w:t>
      </w:r>
      <w:r w:rsidRPr="00653B0A">
        <w:rPr>
          <w:b/>
          <w:bCs/>
          <w:lang w:val="es-ES_tradnl"/>
        </w:rPr>
        <w:t>30A</w:t>
      </w:r>
      <w:r w:rsidRPr="00653B0A">
        <w:rPr>
          <w:lang w:val="es-ES_tradnl"/>
        </w:rPr>
        <w:t xml:space="preserve">, y al §8.17 del Artículo 8 del Apéndice </w:t>
      </w:r>
      <w:r w:rsidRPr="00FD22D8">
        <w:rPr>
          <w:b/>
          <w:bCs/>
          <w:lang w:val="es-ES_tradnl"/>
        </w:rPr>
        <w:t>30B</w:t>
      </w:r>
      <w:r w:rsidRPr="00653B0A">
        <w:rPr>
          <w:lang w:val="es-ES_tradn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41FDD" w:rsidTr="00E41FDD">
      <w:trPr>
        <w:cantSplit/>
      </w:trPr>
      <w:tc>
        <w:tcPr>
          <w:tcW w:w="1701" w:type="dxa"/>
          <w:tcBorders>
            <w:top w:val="single" w:sz="6" w:space="0" w:color="auto"/>
            <w:left w:val="single" w:sz="6" w:space="0" w:color="auto"/>
            <w:bottom w:val="single" w:sz="6" w:space="0" w:color="auto"/>
            <w:right w:val="single" w:sz="6" w:space="0" w:color="auto"/>
          </w:tcBorders>
        </w:tcPr>
        <w:p w:rsidR="00E41FDD" w:rsidRDefault="00E41FDD"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E41FDD" w:rsidRDefault="00E41FDD"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3A212D">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1D346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41FDD" w:rsidRPr="0062524A" w:rsidRDefault="00E41FDD"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1D3468">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41FDD" w:rsidRDefault="00E41FDD" w:rsidP="00E41FDD">
          <w:pPr>
            <w:pStyle w:val="HeaderRegProc"/>
            <w:rPr>
              <w:color w:val="000000"/>
              <w:lang w:val="fr-CH"/>
            </w:rPr>
          </w:pPr>
          <w:r>
            <w:rPr>
              <w:color w:val="000000"/>
              <w:lang w:val="fr-CH"/>
            </w:rPr>
            <w:t>rev. -</w:t>
          </w:r>
        </w:p>
      </w:tc>
    </w:tr>
  </w:tbl>
  <w:p w:rsidR="00E41FDD" w:rsidRDefault="00E41FDD">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14361">
      <w:trPr>
        <w:cantSplit/>
        <w:jc w:val="right"/>
      </w:trPr>
      <w:tc>
        <w:tcPr>
          <w:tcW w:w="1701" w:type="dxa"/>
          <w:tcBorders>
            <w:top w:val="single" w:sz="6" w:space="0" w:color="auto"/>
            <w:left w:val="single" w:sz="6" w:space="0" w:color="auto"/>
            <w:bottom w:val="single" w:sz="6" w:space="0" w:color="auto"/>
            <w:right w:val="single" w:sz="6" w:space="0" w:color="auto"/>
          </w:tcBorders>
        </w:tcPr>
        <w:p w:rsidR="00E14361" w:rsidRPr="00782C00" w:rsidRDefault="00E14361">
          <w:pPr>
            <w:pStyle w:val="HeaderRegProc"/>
            <w:rPr>
              <w:lang w:val="en-US"/>
            </w:rPr>
          </w:pPr>
          <w:r w:rsidRPr="00782C00">
            <w:rPr>
              <w:lang w:val="en-US"/>
            </w:rPr>
            <w:t xml:space="preserve">Parte </w:t>
          </w:r>
          <w:r>
            <w:fldChar w:fldCharType="begin"/>
          </w:r>
          <w:r w:rsidRPr="00782C00">
            <w:rPr>
              <w:lang w:val="en-US"/>
            </w:rPr>
            <w:instrText>styleref href</w:instrText>
          </w:r>
          <w:r>
            <w:fldChar w:fldCharType="separate"/>
          </w:r>
          <w:r w:rsidR="003A212D">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E14361" w:rsidRDefault="001D3468">
          <w:pPr>
            <w:pStyle w:val="HeaderRegProc"/>
            <w:rPr>
              <w:lang w:val="fr-FR"/>
            </w:rPr>
          </w:pPr>
          <w:r>
            <w:fldChar w:fldCharType="begin"/>
          </w:r>
          <w:r>
            <w:instrText xml:space="preserve"> DOCPROPERTY "Header" \* MERGEFORMAT </w:instrText>
          </w:r>
          <w:r>
            <w:fldChar w:fldCharType="separate"/>
          </w:r>
          <w:r w:rsidR="003A212D">
            <w:t>AR</w:t>
          </w:r>
          <w:r>
            <w:fldChar w:fldCharType="end"/>
          </w:r>
          <w:r w:rsidR="00E14361">
            <w:fldChar w:fldCharType="begin"/>
          </w:r>
          <w:r w:rsidR="00E14361">
            <w:instrText>styleref href2</w:instrText>
          </w:r>
          <w:r w:rsidR="00E14361">
            <w:fldChar w:fldCharType="separate"/>
          </w:r>
          <w:r w:rsidR="003A212D">
            <w:rPr>
              <w:noProof/>
            </w:rPr>
            <w:t>11</w:t>
          </w:r>
          <w:r w:rsidR="00E14361">
            <w:fldChar w:fldCharType="end"/>
          </w:r>
        </w:p>
      </w:tc>
      <w:tc>
        <w:tcPr>
          <w:tcW w:w="1701" w:type="dxa"/>
          <w:tcBorders>
            <w:top w:val="single" w:sz="6" w:space="0" w:color="auto"/>
            <w:left w:val="single" w:sz="6" w:space="0" w:color="auto"/>
            <w:bottom w:val="single" w:sz="6" w:space="0" w:color="auto"/>
            <w:right w:val="single" w:sz="6" w:space="0" w:color="auto"/>
          </w:tcBorders>
        </w:tcPr>
        <w:p w:rsidR="00E14361" w:rsidRDefault="00E14361">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14361" w:rsidRDefault="00E14361">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3A212D">
            <w:rPr>
              <w:lang w:val="fr-CH"/>
            </w:rPr>
            <w:t>-</w:t>
          </w:r>
          <w:r>
            <w:fldChar w:fldCharType="end"/>
          </w:r>
        </w:p>
      </w:tc>
    </w:tr>
  </w:tbl>
  <w:p w:rsidR="00E14361" w:rsidRDefault="00E14361">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361" w:rsidRDefault="00E143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2524A">
      <w:trPr>
        <w:cantSplit/>
        <w:jc w:val="right"/>
      </w:trPr>
      <w:tc>
        <w:tcPr>
          <w:tcW w:w="1701" w:type="dxa"/>
          <w:tcBorders>
            <w:top w:val="single" w:sz="6" w:space="0" w:color="auto"/>
            <w:left w:val="single" w:sz="6" w:space="0" w:color="auto"/>
            <w:bottom w:val="single" w:sz="6" w:space="0" w:color="auto"/>
            <w:right w:val="single" w:sz="6" w:space="0" w:color="auto"/>
          </w:tcBorders>
        </w:tcPr>
        <w:p w:rsidR="0062524A" w:rsidRDefault="0062524A">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62524A" w:rsidRDefault="0062524A">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3A212D">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1D346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62524A" w:rsidRPr="0062524A" w:rsidRDefault="0062524A"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1D3468">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2524A" w:rsidRDefault="0062524A" w:rsidP="00D70EFE">
          <w:pPr>
            <w:pStyle w:val="HeaderRegProc"/>
            <w:rPr>
              <w:color w:val="000000"/>
              <w:lang w:val="fr-CH"/>
            </w:rPr>
          </w:pPr>
          <w:r>
            <w:rPr>
              <w:color w:val="000000"/>
              <w:lang w:val="fr-CH"/>
            </w:rPr>
            <w:t xml:space="preserve">rev. </w:t>
          </w:r>
          <w:r w:rsidR="00D70EFE">
            <w:rPr>
              <w:color w:val="000000"/>
              <w:lang w:val="fr-CH"/>
            </w:rPr>
            <w:t>-</w:t>
          </w:r>
        </w:p>
      </w:tc>
    </w:tr>
  </w:tbl>
  <w:p w:rsidR="0062524A" w:rsidRDefault="0062524A">
    <w:pPr>
      <w:pStyle w:val="Header"/>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97C02" w:rsidTr="00E41FDD">
      <w:trPr>
        <w:cantSplit/>
      </w:trPr>
      <w:tc>
        <w:tcPr>
          <w:tcW w:w="1701" w:type="dxa"/>
          <w:tcBorders>
            <w:top w:val="single" w:sz="6" w:space="0" w:color="auto"/>
            <w:left w:val="single" w:sz="6" w:space="0" w:color="auto"/>
            <w:bottom w:val="single" w:sz="6" w:space="0" w:color="auto"/>
            <w:right w:val="single" w:sz="6" w:space="0" w:color="auto"/>
          </w:tcBorders>
        </w:tcPr>
        <w:p w:rsidR="00B97C02" w:rsidRDefault="00B97C02"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B97C02" w:rsidRDefault="00B97C02"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3A212D">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1D346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B97C02" w:rsidRPr="0062524A" w:rsidRDefault="00B97C02"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1D3468">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97C02" w:rsidRDefault="00B97C02" w:rsidP="00E41FDD">
          <w:pPr>
            <w:pStyle w:val="HeaderRegProc"/>
            <w:rPr>
              <w:color w:val="000000"/>
              <w:lang w:val="fr-CH"/>
            </w:rPr>
          </w:pPr>
          <w:r>
            <w:rPr>
              <w:color w:val="000000"/>
              <w:lang w:val="fr-CH"/>
            </w:rPr>
            <w:t>rev.1</w:t>
          </w:r>
        </w:p>
      </w:tc>
    </w:tr>
  </w:tbl>
  <w:p w:rsidR="00B97C02" w:rsidRDefault="00B97C0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97C02" w:rsidTr="00E41FDD">
      <w:trPr>
        <w:cantSplit/>
      </w:trPr>
      <w:tc>
        <w:tcPr>
          <w:tcW w:w="1701" w:type="dxa"/>
          <w:tcBorders>
            <w:top w:val="single" w:sz="6" w:space="0" w:color="auto"/>
            <w:left w:val="single" w:sz="6" w:space="0" w:color="auto"/>
            <w:bottom w:val="single" w:sz="6" w:space="0" w:color="auto"/>
            <w:right w:val="single" w:sz="6" w:space="0" w:color="auto"/>
          </w:tcBorders>
        </w:tcPr>
        <w:p w:rsidR="00B97C02" w:rsidRDefault="00B97C02"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B97C02" w:rsidRDefault="00B97C02"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3A212D">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1D346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B97C02" w:rsidRPr="0062524A" w:rsidRDefault="00B97C02"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1D3468">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97C02" w:rsidRDefault="00B97C02" w:rsidP="00E41FDD">
          <w:pPr>
            <w:pStyle w:val="HeaderRegProc"/>
            <w:rPr>
              <w:color w:val="000000"/>
              <w:lang w:val="fr-CH"/>
            </w:rPr>
          </w:pPr>
          <w:r>
            <w:rPr>
              <w:color w:val="000000"/>
              <w:lang w:val="fr-CH"/>
            </w:rPr>
            <w:t>rev.-</w:t>
          </w:r>
        </w:p>
      </w:tc>
    </w:tr>
  </w:tbl>
  <w:p w:rsidR="00B97C02" w:rsidRDefault="00B97C0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40C2F" w:rsidTr="00E41FDD">
      <w:trPr>
        <w:cantSplit/>
      </w:trPr>
      <w:tc>
        <w:tcPr>
          <w:tcW w:w="1701" w:type="dxa"/>
          <w:tcBorders>
            <w:top w:val="single" w:sz="6" w:space="0" w:color="auto"/>
            <w:left w:val="single" w:sz="6" w:space="0" w:color="auto"/>
            <w:bottom w:val="single" w:sz="6" w:space="0" w:color="auto"/>
            <w:right w:val="single" w:sz="6" w:space="0" w:color="auto"/>
          </w:tcBorders>
        </w:tcPr>
        <w:p w:rsidR="00E40C2F" w:rsidRDefault="00E40C2F"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E40C2F" w:rsidRDefault="00E40C2F"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1D346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40C2F" w:rsidRPr="0062524A" w:rsidRDefault="00E40C2F"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1D3468">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40C2F" w:rsidRPr="00E40C2F" w:rsidRDefault="00E40C2F" w:rsidP="00E40C2F">
          <w:pPr>
            <w:pStyle w:val="HeaderRegProc"/>
            <w:rPr>
              <w:color w:val="000000"/>
              <w:lang w:val="en-GB"/>
            </w:rPr>
          </w:pPr>
          <w:r w:rsidRPr="00E40C2F">
            <w:rPr>
              <w:color w:val="000000"/>
              <w:lang w:val="en-GB"/>
            </w:rPr>
            <w:t>rev. 2</w:t>
          </w:r>
        </w:p>
      </w:tc>
    </w:tr>
  </w:tbl>
  <w:p w:rsidR="00E40C2F" w:rsidRDefault="00E40C2F">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40C2F">
      <w:trPr>
        <w:cantSplit/>
        <w:jc w:val="right"/>
      </w:trPr>
      <w:tc>
        <w:tcPr>
          <w:tcW w:w="1701" w:type="dxa"/>
          <w:tcBorders>
            <w:top w:val="single" w:sz="6" w:space="0" w:color="auto"/>
            <w:left w:val="single" w:sz="6" w:space="0" w:color="auto"/>
            <w:bottom w:val="single" w:sz="6" w:space="0" w:color="auto"/>
            <w:right w:val="single" w:sz="6" w:space="0" w:color="auto"/>
          </w:tcBorders>
        </w:tcPr>
        <w:p w:rsidR="00E40C2F" w:rsidRDefault="00E40C2F">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E40C2F" w:rsidRDefault="00E40C2F">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1D346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40C2F" w:rsidRPr="0062524A" w:rsidRDefault="00E40C2F" w:rsidP="00E40C2F">
          <w:pPr>
            <w:pStyle w:val="HeaderRegProc"/>
            <w:rPr>
              <w:i/>
              <w:iCs/>
              <w:color w:val="000000"/>
              <w:lang w:val="fr-CH"/>
            </w:rPr>
          </w:pPr>
          <w:r>
            <w:rPr>
              <w:color w:val="000000"/>
            </w:rPr>
            <w:t>página 28</w:t>
          </w:r>
          <w:r w:rsidRPr="00E40C2F">
            <w:rPr>
              <w:i/>
              <w:iCs/>
              <w:color w:val="000000"/>
            </w:rPr>
            <w:t>bis</w:t>
          </w:r>
        </w:p>
      </w:tc>
      <w:tc>
        <w:tcPr>
          <w:tcW w:w="1701" w:type="dxa"/>
          <w:tcBorders>
            <w:top w:val="single" w:sz="6" w:space="0" w:color="auto"/>
            <w:left w:val="single" w:sz="6" w:space="0" w:color="auto"/>
            <w:bottom w:val="single" w:sz="6" w:space="0" w:color="auto"/>
            <w:right w:val="single" w:sz="6" w:space="0" w:color="auto"/>
          </w:tcBorders>
        </w:tcPr>
        <w:p w:rsidR="00E40C2F" w:rsidRDefault="00E40C2F" w:rsidP="00D70EFE">
          <w:pPr>
            <w:pStyle w:val="HeaderRegProc"/>
            <w:rPr>
              <w:color w:val="000000"/>
              <w:lang w:val="fr-CH"/>
            </w:rPr>
          </w:pPr>
          <w:r>
            <w:rPr>
              <w:color w:val="000000"/>
              <w:lang w:val="fr-CH"/>
            </w:rPr>
            <w:t>rev. 2</w:t>
          </w:r>
        </w:p>
      </w:tc>
    </w:tr>
  </w:tbl>
  <w:p w:rsidR="00E40C2F" w:rsidRDefault="00E40C2F">
    <w:pPr>
      <w:pStyle w:val="Header"/>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40C2F" w:rsidTr="00E40C2F">
      <w:trPr>
        <w:cantSplit/>
      </w:trPr>
      <w:tc>
        <w:tcPr>
          <w:tcW w:w="1701" w:type="dxa"/>
          <w:tcBorders>
            <w:top w:val="single" w:sz="6" w:space="0" w:color="auto"/>
            <w:left w:val="single" w:sz="6" w:space="0" w:color="auto"/>
            <w:bottom w:val="single" w:sz="6" w:space="0" w:color="auto"/>
            <w:right w:val="single" w:sz="6" w:space="0" w:color="auto"/>
          </w:tcBorders>
        </w:tcPr>
        <w:p w:rsidR="00E40C2F" w:rsidRDefault="00E40C2F"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E40C2F" w:rsidRDefault="00E40C2F"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1D346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40C2F" w:rsidRPr="0062524A" w:rsidRDefault="00E40C2F"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1D3468">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40C2F" w:rsidRPr="00E40C2F" w:rsidRDefault="00E40C2F" w:rsidP="00E40C2F">
          <w:pPr>
            <w:pStyle w:val="HeaderRegProc"/>
            <w:rPr>
              <w:color w:val="000000"/>
              <w:lang w:val="en-GB"/>
            </w:rPr>
          </w:pPr>
          <w:r w:rsidRPr="00E40C2F">
            <w:rPr>
              <w:color w:val="000000"/>
              <w:lang w:val="en-GB"/>
            </w:rPr>
            <w:t xml:space="preserve">rev. </w:t>
          </w:r>
          <w:r>
            <w:rPr>
              <w:color w:val="000000"/>
              <w:lang w:val="en-GB"/>
            </w:rPr>
            <w:t>-</w:t>
          </w:r>
        </w:p>
      </w:tc>
    </w:tr>
  </w:tbl>
  <w:p w:rsidR="00E40C2F" w:rsidRDefault="00E40C2F">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40C2F">
      <w:trPr>
        <w:cantSplit/>
        <w:jc w:val="right"/>
      </w:trPr>
      <w:tc>
        <w:tcPr>
          <w:tcW w:w="1701" w:type="dxa"/>
          <w:tcBorders>
            <w:top w:val="single" w:sz="6" w:space="0" w:color="auto"/>
            <w:left w:val="single" w:sz="6" w:space="0" w:color="auto"/>
            <w:bottom w:val="single" w:sz="6" w:space="0" w:color="auto"/>
            <w:right w:val="single" w:sz="6" w:space="0" w:color="auto"/>
          </w:tcBorders>
        </w:tcPr>
        <w:p w:rsidR="00E40C2F" w:rsidRDefault="00E40C2F">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E40C2F" w:rsidRDefault="00E40C2F">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1D346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40C2F" w:rsidRPr="0062524A" w:rsidRDefault="001D3468" w:rsidP="001D3468">
          <w:pPr>
            <w:pStyle w:val="HeaderRegProc"/>
            <w:rPr>
              <w:i/>
              <w:iCs/>
              <w:color w:val="000000"/>
              <w:lang w:val="fr-CH"/>
            </w:rPr>
          </w:pPr>
          <w:r>
            <w:rPr>
              <w:lang w:val="fr-FR"/>
            </w:rPr>
            <w:t>pá</w:t>
          </w:r>
          <w:r>
            <w:rPr>
              <w:lang w:val="fr-FR"/>
            </w:rPr>
            <w:t>g</w:t>
          </w:r>
          <w:r>
            <w:rPr>
              <w:lang w:val="fr-FR"/>
            </w:rPr>
            <w:t>ina</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40C2F" w:rsidRDefault="00E40C2F" w:rsidP="00E40C2F">
          <w:pPr>
            <w:pStyle w:val="HeaderRegProc"/>
            <w:rPr>
              <w:color w:val="000000"/>
              <w:lang w:val="fr-CH"/>
            </w:rPr>
          </w:pPr>
          <w:r>
            <w:rPr>
              <w:color w:val="000000"/>
              <w:lang w:val="fr-CH"/>
            </w:rPr>
            <w:t>rev. -</w:t>
          </w:r>
        </w:p>
      </w:tc>
    </w:tr>
  </w:tbl>
  <w:p w:rsidR="00E40C2F" w:rsidRDefault="00E40C2F">
    <w:pPr>
      <w:pStyle w:val="Header"/>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14361">
      <w:trPr>
        <w:cantSplit/>
      </w:trPr>
      <w:tc>
        <w:tcPr>
          <w:tcW w:w="1701" w:type="dxa"/>
          <w:tcBorders>
            <w:top w:val="single" w:sz="6" w:space="0" w:color="auto"/>
            <w:left w:val="single" w:sz="6" w:space="0" w:color="auto"/>
            <w:bottom w:val="single" w:sz="6" w:space="0" w:color="auto"/>
            <w:right w:val="single" w:sz="6" w:space="0" w:color="auto"/>
          </w:tcBorders>
        </w:tcPr>
        <w:p w:rsidR="00E14361" w:rsidRPr="00782C00" w:rsidRDefault="00E14361">
          <w:pPr>
            <w:pStyle w:val="HeaderRegProc"/>
            <w:rPr>
              <w:lang w:val="en-US"/>
            </w:rPr>
          </w:pPr>
          <w:r w:rsidRPr="00782C00">
            <w:rPr>
              <w:lang w:val="en-US"/>
            </w:rPr>
            <w:t xml:space="preserve">Parte </w:t>
          </w:r>
          <w:r>
            <w:fldChar w:fldCharType="begin"/>
          </w:r>
          <w:r w:rsidRPr="00782C00">
            <w:rPr>
              <w:lang w:val="en-US"/>
            </w:rPr>
            <w:instrText>styleref href</w:instrText>
          </w:r>
          <w:r>
            <w:fldChar w:fldCharType="separate"/>
          </w:r>
          <w:r w:rsidR="003A212D">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E14361" w:rsidRDefault="001D3468">
          <w:pPr>
            <w:pStyle w:val="HeaderRegProc"/>
            <w:rPr>
              <w:lang w:val="fr-FR"/>
            </w:rPr>
          </w:pPr>
          <w:r>
            <w:fldChar w:fldCharType="begin"/>
          </w:r>
          <w:r>
            <w:instrText xml:space="preserve"> DOCPROPERTY "Header" \* MERGEFORMAT </w:instrText>
          </w:r>
          <w:r>
            <w:fldChar w:fldCharType="separate"/>
          </w:r>
          <w:r w:rsidR="003A212D">
            <w:t>AR</w:t>
          </w:r>
          <w:r>
            <w:fldChar w:fldCharType="end"/>
          </w:r>
          <w:r w:rsidR="00E14361">
            <w:fldChar w:fldCharType="begin"/>
          </w:r>
          <w:r w:rsidR="00E14361">
            <w:instrText>styleref href2</w:instrText>
          </w:r>
          <w:r w:rsidR="00E14361">
            <w:fldChar w:fldCharType="separate"/>
          </w:r>
          <w:r w:rsidR="003A212D">
            <w:rPr>
              <w:noProof/>
            </w:rPr>
            <w:t>11</w:t>
          </w:r>
          <w:r w:rsidR="00E14361">
            <w:fldChar w:fldCharType="end"/>
          </w:r>
        </w:p>
      </w:tc>
      <w:tc>
        <w:tcPr>
          <w:tcW w:w="1701" w:type="dxa"/>
          <w:tcBorders>
            <w:top w:val="single" w:sz="6" w:space="0" w:color="auto"/>
            <w:left w:val="single" w:sz="6" w:space="0" w:color="auto"/>
            <w:bottom w:val="single" w:sz="6" w:space="0" w:color="auto"/>
            <w:right w:val="single" w:sz="6" w:space="0" w:color="auto"/>
          </w:tcBorders>
        </w:tcPr>
        <w:p w:rsidR="00E14361" w:rsidRDefault="00E14361">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14361" w:rsidRDefault="00E14361">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3A212D">
            <w:rPr>
              <w:lang w:val="fr-CH"/>
            </w:rPr>
            <w:t>-</w:t>
          </w:r>
          <w:r>
            <w:fldChar w:fldCharType="end"/>
          </w:r>
        </w:p>
      </w:tc>
    </w:tr>
  </w:tbl>
  <w:p w:rsidR="00E14361" w:rsidRDefault="00E14361">
    <w:pPr>
      <w:rPr>
        <w:lang w:val="fr-CH"/>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w15:presenceInfo w15:providerId="None" w15:userId="Microso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9153"/>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C8C"/>
    <w:rsid w:val="00002269"/>
    <w:rsid w:val="00025ECD"/>
    <w:rsid w:val="00033BEB"/>
    <w:rsid w:val="000343C9"/>
    <w:rsid w:val="00042807"/>
    <w:rsid w:val="00073433"/>
    <w:rsid w:val="000809F6"/>
    <w:rsid w:val="00087EB6"/>
    <w:rsid w:val="000A6753"/>
    <w:rsid w:val="000D5CB8"/>
    <w:rsid w:val="000F043D"/>
    <w:rsid w:val="000F3E5A"/>
    <w:rsid w:val="00106427"/>
    <w:rsid w:val="00131423"/>
    <w:rsid w:val="00141CA8"/>
    <w:rsid w:val="00145089"/>
    <w:rsid w:val="00163294"/>
    <w:rsid w:val="00170AA7"/>
    <w:rsid w:val="0017350B"/>
    <w:rsid w:val="001A29BD"/>
    <w:rsid w:val="001A74A8"/>
    <w:rsid w:val="001B6F4B"/>
    <w:rsid w:val="001D3468"/>
    <w:rsid w:val="001D4D9D"/>
    <w:rsid w:val="001E33F5"/>
    <w:rsid w:val="001E4B6D"/>
    <w:rsid w:val="001E71F0"/>
    <w:rsid w:val="00202D8A"/>
    <w:rsid w:val="002400F2"/>
    <w:rsid w:val="00243A7A"/>
    <w:rsid w:val="002606DA"/>
    <w:rsid w:val="00261E6D"/>
    <w:rsid w:val="00273900"/>
    <w:rsid w:val="00275DC3"/>
    <w:rsid w:val="002855F0"/>
    <w:rsid w:val="00285A0D"/>
    <w:rsid w:val="002956CA"/>
    <w:rsid w:val="002E7999"/>
    <w:rsid w:val="003011F9"/>
    <w:rsid w:val="00340DF3"/>
    <w:rsid w:val="003511A6"/>
    <w:rsid w:val="00353B4B"/>
    <w:rsid w:val="00354082"/>
    <w:rsid w:val="00363FC4"/>
    <w:rsid w:val="003667EC"/>
    <w:rsid w:val="00380438"/>
    <w:rsid w:val="00384465"/>
    <w:rsid w:val="003A212D"/>
    <w:rsid w:val="003A2B3C"/>
    <w:rsid w:val="003B3F7A"/>
    <w:rsid w:val="003C601A"/>
    <w:rsid w:val="003F178D"/>
    <w:rsid w:val="003F1DCA"/>
    <w:rsid w:val="003F5E8B"/>
    <w:rsid w:val="003F7F87"/>
    <w:rsid w:val="004306BF"/>
    <w:rsid w:val="00432D3A"/>
    <w:rsid w:val="00437E8C"/>
    <w:rsid w:val="00443745"/>
    <w:rsid w:val="004609E2"/>
    <w:rsid w:val="004623D9"/>
    <w:rsid w:val="00493826"/>
    <w:rsid w:val="004B0B17"/>
    <w:rsid w:val="004C44AE"/>
    <w:rsid w:val="004C6036"/>
    <w:rsid w:val="004C7294"/>
    <w:rsid w:val="004C789C"/>
    <w:rsid w:val="00514FDE"/>
    <w:rsid w:val="00515A02"/>
    <w:rsid w:val="005164F3"/>
    <w:rsid w:val="0055260C"/>
    <w:rsid w:val="00552F92"/>
    <w:rsid w:val="00580ACB"/>
    <w:rsid w:val="00581AB1"/>
    <w:rsid w:val="00582968"/>
    <w:rsid w:val="00585B28"/>
    <w:rsid w:val="00587B8C"/>
    <w:rsid w:val="005A1C6C"/>
    <w:rsid w:val="005A408A"/>
    <w:rsid w:val="005B4993"/>
    <w:rsid w:val="005D38B8"/>
    <w:rsid w:val="005E750A"/>
    <w:rsid w:val="00624015"/>
    <w:rsid w:val="0062524A"/>
    <w:rsid w:val="00653B0A"/>
    <w:rsid w:val="00671B06"/>
    <w:rsid w:val="006746D2"/>
    <w:rsid w:val="00676B57"/>
    <w:rsid w:val="00685DBD"/>
    <w:rsid w:val="006B10B0"/>
    <w:rsid w:val="006B6892"/>
    <w:rsid w:val="006D45DA"/>
    <w:rsid w:val="006E3C11"/>
    <w:rsid w:val="00700F38"/>
    <w:rsid w:val="007025D6"/>
    <w:rsid w:val="007142E9"/>
    <w:rsid w:val="00727D35"/>
    <w:rsid w:val="007429E4"/>
    <w:rsid w:val="00756910"/>
    <w:rsid w:val="0077079D"/>
    <w:rsid w:val="00770D86"/>
    <w:rsid w:val="00774C65"/>
    <w:rsid w:val="00782C00"/>
    <w:rsid w:val="007A21C3"/>
    <w:rsid w:val="007B5234"/>
    <w:rsid w:val="007C0F78"/>
    <w:rsid w:val="007E3FFE"/>
    <w:rsid w:val="007F700A"/>
    <w:rsid w:val="008036F8"/>
    <w:rsid w:val="0081048C"/>
    <w:rsid w:val="0082172F"/>
    <w:rsid w:val="008254E1"/>
    <w:rsid w:val="00827074"/>
    <w:rsid w:val="0083715B"/>
    <w:rsid w:val="00842CB9"/>
    <w:rsid w:val="008475FA"/>
    <w:rsid w:val="00857FBA"/>
    <w:rsid w:val="00862DC2"/>
    <w:rsid w:val="008709D6"/>
    <w:rsid w:val="00871B18"/>
    <w:rsid w:val="00873EF9"/>
    <w:rsid w:val="0088251D"/>
    <w:rsid w:val="00890F16"/>
    <w:rsid w:val="008A4B01"/>
    <w:rsid w:val="008A784F"/>
    <w:rsid w:val="009056FF"/>
    <w:rsid w:val="009243FB"/>
    <w:rsid w:val="0092491E"/>
    <w:rsid w:val="00934300"/>
    <w:rsid w:val="00947C8C"/>
    <w:rsid w:val="0095388D"/>
    <w:rsid w:val="0097772C"/>
    <w:rsid w:val="009A2F2C"/>
    <w:rsid w:val="009A5612"/>
    <w:rsid w:val="009A6831"/>
    <w:rsid w:val="009B0E26"/>
    <w:rsid w:val="009B4895"/>
    <w:rsid w:val="009C3798"/>
    <w:rsid w:val="009C54F8"/>
    <w:rsid w:val="009C6C75"/>
    <w:rsid w:val="009F15F9"/>
    <w:rsid w:val="00A00B06"/>
    <w:rsid w:val="00A36A08"/>
    <w:rsid w:val="00A60C28"/>
    <w:rsid w:val="00A80144"/>
    <w:rsid w:val="00A841B7"/>
    <w:rsid w:val="00A8577C"/>
    <w:rsid w:val="00A963AA"/>
    <w:rsid w:val="00AA0190"/>
    <w:rsid w:val="00AA6D4D"/>
    <w:rsid w:val="00AF0BF6"/>
    <w:rsid w:val="00AF7287"/>
    <w:rsid w:val="00B0754A"/>
    <w:rsid w:val="00B4459B"/>
    <w:rsid w:val="00B643BE"/>
    <w:rsid w:val="00B76760"/>
    <w:rsid w:val="00B97C02"/>
    <w:rsid w:val="00BB5039"/>
    <w:rsid w:val="00BC75E2"/>
    <w:rsid w:val="00BE0EE8"/>
    <w:rsid w:val="00BF0573"/>
    <w:rsid w:val="00C03BB1"/>
    <w:rsid w:val="00C124BB"/>
    <w:rsid w:val="00C13E79"/>
    <w:rsid w:val="00C23ED0"/>
    <w:rsid w:val="00C30B0F"/>
    <w:rsid w:val="00CA33C4"/>
    <w:rsid w:val="00CE260D"/>
    <w:rsid w:val="00CE3DE4"/>
    <w:rsid w:val="00CE4342"/>
    <w:rsid w:val="00D00CA3"/>
    <w:rsid w:val="00D01428"/>
    <w:rsid w:val="00D15B32"/>
    <w:rsid w:val="00D16069"/>
    <w:rsid w:val="00D223F5"/>
    <w:rsid w:val="00D2326A"/>
    <w:rsid w:val="00D43A78"/>
    <w:rsid w:val="00D561C2"/>
    <w:rsid w:val="00D6002A"/>
    <w:rsid w:val="00D70EFE"/>
    <w:rsid w:val="00D72BCF"/>
    <w:rsid w:val="00D74F5F"/>
    <w:rsid w:val="00DA47A4"/>
    <w:rsid w:val="00DB387B"/>
    <w:rsid w:val="00DC5BEC"/>
    <w:rsid w:val="00DE1E30"/>
    <w:rsid w:val="00E14361"/>
    <w:rsid w:val="00E20345"/>
    <w:rsid w:val="00E40C2F"/>
    <w:rsid w:val="00E41412"/>
    <w:rsid w:val="00E41FDD"/>
    <w:rsid w:val="00E52D87"/>
    <w:rsid w:val="00E55618"/>
    <w:rsid w:val="00E573EE"/>
    <w:rsid w:val="00E6127D"/>
    <w:rsid w:val="00E90A91"/>
    <w:rsid w:val="00EA2D8D"/>
    <w:rsid w:val="00EA6945"/>
    <w:rsid w:val="00EF41B3"/>
    <w:rsid w:val="00F01943"/>
    <w:rsid w:val="00F064A9"/>
    <w:rsid w:val="00F07F11"/>
    <w:rsid w:val="00F10B0B"/>
    <w:rsid w:val="00F15E33"/>
    <w:rsid w:val="00F23BAE"/>
    <w:rsid w:val="00F4327C"/>
    <w:rsid w:val="00F5147F"/>
    <w:rsid w:val="00F56981"/>
    <w:rsid w:val="00F74C0C"/>
    <w:rsid w:val="00FB2095"/>
    <w:rsid w:val="00FB6506"/>
    <w:rsid w:val="00FB7448"/>
    <w:rsid w:val="00FC293D"/>
    <w:rsid w:val="00FE6D36"/>
    <w:rsid w:val="00FF225F"/>
    <w:rsid w:val="00FF37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5:docId w15:val="{5A5FB703-7738-49A9-8FCC-2211DBB5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styleId="BodyText">
    <w:name w:val="Body Text"/>
    <w:basedOn w:val="Normal"/>
    <w:rPr>
      <w:color w:val="000000"/>
      <w:lang w:val="es-ES"/>
    </w:rPr>
  </w:style>
  <w:style w:type="character" w:customStyle="1" w:styleId="enumlev1Char">
    <w:name w:val="enumlev1 Char"/>
    <w:basedOn w:val="DefaultParagraphFont"/>
    <w:link w:val="enumlev1"/>
    <w:rsid w:val="00D561C2"/>
    <w:rPr>
      <w:sz w:val="24"/>
      <w:lang w:val="en-GB" w:eastAsia="en-US"/>
    </w:rPr>
  </w:style>
  <w:style w:type="paragraph" w:customStyle="1" w:styleId="Proposal">
    <w:name w:val="Proposal"/>
    <w:basedOn w:val="Normal"/>
    <w:next w:val="Normal"/>
    <w:rsid w:val="00857FBA"/>
    <w:pPr>
      <w:keepNext/>
      <w:spacing w:before="240"/>
      <w:jc w:val="left"/>
    </w:pPr>
    <w:rPr>
      <w:rFonts w:hAnsi="Times New Roman Bold"/>
      <w:lang w:val="es-ES_tradnl"/>
    </w:rPr>
  </w:style>
  <w:style w:type="paragraph" w:styleId="BalloonText">
    <w:name w:val="Balloon Text"/>
    <w:basedOn w:val="Normal"/>
    <w:link w:val="BalloonTextChar"/>
    <w:rsid w:val="00BE0EE8"/>
    <w:pPr>
      <w:spacing w:before="0"/>
    </w:pPr>
    <w:rPr>
      <w:rFonts w:ascii="Tahoma" w:hAnsi="Tahoma" w:cs="Tahoma"/>
      <w:sz w:val="16"/>
      <w:szCs w:val="16"/>
    </w:rPr>
  </w:style>
  <w:style w:type="character" w:customStyle="1" w:styleId="BalloonTextChar">
    <w:name w:val="Balloon Text Char"/>
    <w:basedOn w:val="DefaultParagraphFont"/>
    <w:link w:val="BalloonText"/>
    <w:rsid w:val="00BE0EE8"/>
    <w:rPr>
      <w:rFonts w:ascii="Tahoma" w:hAnsi="Tahoma" w:cs="Tahoma"/>
      <w:sz w:val="16"/>
      <w:szCs w:val="16"/>
      <w:lang w:val="en-GB" w:eastAsia="en-US"/>
    </w:rPr>
  </w:style>
  <w:style w:type="character" w:customStyle="1" w:styleId="HeaderChar">
    <w:name w:val="Header Char"/>
    <w:aliases w:val="encabezado Char"/>
    <w:basedOn w:val="DefaultParagraphFont"/>
    <w:link w:val="Header"/>
    <w:rsid w:val="00BE0EE8"/>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685D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9.xml"/><Relationship Id="rId10" Type="http://schemas.openxmlformats.org/officeDocument/2006/relationships/header" Target="header4.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1256D-F45B-474E-A5AC-60D6C598E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670</TotalTime>
  <Pages>35</Pages>
  <Words>13163</Words>
  <Characters>75035</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C--107223/DD</Manager>
  <Company>ITU</Company>
  <LinksUpToDate>false</LinksUpToDate>
  <CharactersWithSpaces>88022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 11</dc:subject>
  <dc:creator>Composition des Publications</dc:creator>
  <cp:keywords>Folios: 1 - 24 (blanc)</cp:keywords>
  <dc:description>Edition 2009:  12.02.2009/DD  (dict. ok)_x000d_
Corr. 1ère interne:  09.03.2009/DD</dc:description>
  <cp:lastModifiedBy>Catalano Moreira, Rossana</cp:lastModifiedBy>
  <cp:revision>155</cp:revision>
  <cp:lastPrinted>2017-11-14T09:57:00Z</cp:lastPrinted>
  <dcterms:created xsi:type="dcterms:W3CDTF">2012-10-02T12:17:00Z</dcterms:created>
  <dcterms:modified xsi:type="dcterms:W3CDTF">2018-07-30T14:16:00Z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