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308" w:rsidRDefault="00E340BA" w:rsidP="00EF6662">
      <w:pPr>
        <w:pStyle w:val="AnnexNotitle"/>
        <w:rPr>
          <w:b w:val="0"/>
          <w:bCs/>
          <w:sz w:val="16"/>
          <w:szCs w:val="16"/>
          <w:lang w:val="es-ES"/>
        </w:rPr>
      </w:pPr>
      <w:r w:rsidRPr="005F553C">
        <w:rPr>
          <w:szCs w:val="28"/>
          <w:lang w:eastAsia="zh-CN"/>
        </w:rPr>
        <w:t xml:space="preserve">Reglas relativas a la aceptabilidad de los formularios de notificación generalmente aplicables a todas las asignaciones notificadas presentadas a la Oficina de Radiocomunicaciones en aplicación de los procedimientos </w:t>
      </w:r>
      <w:r w:rsidRPr="005F553C">
        <w:rPr>
          <w:szCs w:val="28"/>
          <w:lang w:eastAsia="zh-CN"/>
        </w:rPr>
        <w:br/>
        <w:t>del Reglamento de Radiocomunicaciones</w:t>
      </w:r>
      <w:r w:rsidR="00EF6662">
        <w:rPr>
          <w:rStyle w:val="FootnoteReference"/>
        </w:rPr>
        <w:footnoteReference w:customMarkFollows="1" w:id="1"/>
        <w:t>*</w:t>
      </w:r>
      <w:r w:rsidR="002111DA">
        <w:t xml:space="preserve">  </w:t>
      </w:r>
    </w:p>
    <w:p w:rsidR="00E340BA" w:rsidRPr="00922485" w:rsidRDefault="00E340BA" w:rsidP="00E340BA">
      <w:pPr>
        <w:pStyle w:val="Heading1"/>
        <w:rPr>
          <w:lang w:val="es-ES_tradnl"/>
        </w:rPr>
      </w:pPr>
      <w:r w:rsidRPr="00E340BA">
        <w:rPr>
          <w:lang w:val="es-ES_tradnl"/>
        </w:rPr>
        <w:t>1</w:t>
      </w:r>
      <w:r w:rsidRPr="00E340BA">
        <w:rPr>
          <w:lang w:val="es-ES_tradnl"/>
        </w:rPr>
        <w:tab/>
        <w:t>Presentación de información en formato electrónico</w:t>
      </w:r>
      <w:r w:rsidR="00922485">
        <w:rPr>
          <w:lang w:val="es-ES_tradnl"/>
        </w:rPr>
        <w:t xml:space="preserve">     </w:t>
      </w:r>
      <w:r w:rsidR="00922485" w:rsidRPr="00922485">
        <w:rPr>
          <w:b w:val="0"/>
          <w:bCs/>
          <w:sz w:val="16"/>
          <w:szCs w:val="16"/>
          <w:lang w:val="es-ES_tradnl"/>
        </w:rPr>
        <w:t>(MOD RRB18/78)</w:t>
      </w:r>
    </w:p>
    <w:p w:rsidR="00F56308" w:rsidRPr="005D2BE2" w:rsidRDefault="00F56308" w:rsidP="003D770F">
      <w:pPr>
        <w:pStyle w:val="Heading2"/>
        <w:tabs>
          <w:tab w:val="left" w:pos="2268"/>
        </w:tabs>
        <w:rPr>
          <w:bCs/>
          <w:sz w:val="16"/>
          <w:szCs w:val="16"/>
          <w:lang w:val="es-ES"/>
        </w:rPr>
      </w:pPr>
      <w:r w:rsidRPr="00350882">
        <w:rPr>
          <w:b w:val="0"/>
          <w:bCs/>
          <w:sz w:val="24"/>
          <w:szCs w:val="24"/>
          <w:lang w:val="es-ES_tradnl"/>
        </w:rPr>
        <w:t>1.1</w:t>
      </w:r>
      <w:r w:rsidRPr="00350882">
        <w:rPr>
          <w:b w:val="0"/>
          <w:bCs/>
          <w:sz w:val="24"/>
          <w:szCs w:val="24"/>
          <w:lang w:val="es-ES_tradnl"/>
        </w:rPr>
        <w:tab/>
        <w:t>Servicios espaciales</w:t>
      </w:r>
      <w:r w:rsidR="005D2BE2">
        <w:rPr>
          <w:lang w:val="es-ES"/>
        </w:rPr>
        <w:t xml:space="preserve"> </w:t>
      </w:r>
      <w:r w:rsidR="004A492C">
        <w:rPr>
          <w:lang w:val="es-ES"/>
        </w:rPr>
        <w:t xml:space="preserve">  </w:t>
      </w:r>
      <w:r w:rsidR="005D2BE2">
        <w:rPr>
          <w:lang w:val="es-ES"/>
        </w:rPr>
        <w:t xml:space="preserve">  </w:t>
      </w:r>
    </w:p>
    <w:p w:rsidR="00832B32" w:rsidRPr="00EF6662" w:rsidRDefault="00D75E23" w:rsidP="00D75E23">
      <w:pPr>
        <w:rPr>
          <w:rFonts w:asciiTheme="majorBidi" w:hAnsiTheme="majorBidi" w:cstheme="majorBidi"/>
          <w:szCs w:val="24"/>
          <w:lang w:val="es-ES_tradnl"/>
        </w:rPr>
      </w:pPr>
      <w:r w:rsidRPr="00EF6662">
        <w:rPr>
          <w:rFonts w:asciiTheme="majorBidi" w:hAnsiTheme="majorBidi" w:cstheme="majorBidi"/>
          <w:lang w:val="es-ES"/>
        </w:rPr>
        <w:t xml:space="preserve">La Junta tomó nota de los requisitos de notificación electrónica obligatoria, presentación de observaciones/objeciones y petición de inclusión o exclusión especificados en los </w:t>
      </w:r>
      <w:r w:rsidRPr="00EF6662">
        <w:rPr>
          <w:rFonts w:asciiTheme="majorBidi" w:hAnsiTheme="majorBidi" w:cstheme="majorBidi"/>
          <w:i/>
          <w:iCs/>
          <w:lang w:val="es-ES"/>
        </w:rPr>
        <w:t>resuelve</w:t>
      </w:r>
      <w:r w:rsidRPr="00EF6662">
        <w:rPr>
          <w:rFonts w:asciiTheme="majorBidi" w:hAnsiTheme="majorBidi" w:cstheme="majorBidi"/>
          <w:lang w:val="es-ES"/>
        </w:rPr>
        <w:t xml:space="preserve"> de las Resoluciones </w:t>
      </w:r>
      <w:r w:rsidRPr="00EF6662">
        <w:rPr>
          <w:rFonts w:asciiTheme="majorBidi" w:hAnsiTheme="majorBidi" w:cstheme="majorBidi"/>
          <w:b/>
          <w:bCs/>
          <w:lang w:val="es-ES"/>
        </w:rPr>
        <w:t>55 (Rev.CMR</w:t>
      </w:r>
      <w:r w:rsidRPr="00EF6662">
        <w:rPr>
          <w:rFonts w:asciiTheme="majorBidi" w:hAnsiTheme="majorBidi" w:cstheme="majorBidi"/>
          <w:b/>
          <w:bCs/>
          <w:lang w:val="es-ES"/>
        </w:rPr>
        <w:noBreakHyphen/>
        <w:t>15)</w:t>
      </w:r>
      <w:r w:rsidRPr="00EF6662">
        <w:rPr>
          <w:rFonts w:asciiTheme="majorBidi" w:hAnsiTheme="majorBidi" w:cstheme="majorBidi"/>
          <w:lang w:val="es-ES"/>
        </w:rPr>
        <w:t xml:space="preserve"> y</w:t>
      </w:r>
      <w:r w:rsidRPr="00EF6662">
        <w:rPr>
          <w:rFonts w:asciiTheme="majorBidi" w:hAnsiTheme="majorBidi" w:cstheme="majorBidi"/>
          <w:b/>
          <w:bCs/>
          <w:lang w:val="es-ES"/>
        </w:rPr>
        <w:t xml:space="preserve"> 908 (Rev.CMR-15)</w:t>
      </w:r>
      <w:r w:rsidRPr="00EF6662">
        <w:rPr>
          <w:rFonts w:asciiTheme="majorBidi" w:hAnsiTheme="majorBidi" w:cstheme="majorBidi"/>
          <w:lang w:val="es-ES"/>
        </w:rPr>
        <w:t>. Señaló asimismo que la Oficina había puesto a disposición de las administraciones el soporte lógico de toma de datos y validación, así como el necesario para presentar la información requerida en el Anexo 2 a la Resolución </w:t>
      </w:r>
      <w:r w:rsidRPr="00EF6662">
        <w:rPr>
          <w:rFonts w:asciiTheme="majorBidi" w:hAnsiTheme="majorBidi" w:cstheme="majorBidi"/>
          <w:b/>
          <w:bCs/>
          <w:lang w:val="es-ES"/>
        </w:rPr>
        <w:t>552 (Rev.CMR-15)</w:t>
      </w:r>
      <w:r w:rsidRPr="00EF6662">
        <w:rPr>
          <w:rFonts w:asciiTheme="majorBidi" w:hAnsiTheme="majorBidi" w:cstheme="majorBidi"/>
          <w:lang w:val="es-ES"/>
        </w:rPr>
        <w:t xml:space="preserve"> y en el Adjunto a la Resolución </w:t>
      </w:r>
      <w:r w:rsidRPr="00EF6662">
        <w:rPr>
          <w:rFonts w:asciiTheme="majorBidi" w:hAnsiTheme="majorBidi" w:cstheme="majorBidi"/>
          <w:b/>
          <w:bCs/>
          <w:lang w:val="es-ES"/>
        </w:rPr>
        <w:t>553 (Rev.CMR-15)</w:t>
      </w:r>
      <w:r w:rsidRPr="00EF6662">
        <w:rPr>
          <w:rFonts w:asciiTheme="majorBidi" w:hAnsiTheme="majorBidi" w:cstheme="majorBidi"/>
          <w:lang w:val="es-ES"/>
        </w:rPr>
        <w:t xml:space="preserve">. En consecuencia, toda la información indicada en el </w:t>
      </w:r>
      <w:r w:rsidRPr="00EF6662">
        <w:rPr>
          <w:rFonts w:asciiTheme="majorBidi" w:hAnsiTheme="majorBidi" w:cstheme="majorBidi"/>
          <w:i/>
          <w:iCs/>
          <w:lang w:val="es-ES"/>
        </w:rPr>
        <w:t xml:space="preserve">resuelve </w:t>
      </w:r>
      <w:r w:rsidRPr="00EF6662">
        <w:rPr>
          <w:rFonts w:asciiTheme="majorBidi" w:hAnsiTheme="majorBidi" w:cstheme="majorBidi"/>
          <w:lang w:val="es-ES"/>
        </w:rPr>
        <w:t xml:space="preserve">de la Resolución </w:t>
      </w:r>
      <w:r w:rsidRPr="00EF6662">
        <w:rPr>
          <w:rFonts w:asciiTheme="majorBidi" w:hAnsiTheme="majorBidi" w:cstheme="majorBidi"/>
          <w:b/>
          <w:bCs/>
          <w:lang w:val="es-ES"/>
        </w:rPr>
        <w:t>55 (Rev.CMR</w:t>
      </w:r>
      <w:r w:rsidRPr="00EF6662">
        <w:rPr>
          <w:rFonts w:asciiTheme="majorBidi" w:hAnsiTheme="majorBidi" w:cstheme="majorBidi"/>
          <w:b/>
          <w:bCs/>
          <w:lang w:val="es-ES"/>
        </w:rPr>
        <w:noBreakHyphen/>
        <w:t>15)</w:t>
      </w:r>
      <w:r w:rsidRPr="00EF6662">
        <w:rPr>
          <w:rFonts w:asciiTheme="majorBidi" w:hAnsiTheme="majorBidi" w:cstheme="majorBidi"/>
          <w:lang w:val="es-ES"/>
        </w:rPr>
        <w:t>, en el Anexo 2 a la Resolución </w:t>
      </w:r>
      <w:r w:rsidRPr="00EF6662">
        <w:rPr>
          <w:rFonts w:asciiTheme="majorBidi" w:hAnsiTheme="majorBidi" w:cstheme="majorBidi"/>
          <w:b/>
          <w:bCs/>
          <w:lang w:val="es-ES"/>
        </w:rPr>
        <w:t>552 (Rev.CMR</w:t>
      </w:r>
      <w:r w:rsidRPr="00EF6662">
        <w:rPr>
          <w:rFonts w:asciiTheme="majorBidi" w:hAnsiTheme="majorBidi" w:cstheme="majorBidi"/>
          <w:b/>
          <w:bCs/>
          <w:lang w:val="es-ES"/>
        </w:rPr>
        <w:noBreakHyphen/>
        <w:t xml:space="preserve">15) </w:t>
      </w:r>
      <w:r w:rsidRPr="00EF6662">
        <w:rPr>
          <w:rFonts w:asciiTheme="majorBidi" w:hAnsiTheme="majorBidi" w:cstheme="majorBidi"/>
          <w:lang w:val="es-ES"/>
        </w:rPr>
        <w:t xml:space="preserve">y en el Adjunto a la Resolución </w:t>
      </w:r>
      <w:r w:rsidRPr="00EF6662">
        <w:rPr>
          <w:rFonts w:asciiTheme="majorBidi" w:hAnsiTheme="majorBidi" w:cstheme="majorBidi"/>
          <w:b/>
          <w:bCs/>
          <w:lang w:val="es-ES"/>
        </w:rPr>
        <w:t>553 (Rev.CMR</w:t>
      </w:r>
      <w:r w:rsidRPr="00EF6662">
        <w:rPr>
          <w:rFonts w:asciiTheme="majorBidi" w:hAnsiTheme="majorBidi" w:cstheme="majorBidi"/>
          <w:b/>
          <w:bCs/>
          <w:lang w:val="es-ES"/>
        </w:rPr>
        <w:noBreakHyphen/>
        <w:t xml:space="preserve">15), </w:t>
      </w:r>
      <w:r w:rsidRPr="00EF6662">
        <w:rPr>
          <w:rFonts w:asciiTheme="majorBidi" w:hAnsiTheme="majorBidi" w:cstheme="majorBidi"/>
          <w:lang w:val="es-ES"/>
        </w:rPr>
        <w:t xml:space="preserve">con arreglo a los </w:t>
      </w:r>
      <w:r w:rsidRPr="00EF6662">
        <w:rPr>
          <w:rFonts w:asciiTheme="majorBidi" w:hAnsiTheme="majorBidi" w:cstheme="majorBidi"/>
          <w:szCs w:val="24"/>
          <w:lang w:val="es-ES"/>
        </w:rPr>
        <w:t xml:space="preserve">§ 8 y § 9, </w:t>
      </w:r>
      <w:r w:rsidRPr="00EF6662">
        <w:rPr>
          <w:rFonts w:asciiTheme="majorBidi" w:hAnsiTheme="majorBidi" w:cstheme="majorBidi"/>
          <w:lang w:val="es-ES"/>
        </w:rPr>
        <w:t>se presentará a la Oficina en formato electrónico (excepto los datos gráficos que aún pueden presentarse en papel), lo cual es compatible con el soporte lógico de incorporación del formulario de notificación electrónica de la BR (SpaceCap) y con el soporte lógico para comentarios/objeciones (SpaceCom)</w:t>
      </w:r>
      <w:r w:rsidRPr="00EF6662">
        <w:rPr>
          <w:rStyle w:val="FootnoteReference"/>
          <w:rFonts w:asciiTheme="majorBidi" w:hAnsiTheme="majorBidi" w:cstheme="majorBidi"/>
          <w:lang w:val="es-ES"/>
        </w:rPr>
        <w:footnoteReference w:customMarkFollows="1" w:id="2"/>
        <w:t>1</w:t>
      </w:r>
      <w:r w:rsidRPr="00EF6662">
        <w:rPr>
          <w:rFonts w:asciiTheme="majorBidi" w:hAnsiTheme="majorBidi" w:cstheme="majorBidi"/>
          <w:lang w:val="es-ES"/>
        </w:rPr>
        <w:t xml:space="preserve">, utilizando la interfaz web de la UIT «Presentación electrónica de notificaciones de redes de satélites», disponible en </w:t>
      </w:r>
      <w:hyperlink r:id="rId7" w:history="1">
        <w:r w:rsidRPr="00EF6662">
          <w:rPr>
            <w:rStyle w:val="Hyperlink"/>
            <w:rFonts w:asciiTheme="majorBidi" w:hAnsiTheme="majorBidi" w:cstheme="majorBidi"/>
            <w:lang w:val="es-ES"/>
          </w:rPr>
          <w:t>https://www.itu.int/itu-r/go/space-submission</w:t>
        </w:r>
      </w:hyperlink>
      <w:r w:rsidRPr="00EF6662">
        <w:rPr>
          <w:rFonts w:asciiTheme="majorBidi" w:hAnsiTheme="majorBidi" w:cstheme="majorBidi"/>
          <w:lang w:val="es-ES"/>
        </w:rPr>
        <w:t>.</w:t>
      </w:r>
    </w:p>
    <w:p w:rsidR="00D75E23" w:rsidRPr="00EF6662" w:rsidRDefault="00D75E23" w:rsidP="004A492C">
      <w:pPr>
        <w:pStyle w:val="Heading2"/>
        <w:tabs>
          <w:tab w:val="left" w:pos="2268"/>
        </w:tabs>
        <w:spacing w:before="360"/>
        <w:rPr>
          <w:rFonts w:asciiTheme="majorBidi" w:hAnsiTheme="majorBidi" w:cstheme="majorBidi"/>
          <w:b w:val="0"/>
          <w:bCs/>
          <w:sz w:val="24"/>
          <w:szCs w:val="24"/>
          <w:lang w:val="es-ES"/>
        </w:rPr>
      </w:pPr>
      <w:r w:rsidRPr="00EF6662">
        <w:rPr>
          <w:rFonts w:asciiTheme="majorBidi" w:hAnsiTheme="majorBidi" w:cstheme="majorBidi"/>
          <w:b w:val="0"/>
          <w:bCs/>
          <w:sz w:val="24"/>
          <w:szCs w:val="24"/>
          <w:lang w:val="es-ES"/>
        </w:rPr>
        <w:br w:type="page"/>
      </w:r>
    </w:p>
    <w:p w:rsidR="00F56308" w:rsidRPr="00E340BA" w:rsidRDefault="00F56308" w:rsidP="004A492C">
      <w:pPr>
        <w:pStyle w:val="Heading2"/>
        <w:tabs>
          <w:tab w:val="left" w:pos="2268"/>
        </w:tabs>
        <w:spacing w:before="360"/>
        <w:rPr>
          <w:b w:val="0"/>
          <w:bCs/>
          <w:sz w:val="24"/>
          <w:szCs w:val="24"/>
          <w:lang w:val="es-ES"/>
        </w:rPr>
      </w:pPr>
      <w:r w:rsidRPr="00E340BA">
        <w:rPr>
          <w:b w:val="0"/>
          <w:bCs/>
          <w:sz w:val="24"/>
          <w:szCs w:val="24"/>
          <w:lang w:val="es-ES"/>
        </w:rPr>
        <w:lastRenderedPageBreak/>
        <w:t>1.2</w:t>
      </w:r>
      <w:r w:rsidRPr="00E340BA">
        <w:rPr>
          <w:b w:val="0"/>
          <w:bCs/>
          <w:sz w:val="24"/>
          <w:szCs w:val="24"/>
          <w:lang w:val="es-ES"/>
        </w:rPr>
        <w:tab/>
        <w:t>Servicios terrenales</w:t>
      </w:r>
    </w:p>
    <w:p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r w:rsidRPr="00DE458C">
        <w:rPr>
          <w:rFonts w:asciiTheme="majorBidi" w:hAnsiTheme="majorBidi" w:cstheme="majorBidi"/>
          <w:b/>
          <w:bCs/>
          <w:i/>
          <w:iCs/>
          <w:lang w:val="es-ES"/>
        </w:rPr>
        <w:t>I</w:t>
      </w:r>
      <w:r w:rsidRPr="00DE458C">
        <w:rPr>
          <w:rFonts w:asciiTheme="majorBidi" w:hAnsiTheme="majorBidi" w:cstheme="majorBidi"/>
          <w:i/>
          <w:iCs/>
          <w:lang w:val="es-ES"/>
        </w:rPr>
        <w:t xml:space="preserve">nterface for </w:t>
      </w:r>
      <w:r w:rsidRPr="00DE458C">
        <w:rPr>
          <w:rFonts w:asciiTheme="majorBidi" w:hAnsiTheme="majorBidi" w:cstheme="majorBidi"/>
          <w:b/>
          <w:bCs/>
          <w:i/>
          <w:iCs/>
          <w:lang w:val="es-ES"/>
        </w:rPr>
        <w:t>S</w:t>
      </w:r>
      <w:r w:rsidRPr="00DE458C">
        <w:rPr>
          <w:rFonts w:asciiTheme="majorBidi" w:hAnsiTheme="majorBidi" w:cstheme="majorBidi"/>
          <w:i/>
          <w:iCs/>
          <w:lang w:val="es-ES"/>
        </w:rPr>
        <w:t xml:space="preserve">ubmission of </w:t>
      </w:r>
      <w:r w:rsidRPr="00DE458C">
        <w:rPr>
          <w:rFonts w:asciiTheme="majorBidi" w:hAnsiTheme="majorBidi" w:cstheme="majorBidi"/>
          <w:b/>
          <w:bCs/>
          <w:i/>
          <w:iCs/>
          <w:lang w:val="es-ES"/>
        </w:rPr>
        <w:t>F</w:t>
      </w:r>
      <w:r w:rsidRPr="00DE458C">
        <w:rPr>
          <w:rFonts w:asciiTheme="majorBidi" w:hAnsiTheme="majorBidi" w:cstheme="majorBidi"/>
          <w:i/>
          <w:iCs/>
          <w:lang w:val="es-ES"/>
        </w:rPr>
        <w:t xml:space="preserve">requency </w:t>
      </w:r>
      <w:r w:rsidRPr="00DE458C">
        <w:rPr>
          <w:rFonts w:asciiTheme="majorBidi" w:hAnsiTheme="majorBidi" w:cstheme="majorBidi"/>
          <w:b/>
          <w:bCs/>
          <w:i/>
          <w:iCs/>
          <w:lang w:val="es-ES"/>
        </w:rPr>
        <w:t>A</w:t>
      </w:r>
      <w:r w:rsidRPr="00DE458C">
        <w:rPr>
          <w:rFonts w:asciiTheme="majorBidi" w:hAnsiTheme="majorBidi" w:cstheme="majorBidi"/>
          <w:i/>
          <w:iCs/>
          <w:lang w:val="es-ES"/>
        </w:rPr>
        <w:t>ssignments/allotments</w:t>
      </w:r>
      <w:r w:rsidRPr="00DE458C">
        <w:rPr>
          <w:rFonts w:asciiTheme="majorBidi" w:hAnsiTheme="majorBidi" w:cstheme="majorBidi"/>
          <w:lang w:val="es-ES"/>
        </w:rPr>
        <w:t xml:space="preserve">) en la dirección </w:t>
      </w:r>
      <w:hyperlink r:id="rId8" w:history="1">
        <w:r w:rsidRPr="00DE458C">
          <w:rPr>
            <w:rStyle w:val="Hyperlink"/>
            <w:rFonts w:asciiTheme="majorBidi" w:hAnsiTheme="majorBidi" w:cstheme="majorBidi"/>
            <w:lang w:val="es-ES"/>
          </w:rPr>
          <w:t>https://www.itu.int/ITU-R/go/wisfat/en</w:t>
        </w:r>
      </w:hyperlink>
      <w:r w:rsidRPr="00DE458C">
        <w:rPr>
          <w:rFonts w:asciiTheme="majorBidi" w:hAnsiTheme="majorBidi" w:cstheme="majorBidi"/>
          <w:lang w:val="es-ES"/>
        </w:rPr>
        <w:t xml:space="preserve">. Cabe observar asimismo que la Oficina ha puesto a disposición de las administraciones a través de la BR IFIC la herramienta software TerRaNotices para crear y validar notificaciones por la Oficina. Además, existe una herramienta de validación en línea accesible a través del sitio web de la UIT: </w:t>
      </w:r>
      <w:hyperlink r:id="rId9" w:history="1">
        <w:r w:rsidRPr="00DE458C">
          <w:rPr>
            <w:rStyle w:val="Hyperlink"/>
            <w:rFonts w:asciiTheme="majorBidi" w:hAnsiTheme="majorBidi" w:cstheme="majorBidi"/>
            <w:lang w:val="es-ES"/>
          </w:rPr>
          <w:t>https://www.itu.int/ITU-R/terrestrial/OnlineValidation/Login.aspx</w:t>
        </w:r>
      </w:hyperlink>
      <w:r w:rsidRPr="00DE458C">
        <w:rPr>
          <w:rFonts w:asciiTheme="majorBidi" w:hAnsiTheme="majorBidi" w:cstheme="majorBidi"/>
          <w:lang w:val="es-ES"/>
        </w:rPr>
        <w:t>.</w:t>
      </w:r>
    </w:p>
    <w:p w:rsidR="000660D5" w:rsidRPr="00922485" w:rsidRDefault="000660D5" w:rsidP="00DE458C">
      <w:pPr>
        <w:pStyle w:val="Heading1"/>
        <w:rPr>
          <w:lang w:val="es-ES_tradnl"/>
        </w:rPr>
      </w:pPr>
      <w:r w:rsidRPr="00DE458C">
        <w:rPr>
          <w:lang w:val="es-ES_tradnl"/>
        </w:rPr>
        <w:t>2</w:t>
      </w:r>
      <w:r w:rsidRPr="00DE458C">
        <w:rPr>
          <w:lang w:val="es-ES_tradnl"/>
        </w:rPr>
        <w:tab/>
        <w:t>Recepción de notificaciones</w:t>
      </w:r>
      <w:r w:rsidR="003D669E" w:rsidRPr="00DE458C">
        <w:rPr>
          <w:lang w:val="es-ES_tradnl"/>
        </w:rPr>
        <w:t xml:space="preserve">    </w:t>
      </w:r>
      <w:r w:rsidR="00922485" w:rsidRPr="00922485">
        <w:rPr>
          <w:b w:val="0"/>
          <w:bCs/>
          <w:sz w:val="16"/>
          <w:szCs w:val="16"/>
          <w:lang w:val="es-ES_tradnl"/>
        </w:rPr>
        <w:t>(MOD RRB18/78)</w:t>
      </w:r>
    </w:p>
    <w:p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r w:rsidR="00922485">
        <w:rPr>
          <w:rFonts w:asciiTheme="majorBidi" w:hAnsiTheme="majorBidi" w:cstheme="majorBidi"/>
          <w:lang w:val="es-ES"/>
        </w:rPr>
        <w:t xml:space="preserve">     </w:t>
      </w:r>
    </w:p>
    <w:p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rsidR="000463F1" w:rsidRPr="00922485"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rsidR="000463F1" w:rsidRDefault="000463F1" w:rsidP="00A157EB">
      <w:pPr>
        <w:rPr>
          <w:lang w:val="es-ES"/>
        </w:rPr>
        <w:sectPr w:rsidR="000463F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Place des Nations</w:t>
      </w:r>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t>Los telefax deben enviarse a:</w:t>
      </w:r>
    </w:p>
    <w:p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rsidR="000463F1" w:rsidRDefault="000463F1" w:rsidP="00BF79F3">
      <w:pPr>
        <w:rPr>
          <w:lang w:val="es-ES_tradnl"/>
        </w:rPr>
        <w:sectPr w:rsidR="000463F1">
          <w:headerReference w:type="default" r:id="rId12"/>
          <w:footnotePr>
            <w:pos w:val="beneathText"/>
          </w:footnotePr>
          <w:pgSz w:w="11907" w:h="16840" w:code="9"/>
          <w:pgMar w:top="1701" w:right="851" w:bottom="1134" w:left="1985" w:header="720" w:footer="482" w:gutter="0"/>
          <w:cols w:space="720"/>
          <w:vAlign w:val="both"/>
        </w:sectPr>
      </w:pPr>
    </w:p>
    <w:p w:rsidR="003D2B29" w:rsidRPr="00BF79F3" w:rsidRDefault="003D2B29" w:rsidP="00A55F83">
      <w:pPr>
        <w:pStyle w:val="Heading1"/>
        <w:rPr>
          <w:lang w:val="es-ES_tradnl"/>
        </w:rPr>
      </w:pPr>
      <w:r w:rsidRPr="00BF79F3">
        <w:rPr>
          <w:lang w:val="es-ES_tradnl"/>
        </w:rPr>
        <w:lastRenderedPageBreak/>
        <w:t>3</w:t>
      </w:r>
      <w:r w:rsidRPr="00BF79F3">
        <w:rPr>
          <w:lang w:val="es-ES_tradnl"/>
        </w:rPr>
        <w:tab/>
      </w:r>
      <w:r w:rsidR="00A55F83" w:rsidRPr="00BF79F3">
        <w:rPr>
          <w:lang w:val="es-ES_tradnl"/>
        </w:rPr>
        <w:t>Establecimiento de una fecha de recepción oficial para la información de conformidad con el Anexo 2 al Apéndice 4</w:t>
      </w:r>
    </w:p>
    <w:p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xml:space="preserve">, en los Apéndices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xml:space="preserve">, peticiones de coordinación, modificación con arreglo al Plan para la Región 2 o propuestas de asignaciones nuevas o modificadas en las Listas para las Regiones 1 y 3 conformes con el Artículo 4 de los Apéndices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o peticiones para dar aplicación a los Artículos 6 ó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w:t>
      </w:r>
      <w:r w:rsidR="000A1A4C" w:rsidRPr="000A1A4C">
        <w:rPr>
          <w:lang w:val="es-ES_tradnl"/>
        </w:rPr>
        <w:softHyphen/>
        <w:t>nación de la Sección II del Artículo </w:t>
      </w:r>
      <w:r w:rsidR="000A1A4C" w:rsidRPr="000A1A4C">
        <w:rPr>
          <w:rStyle w:val="Artref"/>
          <w:bCs/>
          <w:color w:val="000000"/>
          <w:lang w:val="es-ES_tradnl"/>
        </w:rPr>
        <w:t>9</w:t>
      </w:r>
      <w:r w:rsidR="000A1A4C" w:rsidRPr="000A1A4C">
        <w:rPr>
          <w:lang w:val="es-ES_tradnl"/>
        </w:rPr>
        <w:t>) de la información anticipada.</w:t>
      </w:r>
      <w:r w:rsidR="00C91196">
        <w:rPr>
          <w:lang w:val="es-ES_tradnl"/>
        </w:rPr>
        <w:t xml:space="preserve">      </w:t>
      </w:r>
    </w:p>
    <w:p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rsidR="002111DA" w:rsidRDefault="002111DA" w:rsidP="00BF79F3">
      <w:pPr>
        <w:rPr>
          <w:lang w:val="es-ES_tradnl"/>
        </w:rPr>
      </w:pPr>
      <w:r>
        <w:rPr>
          <w:lang w:val="es-ES_tradnl"/>
        </w:rPr>
        <w:br w:type="page"/>
      </w:r>
    </w:p>
    <w:p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BF79F3" w:rsidRPr="00BF79F3">
        <w:rPr>
          <w:lang w:val="es-ES_tradnl"/>
        </w:rPr>
        <w:t xml:space="preserve">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 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BF79F3" w:rsidRPr="00BF79F3">
        <w:rPr>
          <w:lang w:val="es-ES_tradnl"/>
        </w:rPr>
        <w:t xml:space="preserve">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Un año después de que la Oficina haya solicitado información con arreglo a los § 3.3 ó</w:t>
      </w:r>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w:t>
      </w:r>
      <w:r w:rsidR="00BF79F3">
        <w:rPr>
          <w:lang w:val="es-ES_tradnl"/>
        </w:rPr>
        <w:softHyphen/>
      </w:r>
      <w:r w:rsidRPr="00BF79F3">
        <w:rPr>
          <w:lang w:val="es-ES_tradnl"/>
        </w:rPr>
        <w:t>tarse dos</w:t>
      </w:r>
      <w:r w:rsidR="00BF79F3">
        <w:rPr>
          <w:lang w:val="es-ES_tradnl"/>
        </w:rPr>
        <w:t> </w:t>
      </w:r>
      <w:r w:rsidRPr="00BF79F3">
        <w:rPr>
          <w:lang w:val="es-ES_tradnl"/>
        </w:rPr>
        <w:t>situaciones:</w:t>
      </w:r>
    </w:p>
    <w:p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rsidR="003D2B29" w:rsidRPr="00BF79F3" w:rsidRDefault="002D7B00" w:rsidP="00583322">
      <w:pPr>
        <w:pStyle w:val="Heading1"/>
        <w:spacing w:before="0"/>
        <w:rPr>
          <w:lang w:val="es-ES_tradnl"/>
        </w:rPr>
      </w:pPr>
      <w:r>
        <w:rPr>
          <w:lang w:val="es-ES_tradnl"/>
        </w:rPr>
        <w:br w:type="page"/>
      </w:r>
      <w:r w:rsidR="003D2B29" w:rsidRPr="00BF79F3">
        <w:rPr>
          <w:lang w:val="es-ES_tradnl"/>
        </w:rPr>
        <w:lastRenderedPageBreak/>
        <w:t>4</w:t>
      </w:r>
      <w:r w:rsidR="003D2B29" w:rsidRPr="00BF79F3">
        <w:rPr>
          <w:lang w:val="es-ES_tradnl"/>
        </w:rPr>
        <w:tab/>
        <w:t>Otras notificaciones no admisibles</w:t>
      </w:r>
    </w:p>
    <w:p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r w:rsidRPr="002219D4">
        <w:rPr>
          <w:lang w:val="es-ES_tradnl"/>
        </w:rPr>
        <w:t xml:space="preserve">      </w:t>
      </w:r>
    </w:p>
    <w:p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Pr="002219D4">
        <w:rPr>
          <w:lang w:val="es-ES_tradnl"/>
        </w:rPr>
        <w:t xml:space="preserve">Una petición de coordinación de red de satélites y las posibles modificaciones posteriores pueden corresponder únicamente a una información de publicación anticipada, incluida su posible modificación o viceversa. Conforme a la Regla de Procedimiento sobre la definición de una red de satélite que figura en el número </w:t>
      </w:r>
      <w:r w:rsidRPr="000463F1">
        <w:rPr>
          <w:rStyle w:val="Artref"/>
          <w:b/>
          <w:color w:val="000000"/>
          <w:lang w:val="es-ES_tradnl"/>
        </w:rPr>
        <w:t>1.112</w:t>
      </w:r>
      <w:r w:rsidRPr="002219D4">
        <w:rPr>
          <w:lang w:val="es-ES_tradnl"/>
        </w:rPr>
        <w:t xml:space="preserve">, esta petición de coordinación tendría por tanto un único conjunto de características orbitales, es decir, las especificadas en la Sección A4 del Apéndice </w:t>
      </w:r>
      <w:r w:rsidRPr="002219D4">
        <w:rPr>
          <w:rStyle w:val="Appref"/>
          <w:b/>
          <w:bCs/>
          <w:color w:val="000000"/>
          <w:lang w:val="es-ES_tradnl"/>
        </w:rPr>
        <w:t>4</w:t>
      </w:r>
      <w:r w:rsidRPr="002219D4">
        <w:rPr>
          <w:lang w:val="es-ES_tradnl"/>
        </w:rPr>
        <w:t>. Una modificación de una petición de coordinación que haga referencia a la misma publicación anticipada de información, sólo será admisible si el conjunto de carac</w:t>
      </w:r>
      <w:r w:rsidRPr="002219D4">
        <w:rPr>
          <w:lang w:val="es-ES_tradnl"/>
        </w:rPr>
        <w:softHyphen/>
        <w:t xml:space="preserve">terísticas orbitales incluido en dicha notificación no cambia en relación con el de la petición de coordinación anterior si pretende reemplazar a dicho grupo anterior de características orbitales. En todos los demás casos, se exige una nueva petición de coordinación, pues la notificación se refiere ahora a una nueva red de satélite (véase el número </w:t>
      </w:r>
      <w:r w:rsidRPr="002219D4">
        <w:rPr>
          <w:b/>
          <w:bCs/>
          <w:lang w:val="es-ES_tradnl"/>
        </w:rPr>
        <w:t>9.2C</w:t>
      </w:r>
      <w:r w:rsidRPr="005A30A5">
        <w:rPr>
          <w:lang w:val="es-ES_tradnl"/>
        </w:rPr>
        <w:t>)</w:t>
      </w:r>
      <w:r w:rsidRPr="002219D4">
        <w:rPr>
          <w:lang w:val="es-ES_tradnl"/>
        </w:rPr>
        <w:t xml:space="preserve"> (en el caso de un sistema de satélites no OSG con más de un satélite, </w:t>
      </w:r>
      <w:r w:rsidR="00350882">
        <w:rPr>
          <w:lang w:val="es-ES_tradnl"/>
        </w:rPr>
        <w:t>v</w:t>
      </w:r>
      <w:r w:rsidR="00350882" w:rsidRPr="00350882">
        <w:rPr>
          <w:lang w:val="es-ES_tradnl"/>
        </w:rPr>
        <w:t>éanse asimismo los comentarios en la nota a pie de página (*)</w:t>
      </w:r>
      <w:r w:rsidR="00350882">
        <w:rPr>
          <w:lang w:val="es-ES_tradnl"/>
        </w:rPr>
        <w:t xml:space="preserve"> de las Reglas de Procedimiento</w:t>
      </w:r>
      <w:r w:rsidR="00350882" w:rsidRPr="00350882">
        <w:rPr>
          <w:lang w:val="es-ES_tradnl"/>
        </w:rPr>
        <w:t xml:space="preserve"> relativas a la </w:t>
      </w:r>
      <w:r w:rsidR="00350882">
        <w:rPr>
          <w:lang w:val="es-ES_tradnl"/>
        </w:rPr>
        <w:t xml:space="preserve">aceptabilidad </w:t>
      </w:r>
      <w:r w:rsidR="00350882" w:rsidRPr="00350882">
        <w:rPr>
          <w:lang w:val="es-ES_tradnl"/>
        </w:rPr>
        <w:t>de formularios de notificación.</w:t>
      </w:r>
      <w:r w:rsidRPr="002219D4">
        <w:rPr>
          <w:szCs w:val="24"/>
          <w:lang w:val="es-ES_tradnl"/>
        </w:rPr>
        <w:t>).</w:t>
      </w:r>
      <w:r w:rsidRPr="002219D4">
        <w:rPr>
          <w:lang w:val="es-ES_tradnl"/>
        </w:rPr>
        <w:t xml:space="preserve">      </w:t>
      </w:r>
    </w:p>
    <w:p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w:t>
      </w:r>
      <w:r w:rsidRPr="002219D4">
        <w:rPr>
          <w:lang w:val="es-ES_tradnl"/>
        </w:rPr>
        <w:softHyphen/>
        <w:t>cular es admisible únicamente si se han efectuado los procedimientos aplicables previamente.      </w:t>
      </w:r>
    </w:p>
    <w:p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 xml:space="preserve">Una notificación según el Artículo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rsidR="002219D4" w:rsidRPr="002219D4" w:rsidRDefault="002219D4" w:rsidP="001534CF">
      <w:pPr>
        <w:spacing w:before="120"/>
        <w:rPr>
          <w:lang w:val="es-ES_tradnl"/>
        </w:rPr>
      </w:pPr>
      <w:r w:rsidRPr="002219D4">
        <w:rPr>
          <w:lang w:val="es-ES_tradnl"/>
        </w:rPr>
        <w:t>4.3.2</w:t>
      </w:r>
      <w:r w:rsidRPr="002219D4">
        <w:rPr>
          <w:lang w:val="es-ES_tradnl"/>
        </w:rPr>
        <w:tab/>
        <w:t xml:space="preserve">Una notificación según el Artículo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rsidR="00A86E1C" w:rsidRDefault="00A86E1C" w:rsidP="001534CF">
      <w:pPr>
        <w:spacing w:before="120"/>
        <w:rPr>
          <w:szCs w:val="24"/>
          <w:lang w:val="es-ES_tradnl"/>
        </w:rPr>
      </w:pPr>
      <w:r>
        <w:rPr>
          <w:szCs w:val="24"/>
          <w:lang w:val="es-ES_tradnl"/>
        </w:rPr>
        <w:br w:type="page"/>
      </w:r>
    </w:p>
    <w:p w:rsidR="002219D4" w:rsidRPr="002219D4" w:rsidRDefault="002219D4" w:rsidP="001534CF">
      <w:pPr>
        <w:spacing w:before="120"/>
        <w:rPr>
          <w:lang w:val="es-ES_tradnl"/>
        </w:rPr>
      </w:pPr>
      <w:r w:rsidRPr="002219D4">
        <w:rPr>
          <w:szCs w:val="24"/>
          <w:lang w:val="es-ES_tradnl"/>
        </w:rPr>
        <w:lastRenderedPageBreak/>
        <w:t>4.3.3</w:t>
      </w:r>
      <w:r w:rsidRPr="002219D4">
        <w:rPr>
          <w:szCs w:val="24"/>
          <w:lang w:val="es-ES_tradnl"/>
        </w:rPr>
        <w:tab/>
        <w:t xml:space="preserve">Una notificación de una estación terrena con arreglo al Artículo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bookmarkStart w:id="0" w:name="_GoBack"/>
      <w:bookmarkEnd w:id="0"/>
    </w:p>
    <w:p w:rsidR="001534CF" w:rsidRDefault="002219D4" w:rsidP="002111DA">
      <w:pPr>
        <w:spacing w:before="120"/>
        <w:rPr>
          <w:bCs/>
          <w:sz w:val="16"/>
          <w:szCs w:val="16"/>
          <w:lang w:val="es-ES_tradnl"/>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ó 7 años, según el caso), no es admisible y se devolverá a la administración notificante.</w:t>
      </w:r>
      <w:r w:rsidRPr="002219D4">
        <w:rPr>
          <w:lang w:val="es-ES_tradnl"/>
        </w:rPr>
        <w:t xml:space="preserve">      </w:t>
      </w:r>
    </w:p>
    <w:p w:rsidR="001534CF" w:rsidRDefault="001534CF" w:rsidP="001534CF">
      <w:pPr>
        <w:spacing w:before="120"/>
        <w:rPr>
          <w:lang w:val="es-ES_tradnl"/>
        </w:rPr>
      </w:pPr>
      <w:r w:rsidRPr="001534CF">
        <w:rPr>
          <w:b/>
          <w:bCs/>
          <w:lang w:val="es-ES_tradnl"/>
        </w:rPr>
        <w:t>5</w:t>
      </w:r>
      <w:r w:rsidRPr="00BF79F3">
        <w:rPr>
          <w:lang w:val="es-ES_tradnl"/>
        </w:rPr>
        <w:tab/>
        <w:t>Siempre que la Oficina devuelva un formulario de notificación, se aportará a la administración notificante la justificación necesaria de dicha actuación.</w:t>
      </w:r>
    </w:p>
    <w:p w:rsidR="00A86E1C" w:rsidRDefault="00A86E1C" w:rsidP="001534CF">
      <w:pPr>
        <w:spacing w:before="120"/>
        <w:rPr>
          <w:lang w:val="es-ES_tradnl"/>
        </w:rPr>
      </w:pPr>
    </w:p>
    <w:p w:rsidR="00A86E1C" w:rsidRDefault="00965D88" w:rsidP="00965D88">
      <w:pPr>
        <w:spacing w:before="120"/>
        <w:jc w:val="center"/>
        <w:rPr>
          <w:lang w:val="es-ES_tradnl"/>
        </w:rPr>
      </w:pPr>
      <w:r w:rsidRPr="00BF79F3">
        <w:rPr>
          <w:lang w:val="es-ES_tradnl"/>
        </w:rPr>
        <w:t>____________________</w:t>
      </w: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lang w:val="es-ES_tradnl"/>
        </w:rPr>
      </w:pPr>
    </w:p>
    <w:p w:rsidR="00A86E1C" w:rsidRDefault="00A86E1C" w:rsidP="001534CF">
      <w:pPr>
        <w:spacing w:before="120"/>
        <w:rPr>
          <w:bCs/>
          <w:sz w:val="16"/>
          <w:szCs w:val="16"/>
          <w:lang w:val="es-ES_tradnl"/>
        </w:rPr>
      </w:pPr>
    </w:p>
    <w:p w:rsidR="003D2B29" w:rsidRPr="00BF79F3" w:rsidRDefault="003D2B29" w:rsidP="001534CF">
      <w:pPr>
        <w:jc w:val="center"/>
        <w:rPr>
          <w:lang w:val="es-ES_tradnl"/>
        </w:rPr>
        <w:sectPr w:rsidR="003D2B29" w:rsidRPr="00BF79F3" w:rsidSect="000463F1">
          <w:headerReference w:type="even" r:id="rId13"/>
          <w:headerReference w:type="default" r:id="rId14"/>
          <w:footnotePr>
            <w:pos w:val="beneathText"/>
          </w:footnotePr>
          <w:pgSz w:w="11907" w:h="16840" w:code="9"/>
          <w:pgMar w:top="1701" w:right="851" w:bottom="1134" w:left="1985" w:header="720" w:footer="482" w:gutter="0"/>
          <w:pgNumType w:start="3"/>
          <w:cols w:space="720"/>
          <w:vAlign w:val="both"/>
        </w:sectPr>
      </w:pPr>
    </w:p>
    <w:p w:rsidR="003D2B29" w:rsidRPr="00BF79F3" w:rsidRDefault="003D2B29" w:rsidP="00362514">
      <w:pPr>
        <w:rPr>
          <w:lang w:val="es-ES_tradnl"/>
        </w:rPr>
      </w:pPr>
    </w:p>
    <w:sectPr w:rsidR="003D2B29" w:rsidRPr="00BF79F3" w:rsidSect="00362514">
      <w:headerReference w:type="even" r:id="rId15"/>
      <w:headerReference w:type="default" r:id="rId16"/>
      <w:headerReference w:type="first" r:id="rId17"/>
      <w:foot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5BA" w:rsidRDefault="00C775BA">
      <w:r>
        <w:separator/>
      </w:r>
    </w:p>
  </w:endnote>
  <w:endnote w:type="continuationSeparator" w:id="0">
    <w:p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9F3" w:rsidRDefault="00BF7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5BA" w:rsidRDefault="00C775BA">
      <w:r>
        <w:rPr>
          <w:b/>
        </w:rPr>
        <w:t>_______________</w:t>
      </w:r>
    </w:p>
  </w:footnote>
  <w:footnote w:type="continuationSeparator" w:id="0">
    <w:p w:rsidR="00C775BA" w:rsidRDefault="00C775BA">
      <w:r>
        <w:continuationSeparator/>
      </w:r>
    </w:p>
  </w:footnote>
  <w:footnote w:id="1">
    <w:p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(Add.2)(Rev.1), y estipuló lo siguiente:</w:t>
      </w:r>
    </w:p>
    <w:p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rsidR="00EF6662" w:rsidRPr="00E06E7E" w:rsidRDefault="00EF6662" w:rsidP="00E06E7E">
      <w:pPr>
        <w:pStyle w:val="FootnoteText"/>
        <w:tabs>
          <w:tab w:val="left" w:pos="709"/>
        </w:tabs>
        <w:ind w:leftChars="118" w:left="283"/>
        <w:rPr>
          <w:rFonts w:asciiTheme="majorBidi" w:hAnsiTheme="majorBidi" w:cstheme="majorBidi"/>
          <w:lang w:val="es-ES_tradnl"/>
        </w:rPr>
      </w:pPr>
      <w:r w:rsidRPr="00E06E7E">
        <w:rPr>
          <w:rFonts w:asciiTheme="majorBidi" w:hAnsiTheme="majorBidi" w:cstheme="majorBidi"/>
          <w:i/>
          <w:iCs/>
          <w:lang w:val="es-ES"/>
        </w:rPr>
        <w:t>ii)</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rsidR="00D75E23" w:rsidRPr="00D75E23" w:rsidRDefault="00D75E23" w:rsidP="00D75E23">
      <w:pPr>
        <w:pStyle w:val="FootnoteText"/>
        <w:rPr>
          <w:rFonts w:asciiTheme="minorHAnsi" w:hAnsiTheme="minorHAnsi" w:cstheme="minorHAnsi"/>
          <w:lang w:val="es-ES"/>
        </w:rPr>
      </w:pPr>
      <w:r w:rsidRPr="00E06E7E">
        <w:rPr>
          <w:rStyle w:val="FootnoteReference"/>
          <w:rFonts w:asciiTheme="majorBidi" w:hAnsiTheme="majorBidi" w:cstheme="majorBidi"/>
          <w:lang w:val="es-ES"/>
        </w:rPr>
        <w:t>1</w:t>
      </w:r>
      <w:r w:rsidRPr="00E06E7E">
        <w:rPr>
          <w:rFonts w:asciiTheme="majorBidi" w:hAnsiTheme="majorBidi" w:cstheme="majorBidi"/>
          <w:lang w:val="es-ES"/>
        </w:rPr>
        <w:tab/>
        <w:t xml:space="preserve">Salvo los comentarios presentados con arreglo a los § 4.1.7, 4.1.9, 4.1.10 del Artículo 4 de los Apéndices </w:t>
      </w:r>
      <w:r w:rsidRPr="00E06E7E">
        <w:rPr>
          <w:rFonts w:asciiTheme="majorBidi" w:hAnsiTheme="majorBidi" w:cstheme="majorBidi"/>
          <w:b/>
          <w:bCs/>
          <w:lang w:val="es-ES"/>
        </w:rPr>
        <w:t>30</w:t>
      </w:r>
      <w:r w:rsidRPr="00E06E7E">
        <w:rPr>
          <w:rFonts w:asciiTheme="majorBidi" w:hAnsiTheme="majorBidi" w:cstheme="majorBidi"/>
          <w:lang w:val="es-ES"/>
        </w:rPr>
        <w:t xml:space="preserve"> y </w:t>
      </w:r>
      <w:r w:rsidRPr="00E06E7E">
        <w:rPr>
          <w:rFonts w:asciiTheme="majorBidi" w:hAnsiTheme="majorBidi" w:cstheme="majorBidi"/>
          <w:b/>
          <w:bCs/>
          <w:lang w:val="es-ES"/>
        </w:rPr>
        <w:t>30A</w:t>
      </w:r>
      <w:r w:rsidRPr="00E06E7E">
        <w:rPr>
          <w:rFonts w:asciiTheme="majorBidi" w:hAnsiTheme="majorBidi" w:cstheme="majorBidi"/>
          <w:lang w:val="es-ES"/>
        </w:rPr>
        <w:t xml:space="preserve"> con respecto a usos adiciones con arreglo al Artículo 4 y la utilización de bandas de guarda con arreglo al Artículo 2A de dichos Apéndices en las Regiones 1 y 3.</w:t>
      </w:r>
    </w:p>
  </w:footnote>
  <w:footnote w:id="3">
    <w:p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F3428" w:rsidRPr="000463F1">
      <w:trPr>
        <w:cantSplit/>
      </w:trPr>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3428" w:rsidRPr="000463F1" w:rsidRDefault="001F3428" w:rsidP="000463F1">
          <w:pPr>
            <w:pStyle w:val="HeaderRegProc"/>
            <w:rPr>
              <w:lang w:val="es-ES_tradnl"/>
            </w:rPr>
          </w:pPr>
          <w:r w:rsidRPr="000463F1">
            <w:rPr>
              <w:lang w:val="es-ES_tradnl"/>
            </w:rPr>
            <w:t>rev.</w:t>
          </w:r>
          <w:r w:rsidR="000463F1" w:rsidRPr="000463F1">
            <w:rPr>
              <w:lang w:val="es-ES_tradnl"/>
            </w:rPr>
            <w:t xml:space="preserve"> 2</w:t>
          </w:r>
        </w:p>
      </w:tc>
    </w:tr>
  </w:tbl>
  <w:p w:rsidR="001F3428" w:rsidRPr="000463F1" w:rsidRDefault="001F3428">
    <w:pPr>
      <w:rPr>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F3428">
      <w:trPr>
        <w:cantSplit/>
        <w:jc w:val="right"/>
      </w:trPr>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rsidR="001F3428" w:rsidRDefault="001F3428">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F3428" w:rsidRPr="001E77F8" w:rsidRDefault="001E77F8" w:rsidP="00D75E23">
          <w:pPr>
            <w:pStyle w:val="HeaderRegProc"/>
            <w:rPr>
              <w:lang w:val="en-GB"/>
            </w:rPr>
          </w:pPr>
          <w:r w:rsidRPr="001E77F8">
            <w:rPr>
              <w:lang w:val="en-GB"/>
            </w:rPr>
            <w:t xml:space="preserve">rev. </w:t>
          </w:r>
          <w:r w:rsidR="00D75E23">
            <w:rPr>
              <w:lang w:val="en-GB"/>
            </w:rPr>
            <w:t>2</w:t>
          </w:r>
        </w:p>
      </w:tc>
    </w:tr>
  </w:tbl>
  <w:p w:rsidR="001F3428" w:rsidRDefault="001F34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trPr>
        <w:cantSplit/>
        <w:jc w:val="right"/>
      </w:trPr>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rsidR="000463F1" w:rsidRDefault="000463F1" w:rsidP="000463F1">
          <w:pPr>
            <w:pStyle w:val="HeaderRegProc"/>
            <w:rPr>
              <w:lang w:val="fr-CH"/>
            </w:rPr>
          </w:pPr>
          <w:r>
            <w:rPr>
              <w:lang w:val="fr-FR"/>
            </w:rPr>
            <w:t>página 2</w:t>
          </w:r>
          <w:r w:rsidRPr="000463F1">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rsidR="000463F1" w:rsidRPr="001E77F8" w:rsidRDefault="000463F1" w:rsidP="00D75E23">
          <w:pPr>
            <w:pStyle w:val="HeaderRegProc"/>
            <w:rPr>
              <w:lang w:val="en-GB"/>
            </w:rPr>
          </w:pPr>
          <w:r w:rsidRPr="001E77F8">
            <w:rPr>
              <w:lang w:val="en-GB"/>
            </w:rPr>
            <w:t xml:space="preserve">rev. </w:t>
          </w:r>
          <w:r>
            <w:rPr>
              <w:lang w:val="en-GB"/>
            </w:rPr>
            <w:t>2</w:t>
          </w:r>
        </w:p>
      </w:tc>
    </w:tr>
  </w:tbl>
  <w:p w:rsidR="000463F1" w:rsidRDefault="000463F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trPr>
        <w:cantSplit/>
      </w:trPr>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fr-CH"/>
            </w:rPr>
          </w:pPr>
          <w:r>
            <w:rPr>
              <w:lang w:val="fr-CH"/>
            </w:rPr>
            <w:t>rev.-</w:t>
          </w:r>
        </w:p>
      </w:tc>
    </w:tr>
  </w:tbl>
  <w:p w:rsidR="000463F1" w:rsidRDefault="000463F1">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trPr>
        <w:cantSplit/>
        <w:jc w:val="right"/>
      </w:trPr>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rsidR="000463F1" w:rsidRDefault="000463F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463F1" w:rsidRPr="001E77F8" w:rsidRDefault="000463F1" w:rsidP="000463F1">
          <w:pPr>
            <w:pStyle w:val="HeaderRegProc"/>
            <w:rPr>
              <w:lang w:val="en-GB"/>
            </w:rPr>
          </w:pPr>
          <w:r w:rsidRPr="001E77F8">
            <w:rPr>
              <w:lang w:val="en-GB"/>
            </w:rPr>
            <w:t xml:space="preserve">rev. </w:t>
          </w:r>
          <w:r>
            <w:rPr>
              <w:lang w:val="en-GB"/>
            </w:rPr>
            <w:t>-</w:t>
          </w:r>
        </w:p>
      </w:tc>
    </w:tr>
  </w:tbl>
  <w:p w:rsidR="000463F1" w:rsidRDefault="000463F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trPr>
        <w:cantSplit/>
      </w:trPr>
      <w:tc>
        <w:tcPr>
          <w:tcW w:w="1701" w:type="dxa"/>
          <w:tcBorders>
            <w:top w:val="single" w:sz="6" w:space="0" w:color="auto"/>
            <w:left w:val="single" w:sz="6" w:space="0" w:color="auto"/>
            <w:bottom w:val="single" w:sz="6" w:space="0" w:color="auto"/>
            <w:right w:val="single" w:sz="6" w:space="0" w:color="auto"/>
          </w:tcBorders>
        </w:tcPr>
        <w:p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473EF8">
            <w:rPr>
              <w:lang w:val="en-US"/>
            </w:rPr>
            <w:t>AR</w:t>
          </w:r>
          <w:r>
            <w:fldChar w:fldCharType="end"/>
          </w:r>
          <w:r w:rsidR="009B33FA">
            <w:fldChar w:fldCharType="begin"/>
          </w:r>
          <w:r w:rsidR="00BF79F3" w:rsidRPr="000E51EF">
            <w:rPr>
              <w:lang w:val="en-US"/>
            </w:rPr>
            <w:instrText>styleref href2</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Default="00BF79F3">
          <w:pPr>
            <w:pStyle w:val="HeaderRegProc"/>
            <w:rPr>
              <w:lang w:val="fr-CH"/>
            </w:rPr>
          </w:pPr>
          <w:r>
            <w:rPr>
              <w:lang w:val="fr-FR"/>
            </w:rPr>
            <w:t xml:space="preserve">página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Default="00BF79F3">
          <w:pPr>
            <w:pStyle w:val="HeaderRegProc"/>
            <w:rPr>
              <w:lang w:val="fr-CH"/>
            </w:rPr>
          </w:pPr>
          <w:r>
            <w:rPr>
              <w:lang w:val="fr-CH"/>
            </w:rPr>
            <w:t>rev.</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473EF8">
            <w:rPr>
              <w:lang w:val="fr-CH"/>
            </w:rPr>
            <w:t>-</w:t>
          </w:r>
          <w:r w:rsidR="00473EF8">
            <w:rPr>
              <w:lang w:val="fr-CH"/>
            </w:rPr>
            <w:fldChar w:fldCharType="end"/>
          </w:r>
        </w:p>
      </w:tc>
    </w:tr>
  </w:tbl>
  <w:p w:rsidR="00BF79F3" w:rsidRDefault="00BF79F3">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trPr>
        <w:cantSplit/>
        <w:jc w:val="right"/>
      </w:trPr>
      <w:tc>
        <w:tcPr>
          <w:tcW w:w="1701" w:type="dxa"/>
          <w:tcBorders>
            <w:top w:val="single" w:sz="6" w:space="0" w:color="auto"/>
            <w:left w:val="single" w:sz="6" w:space="0" w:color="auto"/>
            <w:bottom w:val="single" w:sz="6" w:space="0" w:color="auto"/>
            <w:right w:val="single" w:sz="6" w:space="0" w:color="auto"/>
          </w:tcBorders>
        </w:tcPr>
        <w:p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473EF8">
            <w:rPr>
              <w:lang w:val="en-US"/>
            </w:rPr>
            <w:t>AR</w:t>
          </w:r>
          <w:r>
            <w:fldChar w:fldCharType="end"/>
          </w:r>
          <w:r w:rsidR="009B33FA">
            <w:fldChar w:fldCharType="begin"/>
          </w:r>
          <w:r w:rsidR="00BF79F3" w:rsidRPr="000E51EF">
            <w:rPr>
              <w:lang w:val="en-US"/>
            </w:rPr>
            <w:instrText>styleref href2</w:instrText>
          </w:r>
          <w:r w:rsidR="009B33FA">
            <w:fldChar w:fldCharType="separate"/>
          </w:r>
          <w:r w:rsidR="00473EF8">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Default="00BF79F3">
          <w:pPr>
            <w:pStyle w:val="HeaderRegProc"/>
            <w:rPr>
              <w:lang w:val="fr-CH"/>
            </w:rPr>
          </w:pPr>
          <w:r>
            <w:rPr>
              <w:lang w:val="fr-FR"/>
            </w:rPr>
            <w:t xml:space="preserve">página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F79F3" w:rsidRDefault="00BF79F3">
          <w:pPr>
            <w:pStyle w:val="HeaderRegProc"/>
            <w:rPr>
              <w:lang w:val="fr-CH"/>
            </w:rPr>
          </w:pPr>
          <w:r>
            <w:rPr>
              <w:lang w:val="fr-CH"/>
            </w:rPr>
            <w:t>rev.</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473EF8">
            <w:rPr>
              <w:lang w:val="fr-CH"/>
            </w:rPr>
            <w:t>-</w:t>
          </w:r>
          <w:r w:rsidR="00473EF8">
            <w:rPr>
              <w:lang w:val="fr-CH"/>
            </w:rPr>
            <w:fldChar w:fldCharType="end"/>
          </w:r>
        </w:p>
      </w:tc>
    </w:tr>
  </w:tbl>
  <w:p w:rsidR="00BF79F3" w:rsidRDefault="00BF79F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2"/>
  </w:compat>
  <w:rsids>
    <w:rsidRoot w:val="00675651"/>
    <w:rsid w:val="00006426"/>
    <w:rsid w:val="00025A34"/>
    <w:rsid w:val="000463F1"/>
    <w:rsid w:val="00046A63"/>
    <w:rsid w:val="000660D5"/>
    <w:rsid w:val="000A1A4C"/>
    <w:rsid w:val="000B3451"/>
    <w:rsid w:val="000C6F6A"/>
    <w:rsid w:val="000E51EF"/>
    <w:rsid w:val="00112D91"/>
    <w:rsid w:val="001506B9"/>
    <w:rsid w:val="001514C7"/>
    <w:rsid w:val="001534CF"/>
    <w:rsid w:val="001C1C12"/>
    <w:rsid w:val="001E77F8"/>
    <w:rsid w:val="001F3428"/>
    <w:rsid w:val="002111DA"/>
    <w:rsid w:val="002219D4"/>
    <w:rsid w:val="00233854"/>
    <w:rsid w:val="002576E6"/>
    <w:rsid w:val="002B32E4"/>
    <w:rsid w:val="002D7B00"/>
    <w:rsid w:val="002E3390"/>
    <w:rsid w:val="0030037A"/>
    <w:rsid w:val="003350D5"/>
    <w:rsid w:val="00350882"/>
    <w:rsid w:val="00362514"/>
    <w:rsid w:val="00384D49"/>
    <w:rsid w:val="00386E57"/>
    <w:rsid w:val="003A04AB"/>
    <w:rsid w:val="003D2B29"/>
    <w:rsid w:val="003D669E"/>
    <w:rsid w:val="003D770F"/>
    <w:rsid w:val="003F19DA"/>
    <w:rsid w:val="00415554"/>
    <w:rsid w:val="00465692"/>
    <w:rsid w:val="004679A2"/>
    <w:rsid w:val="00473EF8"/>
    <w:rsid w:val="004A249A"/>
    <w:rsid w:val="004A492C"/>
    <w:rsid w:val="004B671B"/>
    <w:rsid w:val="004E0A89"/>
    <w:rsid w:val="00524DCC"/>
    <w:rsid w:val="00527A88"/>
    <w:rsid w:val="00563933"/>
    <w:rsid w:val="00583322"/>
    <w:rsid w:val="005B32DD"/>
    <w:rsid w:val="005C25CD"/>
    <w:rsid w:val="005D2BE2"/>
    <w:rsid w:val="005F5966"/>
    <w:rsid w:val="00605A1B"/>
    <w:rsid w:val="006377C8"/>
    <w:rsid w:val="00675651"/>
    <w:rsid w:val="00692387"/>
    <w:rsid w:val="00734966"/>
    <w:rsid w:val="0077044D"/>
    <w:rsid w:val="007D54C5"/>
    <w:rsid w:val="007E04CD"/>
    <w:rsid w:val="00824D49"/>
    <w:rsid w:val="00832B32"/>
    <w:rsid w:val="00905858"/>
    <w:rsid w:val="00922485"/>
    <w:rsid w:val="00965D88"/>
    <w:rsid w:val="009A4BAB"/>
    <w:rsid w:val="009B33FA"/>
    <w:rsid w:val="00A06A5E"/>
    <w:rsid w:val="00A157EB"/>
    <w:rsid w:val="00A25B73"/>
    <w:rsid w:val="00A55F83"/>
    <w:rsid w:val="00A60CE5"/>
    <w:rsid w:val="00A64D48"/>
    <w:rsid w:val="00A86E1C"/>
    <w:rsid w:val="00AE07BD"/>
    <w:rsid w:val="00B121D2"/>
    <w:rsid w:val="00B464E8"/>
    <w:rsid w:val="00B70480"/>
    <w:rsid w:val="00BD317D"/>
    <w:rsid w:val="00BF79F3"/>
    <w:rsid w:val="00C23C84"/>
    <w:rsid w:val="00C775BA"/>
    <w:rsid w:val="00C91196"/>
    <w:rsid w:val="00CB5C9B"/>
    <w:rsid w:val="00CD3F71"/>
    <w:rsid w:val="00CD664C"/>
    <w:rsid w:val="00D63D1C"/>
    <w:rsid w:val="00D75E23"/>
    <w:rsid w:val="00DC5E1A"/>
    <w:rsid w:val="00DE458C"/>
    <w:rsid w:val="00E06E7E"/>
    <w:rsid w:val="00E16D8D"/>
    <w:rsid w:val="00E172FA"/>
    <w:rsid w:val="00E340BA"/>
    <w:rsid w:val="00E572A9"/>
    <w:rsid w:val="00E730FC"/>
    <w:rsid w:val="00EA7476"/>
    <w:rsid w:val="00EE24B6"/>
    <w:rsid w:val="00EE7476"/>
    <w:rsid w:val="00EF6662"/>
    <w:rsid w:val="00F31303"/>
    <w:rsid w:val="00F56308"/>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9B33FA"/>
    <w:pPr>
      <w:spacing w:after="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wisfat/en" TargetMode="External"/><Relationship Id="rId13" Type="http://schemas.openxmlformats.org/officeDocument/2006/relationships/header" Target="header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E6625-0F5C-45F7-87F2-638C08AE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175</TotalTime>
  <Pages>9</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Aceptabilidad</dc:subject>
  <dc:creator>Composition des Publications</dc:creator>
  <cp:keywords>Folios: 1 - 6 (blanc)</cp:keywords>
  <dc:description>Edition 2009:  11.02.2009/DD (dict. ok)</dc:description>
  <cp:lastModifiedBy>Catalano Moreira, Rossana</cp:lastModifiedBy>
  <cp:revision>74</cp:revision>
  <cp:lastPrinted>2018-07-31T08:08:00Z</cp:lastPrinted>
  <dcterms:created xsi:type="dcterms:W3CDTF">2012-10-02T09:24:00Z</dcterms:created>
  <dcterms:modified xsi:type="dcterms:W3CDTF">2018-07-31T08:09:00Z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