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 presentadas por una administración en la misma posición orbital, en asignaciones de frecuencias de una única red de satélites</w:t>
      </w:r>
    </w:p>
    <w:p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 xml:space="preserve">Estructura de la notificación </w:t>
      </w:r>
    </w:p>
    <w:p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 ...)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rsidR="009C3798" w:rsidRDefault="009C3798" w:rsidP="00857FBA">
      <w:pPr>
        <w:rPr>
          <w:rFonts w:eastAsia="SimSun"/>
          <w:szCs w:val="24"/>
          <w:lang w:val="es-ES"/>
        </w:rPr>
      </w:pPr>
      <w:r>
        <w:rPr>
          <w:rFonts w:eastAsia="SimSun"/>
          <w:szCs w:val="24"/>
          <w:lang w:val="es-ES"/>
        </w:rPr>
        <w:br w:type="page"/>
      </w:r>
    </w:p>
    <w:p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rsidR="00676B57" w:rsidRPr="003667EC" w:rsidRDefault="00676B57" w:rsidP="00676B57">
      <w:pPr>
        <w:rPr>
          <w:color w:val="000000"/>
          <w:lang w:val="es-ES_tradnl"/>
        </w:rPr>
      </w:pPr>
      <w:r w:rsidRPr="003667EC">
        <w:rPr>
          <w:lang w:val="es-ES_tradnl"/>
        </w:rPr>
        <w:t>2</w:t>
      </w:r>
      <w:r w:rsidRPr="003667EC">
        <w:rPr>
          <w:lang w:val="es-ES_tradnl"/>
        </w:rPr>
        <w:tab/>
        <w:t>A continuación se ofrece un resumen de las frecuencias/bandas de frecuencias que se prescriben para uso común:</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rsidR="00A60C28" w:rsidRPr="003667EC" w:rsidRDefault="00A60C28" w:rsidP="007E3FFE">
      <w:pPr>
        <w:pStyle w:val="Heading8"/>
        <w:rPr>
          <w:color w:val="000000"/>
          <w:lang w:val="es-ES_tradnl"/>
        </w:rPr>
      </w:pPr>
      <w:r w:rsidRPr="003667EC">
        <w:rPr>
          <w:color w:val="000000"/>
          <w:lang w:val="es-ES_tradnl"/>
        </w:rPr>
        <w:t>11.14</w:t>
      </w:r>
    </w:p>
    <w:p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w:t>
      </w:r>
      <w:bookmarkStart w:id="0" w:name="_GoBack"/>
      <w:bookmarkEnd w:id="0"/>
      <w:r w:rsidRPr="003667EC">
        <w:rPr>
          <w:color w:val="000000"/>
          <w:lang w:val="es-ES_tradnl"/>
        </w:rPr>
        <w:t>to no apareado (frecuencias indicadas en la Parte B, Sección III del Apéndice </w:t>
      </w:r>
      <w:r w:rsidRPr="003667EC">
        <w:rPr>
          <w:rStyle w:val="Appref"/>
          <w:b/>
          <w:color w:val="000000"/>
          <w:lang w:val="es-ES_tradnl"/>
        </w:rPr>
        <w:t>17</w:t>
      </w:r>
      <w:r w:rsidRPr="003667EC">
        <w:rPr>
          <w:lang w:val="es-ES_tradnl"/>
        </w:rPr>
        <w:t>).</w:t>
      </w:r>
    </w:p>
    <w:p w:rsidR="00676B57" w:rsidRPr="003667EC"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rsidR="00A60C28" w:rsidRPr="003667EC" w:rsidRDefault="00A60C28" w:rsidP="00BF0573">
      <w:pPr>
        <w:pStyle w:val="Heading8"/>
        <w:spacing w:before="240"/>
        <w:rPr>
          <w:lang w:val="es-ES_tradnl"/>
        </w:rPr>
      </w:pPr>
      <w:r w:rsidRPr="003667EC">
        <w:rPr>
          <w:lang w:val="es-ES_tradnl"/>
        </w:rPr>
        <w:t>11.17</w:t>
      </w:r>
    </w:p>
    <w:p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xml:space="preserve">,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 </w:t>
      </w:r>
      <w:r w:rsidR="00E41FDD">
        <w:rPr>
          <w:color w:val="000000"/>
          <w:lang w:val="es-ES_tradnl"/>
        </w:rPr>
        <w:br w:type="page"/>
      </w:r>
    </w:p>
    <w:p w:rsidR="00E41FDD" w:rsidRDefault="00A60C28" w:rsidP="00E41FDD">
      <w:pPr>
        <w:rPr>
          <w:color w:val="000000"/>
          <w:lang w:val="es-ES_tradnl"/>
        </w:rPr>
      </w:pPr>
      <w:r w:rsidRPr="003667EC">
        <w:rPr>
          <w:color w:val="000000"/>
          <w:lang w:val="es-ES_tradnl"/>
        </w:rPr>
        <w:lastRenderedPageBreak/>
        <w:t>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rsidR="00E41FDD" w:rsidRDefault="00E41FDD" w:rsidP="00FB6506">
      <w:pPr>
        <w:spacing w:before="120"/>
        <w:rPr>
          <w:color w:val="000000"/>
          <w:lang w:val="es-ES_tradnl"/>
        </w:rPr>
      </w:pPr>
      <w:r>
        <w:rPr>
          <w:color w:val="000000"/>
          <w:lang w:val="es-ES_tradnl"/>
        </w:rPr>
        <w:br w:type="page"/>
      </w:r>
    </w:p>
    <w:p w:rsidR="00A60C28" w:rsidRPr="003667EC" w:rsidRDefault="00A60C28" w:rsidP="009243FB">
      <w:pPr>
        <w:pStyle w:val="Heading8"/>
        <w:rPr>
          <w:color w:val="000000"/>
          <w:lang w:val="es-ES_tradnl"/>
        </w:rPr>
      </w:pPr>
      <w:r w:rsidRPr="003667EC">
        <w:rPr>
          <w:color w:val="000000"/>
          <w:lang w:val="es-ES_tradnl"/>
        </w:rPr>
        <w:lastRenderedPageBreak/>
        <w:t>11.28</w:t>
      </w:r>
      <w:r w:rsidR="00FB6506">
        <w:rPr>
          <w:color w:val="000000"/>
          <w:lang w:val="es-ES_tradnl"/>
        </w:rPr>
        <w:tab/>
      </w:r>
      <w:r w:rsidR="00FB6506">
        <w:rPr>
          <w:color w:val="000000"/>
          <w:lang w:val="es-ES_tradnl"/>
        </w:rPr>
        <w:tab/>
      </w:r>
    </w:p>
    <w:p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rsidR="00E41FDD" w:rsidRDefault="00E41FDD" w:rsidP="00FB6506">
      <w:pPr>
        <w:pStyle w:val="enumlev1"/>
        <w:rPr>
          <w:rFonts w:asciiTheme="minorHAnsi" w:hAnsiTheme="minorHAnsi"/>
          <w:color w:val="000000"/>
          <w:lang w:val="es-ES_tradnl"/>
        </w:rPr>
      </w:pPr>
      <w:r>
        <w:rPr>
          <w:rFonts w:asciiTheme="minorHAnsi" w:hAnsiTheme="minorHAnsi"/>
          <w:color w:val="000000"/>
          <w:lang w:val="es-ES_tradnl"/>
        </w:rPr>
        <w:br w:type="page"/>
      </w:r>
    </w:p>
    <w:p w:rsidR="00A60C28" w:rsidRPr="003667EC" w:rsidRDefault="00A60C28">
      <w:pPr>
        <w:pStyle w:val="Heading8"/>
        <w:rPr>
          <w:color w:val="000000"/>
          <w:lang w:val="es-ES_tradnl"/>
        </w:rPr>
      </w:pPr>
      <w:r w:rsidRPr="003667EC">
        <w:rPr>
          <w:color w:val="000000"/>
          <w:lang w:val="es-ES_tradnl"/>
        </w:rPr>
        <w:lastRenderedPageBreak/>
        <w:t>11.31</w:t>
      </w:r>
    </w:p>
    <w:p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«demás disposiciones»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«demás disposiciones»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A continuación se indica la lista de «las demás disposiciones»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Pr="003667EC">
        <w:rPr>
          <w:color w:val="000000"/>
          <w:lang w:val="es-ES_tradnl"/>
        </w:rPr>
        <w:t>2.6.6):</w:t>
      </w:r>
    </w:p>
    <w:p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rsidR="00F064A9" w:rsidRPr="003667EC"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rsidR="00E41FDD" w:rsidRDefault="00E41FDD" w:rsidP="004306BF">
      <w:pPr>
        <w:rPr>
          <w:color w:val="000000"/>
          <w:lang w:val="es-ES"/>
        </w:rPr>
      </w:pPr>
      <w:r>
        <w:rPr>
          <w:color w:val="000000"/>
          <w:lang w:val="es-ES"/>
        </w:rPr>
        <w:br w:type="page"/>
      </w:r>
    </w:p>
    <w:p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rsidTr="00700F38">
        <w:trPr>
          <w:cantSplit/>
          <w:jc w:val="center"/>
        </w:trPr>
        <w:tc>
          <w:tcPr>
            <w:tcW w:w="2835" w:type="dxa"/>
            <w:tcBorders>
              <w:top w:val="nil"/>
              <w:left w:val="nil"/>
            </w:tcBorders>
          </w:tcPr>
          <w:p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rsidTr="00700F38">
        <w:trPr>
          <w:cantSplit/>
          <w:jc w:val="center"/>
        </w:trPr>
        <w:tc>
          <w:tcPr>
            <w:tcW w:w="2835" w:type="dxa"/>
          </w:tcPr>
          <w:p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rsidTr="00700F38">
        <w:trPr>
          <w:cantSplit/>
          <w:jc w:val="center"/>
        </w:trPr>
        <w:tc>
          <w:tcPr>
            <w:tcW w:w="2835" w:type="dxa"/>
            <w:tcBorders>
              <w:bottom w:val="single" w:sz="6" w:space="0" w:color="auto"/>
            </w:tcBorders>
          </w:tcPr>
          <w:p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rsidTr="00700F38">
        <w:trPr>
          <w:cantSplit/>
          <w:jc w:val="center"/>
        </w:trPr>
        <w:tc>
          <w:tcPr>
            <w:tcW w:w="2835" w:type="dxa"/>
          </w:tcPr>
          <w:p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rsidR="00F064A9" w:rsidRPr="003667EC" w:rsidRDefault="00F064A9" w:rsidP="00F064A9">
      <w:pPr>
        <w:pStyle w:val="TableFin"/>
        <w:rPr>
          <w:color w:val="000000"/>
          <w:lang w:val="es-ES_tradnl"/>
        </w:rPr>
      </w:pPr>
    </w:p>
    <w:p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rsidR="008036F8" w:rsidRPr="003667EC" w:rsidRDefault="008036F8" w:rsidP="008036F8">
      <w:pPr>
        <w:rPr>
          <w:color w:val="000000"/>
          <w:lang w:val="es-ES_tradnl"/>
        </w:rPr>
      </w:pPr>
      <w:r w:rsidRPr="003667EC">
        <w:rPr>
          <w:color w:val="000000"/>
          <w:lang w:val="es-ES_tradnl"/>
        </w:rPr>
        <w:t>2.6</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rsidR="00F064A9" w:rsidRPr="003667EC" w:rsidRDefault="00515A02" w:rsidP="008036F8">
      <w:pPr>
        <w:rPr>
          <w:color w:val="000000"/>
          <w:lang w:val="es-ES_tradnl"/>
        </w:rPr>
      </w:pPr>
      <w:r w:rsidRPr="003667EC">
        <w:rPr>
          <w:color w:val="000000"/>
          <w:lang w:val="es-ES_tradnl"/>
        </w:rPr>
        <w:br w:type="page"/>
      </w:r>
    </w:p>
    <w:p w:rsidR="00F064A9" w:rsidRPr="003667EC" w:rsidRDefault="00F064A9" w:rsidP="00515A02">
      <w:pPr>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rsidR="00F064A9" w:rsidRPr="003667EC" w:rsidRDefault="00F064A9" w:rsidP="00515A02">
      <w:pPr>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w:t>
      </w:r>
      <w:r w:rsidR="009A2F2C" w:rsidRPr="003667EC">
        <w:rPr>
          <w:color w:val="000000"/>
          <w:lang w:val="es-ES_tradnl"/>
        </w:rPr>
        <w:softHyphen/>
      </w:r>
      <w:r w:rsidRPr="003667EC">
        <w:rPr>
          <w:color w:val="000000"/>
          <w:lang w:val="es-ES_tradnl"/>
        </w:rPr>
        <w:t>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2.6.6</w:t>
      </w:r>
      <w:r w:rsidRPr="003667EC">
        <w:rPr>
          <w:color w:val="000000"/>
          <w:lang w:val="es-ES_tradnl"/>
        </w:rPr>
        <w:tab/>
        <w:t>conformidad con el límite especificado en los números </w:t>
      </w:r>
      <w:r w:rsidRPr="003667EC">
        <w:rPr>
          <w:rStyle w:val="Artref"/>
          <w:b/>
          <w:color w:val="000000"/>
          <w:lang w:val="es-ES_tradnl"/>
        </w:rPr>
        <w:t>22.8</w:t>
      </w:r>
      <w:r w:rsidRPr="003667EC">
        <w:rPr>
          <w:color w:val="000000"/>
          <w:lang w:val="es-ES_tradnl"/>
        </w:rPr>
        <w:t xml:space="preserve">, </w:t>
      </w:r>
      <w:r w:rsidRPr="003667EC">
        <w:rPr>
          <w:rStyle w:val="Artref"/>
          <w:b/>
          <w:color w:val="000000"/>
          <w:lang w:val="es-ES_tradnl"/>
        </w:rPr>
        <w:t>22.13</w:t>
      </w:r>
      <w:r w:rsidRPr="003667EC">
        <w:rPr>
          <w:color w:val="000000"/>
          <w:lang w:val="es-ES_tradnl"/>
        </w:rPr>
        <w:t xml:space="preserve">, </w:t>
      </w:r>
      <w:r w:rsidRPr="003667EC">
        <w:rPr>
          <w:rStyle w:val="Artref"/>
          <w:b/>
          <w:color w:val="000000"/>
          <w:lang w:val="es-ES_tradnl"/>
        </w:rPr>
        <w:t>22.17</w:t>
      </w:r>
      <w:r w:rsidRPr="003667EC">
        <w:rPr>
          <w:color w:val="000000"/>
          <w:lang w:val="es-ES_tradnl"/>
        </w:rPr>
        <w:t xml:space="preserve"> y </w:t>
      </w:r>
      <w:r w:rsidRPr="003667EC">
        <w:rPr>
          <w:rStyle w:val="Artref"/>
          <w:b/>
          <w:color w:val="000000"/>
          <w:lang w:val="es-ES_tradnl"/>
        </w:rPr>
        <w:t>22.19</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rsidR="00F064A9" w:rsidRPr="003667EC" w:rsidRDefault="00F064A9" w:rsidP="00437E8C">
      <w:pPr>
        <w:pStyle w:val="Heading1"/>
        <w:rPr>
          <w:sz w:val="24"/>
          <w:szCs w:val="24"/>
          <w:lang w:val="es-ES_tradnl"/>
        </w:rPr>
      </w:pPr>
      <w:r w:rsidRPr="008036F8">
        <w:rPr>
          <w:b w:val="0"/>
          <w:sz w:val="24"/>
          <w:szCs w:val="24"/>
          <w:lang w:val="es-ES_tradnl"/>
        </w:rPr>
        <w:t>4</w:t>
      </w:r>
      <w:r w:rsidRPr="003667EC">
        <w:rPr>
          <w:sz w:val="24"/>
          <w:szCs w:val="24"/>
          <w:lang w:val="es-ES_tradnl"/>
        </w:rPr>
        <w:tab/>
      </w:r>
      <w:r w:rsidRPr="003667EC">
        <w:rPr>
          <w:b w:val="0"/>
          <w:bCs/>
          <w:sz w:val="24"/>
          <w:szCs w:val="24"/>
          <w:lang w:val="es-ES_tradnl"/>
        </w:rPr>
        <w:t>(No utilizado)</w:t>
      </w:r>
    </w:p>
    <w:p w:rsidR="00F064A9" w:rsidRPr="003667EC" w:rsidRDefault="00F064A9" w:rsidP="00B76760">
      <w:pPr>
        <w:pStyle w:val="Heading1"/>
        <w:spacing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rsidR="00F064A9" w:rsidRPr="003667EC" w:rsidRDefault="00F064A9" w:rsidP="009C3798">
      <w:pPr>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rsidR="008036F8" w:rsidRDefault="008036F8" w:rsidP="00F064A9">
      <w:pPr>
        <w:rPr>
          <w:color w:val="000000"/>
          <w:lang w:val="es-ES_tradnl"/>
        </w:rPr>
      </w:pPr>
      <w:r>
        <w:rPr>
          <w:color w:val="000000"/>
          <w:lang w:val="es-ES_tradnl"/>
        </w:rPr>
        <w:br w:type="page"/>
      </w:r>
    </w:p>
    <w:p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rsidR="00F064A9" w:rsidRPr="003667EC" w:rsidRDefault="00F064A9" w:rsidP="00F064A9">
      <w:pPr>
        <w:rPr>
          <w:lang w:val="es-ES_tradnl"/>
        </w:rPr>
      </w:pPr>
      <w:r w:rsidRPr="003667EC">
        <w:rPr>
          <w:lang w:val="es-ES_tradnl"/>
        </w:rPr>
        <w:t>En respuesta a estas preguntas, la Junta llegó a las siguientes conclusiones:</w:t>
      </w:r>
    </w:p>
    <w:p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rsidR="008036F8" w:rsidRDefault="008036F8" w:rsidP="00141CA8">
      <w:pPr>
        <w:pStyle w:val="enumlev1"/>
        <w:rPr>
          <w:i/>
          <w:color w:val="000000"/>
          <w:lang w:val="es-ES_tradnl"/>
        </w:rPr>
      </w:pPr>
      <w:r>
        <w:rPr>
          <w:i/>
          <w:color w:val="000000"/>
          <w:lang w:val="es-ES_tradnl"/>
        </w:rPr>
        <w:br w:type="page"/>
      </w:r>
    </w:p>
    <w:p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«zona de cobertura» que generalmente comprende la «zona de servicio».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w:t>
      </w:r>
      <w:r w:rsidR="009A2F2C" w:rsidRPr="003667EC">
        <w:rPr>
          <w:color w:val="000000"/>
          <w:lang w:val="es-ES_tradnl"/>
        </w:rPr>
        <w:softHyphen/>
      </w:r>
      <w:r w:rsidRPr="003667EC">
        <w:rPr>
          <w:color w:val="000000"/>
          <w:lang w:val="es-ES_tradnl"/>
        </w:rPr>
        <w:t>mente cuando se la informe de que existe tal acuerdo. La Oficina trata este acuerdo separa</w:t>
      </w:r>
      <w:r w:rsidR="009A2F2C" w:rsidRPr="003667EC">
        <w:rPr>
          <w:color w:val="000000"/>
          <w:lang w:val="es-ES_tradnl"/>
        </w:rPr>
        <w:softHyphen/>
      </w:r>
      <w:r w:rsidRPr="003667EC">
        <w:rPr>
          <w:color w:val="000000"/>
          <w:lang w:val="es-ES_tradnl"/>
        </w:rPr>
        <w:t>damente del acuerdo de coordinación.</w:t>
      </w:r>
    </w:p>
    <w:p w:rsidR="008036F8" w:rsidRDefault="008036F8" w:rsidP="00141CA8">
      <w:pPr>
        <w:rPr>
          <w:color w:val="000000"/>
          <w:lang w:val="es-ES_tradnl"/>
        </w:rPr>
      </w:pPr>
      <w:r>
        <w:rPr>
          <w:color w:val="000000"/>
          <w:lang w:val="es-ES_tradnl"/>
        </w:rPr>
        <w:br w:type="page"/>
      </w:r>
    </w:p>
    <w:p w:rsidR="00A60C28" w:rsidRPr="003667EC" w:rsidRDefault="00A60C28">
      <w:pPr>
        <w:pStyle w:val="Heading8"/>
        <w:rPr>
          <w:color w:val="000000"/>
          <w:lang w:val="es-ES_tradnl"/>
        </w:rPr>
      </w:pPr>
      <w:r w:rsidRPr="003667EC">
        <w:rPr>
          <w:color w:val="000000"/>
          <w:lang w:val="es-ES_tradnl"/>
        </w:rPr>
        <w:lastRenderedPageBreak/>
        <w:t>11.32</w:t>
      </w:r>
    </w:p>
    <w:p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 xml:space="preserve">Los cálculos con respecto a las redes de una administración que, según lo indicado en la notificación, ha dado su acuerdo para la coordinación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rsidR="008036F8" w:rsidRDefault="008036F8" w:rsidP="008036F8">
      <w:pPr>
        <w:rPr>
          <w:lang w:val="es-ES_tradnl"/>
        </w:rPr>
      </w:pPr>
      <w:r>
        <w:rPr>
          <w:lang w:val="es-ES_tradnl"/>
        </w:rPr>
        <w:br w:type="page"/>
      </w:r>
    </w:p>
    <w:p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 vez</w:t>
      </w:r>
    </w:p>
    <w:p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ciones correspondientes a la estación espacial asociada (por ejemplo la red de satélites).</w:t>
      </w:r>
    </w:p>
    <w:p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rsidR="008036F8" w:rsidRDefault="008036F8">
      <w:pPr>
        <w:pStyle w:val="enumlev1"/>
        <w:rPr>
          <w:i/>
          <w:color w:val="000000"/>
          <w:lang w:val="es-ES_tradnl"/>
        </w:rPr>
      </w:pPr>
      <w:r>
        <w:rPr>
          <w:i/>
          <w:color w:val="000000"/>
          <w:lang w:val="es-ES_tradnl"/>
        </w:rPr>
        <w:br w:type="page"/>
      </w:r>
    </w:p>
    <w:p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rsidR="00A60C28" w:rsidRPr="003667EC" w:rsidRDefault="00A60C28">
      <w:pPr>
        <w:rPr>
          <w:color w:val="000000"/>
          <w:lang w:val="es-ES_tradnl"/>
        </w:rPr>
      </w:pPr>
      <w:r w:rsidRPr="003667EC">
        <w:rPr>
          <w:color w:val="000000"/>
          <w:lang w:val="es-ES_tradnl"/>
        </w:rPr>
        <w:t>Esta categoría puede incluir los casos siguientes:</w:t>
      </w:r>
    </w:p>
    <w:p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rsidR="00F01943" w:rsidRDefault="00F01943">
      <w:pPr>
        <w:pStyle w:val="enumlev1"/>
        <w:rPr>
          <w:i/>
          <w:color w:val="000000"/>
          <w:lang w:val="es-ES_tradnl"/>
        </w:rPr>
      </w:pPr>
      <w:r>
        <w:rPr>
          <w:i/>
          <w:color w:val="000000"/>
          <w:lang w:val="es-ES_tradnl"/>
        </w:rPr>
        <w:br w:type="page"/>
      </w:r>
    </w:p>
    <w:p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rsidR="00A60C28" w:rsidRPr="003667EC" w:rsidRDefault="00A60C28">
      <w:pPr>
        <w:rPr>
          <w:color w:val="000000"/>
          <w:lang w:val="es-ES_tradnl"/>
        </w:rPr>
      </w:pPr>
      <w:r w:rsidRPr="003667EC">
        <w:rPr>
          <w:color w:val="000000"/>
          <w:lang w:val="es-ES_tradnl"/>
        </w:rPr>
        <w:t>La modificación de una asignación a una estación terrena puede afectar a:</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rsidR="00F01943" w:rsidRDefault="00F01943" w:rsidP="00F01943">
      <w:pPr>
        <w:rPr>
          <w:lang w:val="es-ES_tradnl"/>
        </w:rPr>
      </w:pPr>
      <w:r>
        <w:rPr>
          <w:lang w:val="es-ES_tradnl"/>
        </w:rPr>
        <w:br w:type="page"/>
      </w:r>
    </w:p>
    <w:p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rsidR="00F01943" w:rsidRPr="003667EC" w:rsidRDefault="004C44AE" w:rsidP="00F01943">
      <w:pPr>
        <w:pStyle w:val="Heading1"/>
        <w:keepNext w:val="0"/>
        <w:keepLines w:val="0"/>
        <w:spacing w:line="280" w:lineRule="exact"/>
        <w:rPr>
          <w:color w:val="000000"/>
          <w:u w:val="single"/>
          <w:lang w:val="es-ES_tradnl"/>
        </w:rPr>
      </w:pPr>
      <w:r w:rsidRPr="003667EC">
        <w:rPr>
          <w:lang w:val="es-ES_tradnl"/>
        </w:rPr>
        <w:br w:type="page"/>
      </w:r>
    </w:p>
    <w:p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Pr="003667EC">
        <w:rPr>
          <w:rStyle w:val="FootnoteReference"/>
          <w:color w:val="000000"/>
          <w:sz w:val="20"/>
          <w:lang w:val="es-ES_tradnl"/>
        </w:rPr>
        <w:footnoteReference w:customMarkFollows="1" w:id="9"/>
        <w:t>9</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rsidR="00F01943" w:rsidRDefault="00F01943" w:rsidP="00F01943">
      <w:pPr>
        <w:rPr>
          <w:lang w:val="es-ES_tradnl"/>
        </w:rPr>
      </w:pPr>
      <w:r>
        <w:rPr>
          <w:lang w:val="es-ES_tradnl"/>
        </w:rPr>
        <w:br w:type="page"/>
      </w:r>
    </w:p>
    <w:p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r w:rsidR="002E7999">
        <w:rPr>
          <w:color w:val="000000"/>
          <w:lang w:val="es-ES_tradnl"/>
        </w:rPr>
        <w:t xml:space="preserve">    </w:t>
      </w:r>
    </w:p>
    <w:p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rsidR="00F01943" w:rsidRDefault="00F01943" w:rsidP="00363FC4">
      <w:pPr>
        <w:spacing w:before="40"/>
        <w:rPr>
          <w:b/>
          <w:bCs/>
          <w:lang w:val="es-ES_tradnl" w:eastAsia="zh-CN"/>
        </w:rPr>
      </w:pPr>
      <w:r>
        <w:rPr>
          <w:b/>
          <w:bCs/>
          <w:lang w:val="es-ES_tradnl" w:eastAsia="zh-CN"/>
        </w:rPr>
        <w:br w:type="page"/>
      </w:r>
    </w:p>
    <w:p w:rsidR="008254E1" w:rsidRPr="008254E1" w:rsidRDefault="008254E1" w:rsidP="00363FC4">
      <w:pPr>
        <w:spacing w:before="40"/>
        <w:rPr>
          <w:lang w:val="es-ES_tradnl" w:eastAsia="zh-CN"/>
        </w:rPr>
      </w:pPr>
      <w:r w:rsidRPr="008254E1">
        <w:rPr>
          <w:b/>
          <w:bCs/>
          <w:lang w:val="es-ES_tradnl" w:eastAsia="zh-CN"/>
        </w:rPr>
        <w:lastRenderedPageBreak/>
        <w:t>Nota</w:t>
      </w:r>
      <w:r w:rsidRPr="008254E1">
        <w:rPr>
          <w:lang w:val="es-ES_tradnl"/>
        </w:rPr>
        <w:t xml:space="preserve"> –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rsidR="00A60C28" w:rsidRPr="003667EC" w:rsidRDefault="00A60C28" w:rsidP="00DA47A4">
      <w:pPr>
        <w:pStyle w:val="Heading8"/>
        <w:spacing w:before="240"/>
        <w:rPr>
          <w:color w:val="000000"/>
          <w:lang w:val="es-ES_tradnl"/>
        </w:rPr>
      </w:pPr>
      <w:r w:rsidRPr="003667EC">
        <w:rPr>
          <w:color w:val="000000"/>
          <w:lang w:val="es-ES_tradnl"/>
        </w:rPr>
        <w:t>11.32A</w:t>
      </w:r>
    </w:p>
    <w:p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rsidR="00A60C28" w:rsidRPr="003667EC" w:rsidRDefault="00A60C28" w:rsidP="00DA47A4">
      <w:pPr>
        <w:pStyle w:val="Heading8"/>
        <w:spacing w:before="240"/>
        <w:rPr>
          <w:color w:val="000000"/>
          <w:lang w:val="es-ES_tradnl"/>
        </w:rPr>
      </w:pPr>
      <w:r w:rsidRPr="003667EC">
        <w:rPr>
          <w:color w:val="000000"/>
          <w:lang w:val="es-ES_tradnl"/>
        </w:rPr>
        <w:t>11.34</w:t>
      </w:r>
    </w:p>
    <w:p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rsidR="00D70EFE" w:rsidRDefault="00D70EFE" w:rsidP="00D70EFE">
      <w:pPr>
        <w:spacing w:before="120"/>
        <w:rPr>
          <w:color w:val="000000"/>
          <w:lang w:val="es-ES_tradnl"/>
        </w:rPr>
      </w:pPr>
      <w:r>
        <w:rPr>
          <w:color w:val="000000"/>
          <w:lang w:val="es-ES_tradnl"/>
        </w:rPr>
        <w:br w:type="page"/>
      </w:r>
    </w:p>
    <w:p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 xml:space="preserve">Las actualizaciones del Plan, a través de la aplicación del procedimiento del antiguo Artículo 16 del Reglamento de Radiocomunicaciones (edición de 1990, revisada en 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0"/>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 xml:space="preserve">Las características de las notificaciones de asignación de frecuencia, que corresponden a las adjudicaciones del Plan «original» del Apéndice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xml:space="preserve">: de conformidad con los números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rsidR="00D01428" w:rsidRDefault="00D01428" w:rsidP="00BF0573">
      <w:pPr>
        <w:spacing w:before="120"/>
        <w:rPr>
          <w:color w:val="000000"/>
          <w:lang w:val="es-ES_tradnl"/>
        </w:rPr>
      </w:pPr>
      <w:r>
        <w:rPr>
          <w:color w:val="000000"/>
          <w:lang w:val="es-ES_tradnl"/>
        </w:rPr>
        <w:br w:type="page"/>
      </w:r>
    </w:p>
    <w:p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1"/>
      </w:r>
    </w:p>
    <w:p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rsidR="00D01428" w:rsidRDefault="00D01428" w:rsidP="005A408A">
      <w:pPr>
        <w:spacing w:before="120"/>
        <w:rPr>
          <w:color w:val="000000"/>
          <w:lang w:val="es-ES_tradnl"/>
        </w:rPr>
      </w:pPr>
      <w:r>
        <w:rPr>
          <w:color w:val="000000"/>
          <w:lang w:val="es-ES_tradnl"/>
        </w:rPr>
        <w:br w:type="page"/>
      </w:r>
    </w:p>
    <w:p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rsidR="00A60C28" w:rsidRPr="003667EC" w:rsidRDefault="00A60C28" w:rsidP="004C44AE">
      <w:pPr>
        <w:pStyle w:val="Heading8"/>
        <w:rPr>
          <w:color w:val="000000"/>
          <w:lang w:val="es-ES_tradnl"/>
        </w:rPr>
      </w:pPr>
      <w:r w:rsidRPr="003667EC">
        <w:rPr>
          <w:color w:val="000000"/>
          <w:lang w:val="es-ES_tradnl"/>
        </w:rPr>
        <w:t>11.36</w:t>
      </w:r>
    </w:p>
    <w:p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rsidR="00A60C28" w:rsidRPr="003667EC" w:rsidRDefault="00A60C28" w:rsidP="004C44AE">
      <w:pPr>
        <w:pStyle w:val="Heading8"/>
        <w:rPr>
          <w:color w:val="000000"/>
          <w:lang w:val="es-ES_tradnl"/>
        </w:rPr>
      </w:pPr>
      <w:r w:rsidRPr="003667EC">
        <w:rPr>
          <w:color w:val="000000"/>
          <w:lang w:val="es-ES_tradnl"/>
        </w:rPr>
        <w:t>11.37</w:t>
      </w:r>
    </w:p>
    <w:p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85A0D">
        <w:rPr>
          <w:color w:val="000000"/>
          <w:lang w:val="es-ES_tradnl"/>
        </w:rPr>
        <w:t> </w:t>
      </w:r>
      <w:r w:rsidRPr="003667EC">
        <w:rPr>
          <w:color w:val="000000"/>
          <w:lang w:val="es-ES_tradnl"/>
        </w:rPr>
        <w:t>Cuadro de atribución de bandas de frecuencias pero para la que no se ha completado el</w:t>
      </w:r>
      <w:r w:rsidR="003667EC" w:rsidRPr="003667EC">
        <w:rPr>
          <w:color w:val="000000"/>
          <w:lang w:val="es-ES_tradnl"/>
        </w:rPr>
        <w:t> </w:t>
      </w:r>
      <w:r w:rsidRPr="003667EC">
        <w:rPr>
          <w:color w:val="000000"/>
          <w:lang w:val="es-ES_tradnl"/>
        </w:rPr>
        <w:t xml:space="preserve">procedimiento de coordinación correspondiente (por ejemplo, los números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rsidR="00D01428" w:rsidRDefault="00D01428" w:rsidP="00D70EFE">
      <w:pPr>
        <w:rPr>
          <w:color w:val="000000"/>
          <w:lang w:val="es-ES_tradnl"/>
        </w:rPr>
      </w:pPr>
      <w:r>
        <w:rPr>
          <w:color w:val="000000"/>
          <w:lang w:val="es-ES_tradnl"/>
        </w:rPr>
        <w:br w:type="page"/>
      </w:r>
    </w:p>
    <w:p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r w:rsidRPr="00A80144">
        <w:rPr>
          <w:b/>
          <w:lang w:val="es-ES_tradnl"/>
        </w:rPr>
        <w:tab/>
      </w:r>
    </w:p>
    <w:p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rsidR="00A60C28" w:rsidRPr="003667EC" w:rsidRDefault="00A60C28" w:rsidP="00514FDE">
      <w:pPr>
        <w:pStyle w:val="Heading8"/>
        <w:spacing w:before="240" w:line="250" w:lineRule="exact"/>
        <w:rPr>
          <w:lang w:val="es-ES_tradnl"/>
        </w:rPr>
      </w:pPr>
      <w:r w:rsidRPr="003667EC">
        <w:rPr>
          <w:lang w:val="es-ES_tradnl"/>
        </w:rPr>
        <w:t>11.43A</w:t>
      </w:r>
    </w:p>
    <w:p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t>La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t xml:space="preserve">Respecto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r w:rsidR="00F15E33" w:rsidRPr="009C3798">
        <w:rPr>
          <w:color w:val="000000"/>
          <w:lang w:val="es-ES_tradnl"/>
        </w:rPr>
        <w:t xml:space="preserve">      </w:t>
      </w:r>
    </w:p>
    <w:p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rsidR="00D01428" w:rsidRDefault="00D01428" w:rsidP="006D45DA">
      <w:pPr>
        <w:spacing w:before="60" w:line="250" w:lineRule="exact"/>
        <w:rPr>
          <w:color w:val="000000"/>
          <w:lang w:val="es-ES_tradnl"/>
        </w:rPr>
      </w:pPr>
      <w:r>
        <w:rPr>
          <w:color w:val="000000"/>
          <w:lang w:val="es-ES_tradnl"/>
        </w:rPr>
        <w:br w:type="page"/>
      </w:r>
    </w:p>
    <w:p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5A408A" w:rsidRPr="005A408A">
        <w:rPr>
          <w:rStyle w:val="Artref"/>
          <w:color w:val="000000"/>
          <w:sz w:val="22"/>
          <w:szCs w:val="22"/>
          <w:lang w:val="es-ES_tradnl"/>
        </w:rPr>
        <w:t xml:space="preserve">     </w:t>
      </w:r>
    </w:p>
    <w:p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r w:rsidR="005A408A" w:rsidRPr="005A408A">
        <w:rPr>
          <w:rStyle w:val="Artref"/>
          <w:color w:val="000000"/>
          <w:sz w:val="22"/>
          <w:szCs w:val="22"/>
          <w:lang w:val="es-ES_tradnl"/>
        </w:rPr>
        <w:t xml:space="preserve">     </w:t>
      </w:r>
    </w:p>
    <w:p w:rsidR="00C30B0F" w:rsidRPr="003667EC" w:rsidRDefault="00C30B0F" w:rsidP="009243FB">
      <w:pPr>
        <w:keepNext/>
        <w:keepLines/>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r>
        <w:rPr>
          <w:color w:val="000000"/>
          <w:lang w:val="es-ES_tradnl"/>
        </w:rPr>
        <w:t xml:space="preserve">     </w:t>
      </w:r>
    </w:p>
    <w:p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r>
        <w:rPr>
          <w:color w:val="000000"/>
          <w:lang w:val="es-ES_tradnl"/>
        </w:rPr>
        <w:t xml:space="preserve">    </w:t>
      </w:r>
    </w:p>
    <w:p w:rsidR="00A60C28" w:rsidRPr="003667EC" w:rsidRDefault="00A60C28" w:rsidP="004C6036">
      <w:pPr>
        <w:pStyle w:val="Heading8"/>
        <w:spacing w:line="250" w:lineRule="exact"/>
        <w:rPr>
          <w:color w:val="000000"/>
          <w:lang w:val="es-ES_tradnl"/>
        </w:rPr>
      </w:pPr>
      <w:r w:rsidRPr="003667EC">
        <w:rPr>
          <w:color w:val="000000"/>
          <w:lang w:val="es-ES_tradnl"/>
        </w:rPr>
        <w:t>11.43B</w:t>
      </w:r>
    </w:p>
    <w:p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ejemplo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xml:space="preserve">, se tomarán en cuenta las asignaciones publicadas con arreglo a los número </w:t>
      </w:r>
      <w:r w:rsidRPr="003667EC">
        <w:rPr>
          <w:rStyle w:val="Artref"/>
          <w:b/>
          <w:color w:val="000000"/>
          <w:lang w:val="es-ES_tradnl"/>
        </w:rPr>
        <w:t>9.38</w:t>
      </w:r>
      <w:r w:rsidRPr="003667EC">
        <w:rPr>
          <w:color w:val="000000"/>
          <w:lang w:val="es-ES_tradnl"/>
        </w:rPr>
        <w:t xml:space="preserve"> o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rsidR="00D01428" w:rsidRDefault="00D01428" w:rsidP="004C6036">
      <w:pPr>
        <w:spacing w:line="250" w:lineRule="exact"/>
        <w:rPr>
          <w:color w:val="000000"/>
          <w:lang w:val="es-ES_tradnl"/>
        </w:rPr>
      </w:pPr>
      <w:r>
        <w:rPr>
          <w:color w:val="000000"/>
          <w:lang w:val="es-ES_tradnl"/>
        </w:rPr>
        <w:br w:type="page"/>
      </w:r>
    </w:p>
    <w:p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Esta disposición hace referencia a la «fecha original de inscripción en el Registro».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rsidR="00A60C28" w:rsidRPr="003667EC" w:rsidRDefault="00A60C28">
      <w:pPr>
        <w:pStyle w:val="Heading8"/>
        <w:rPr>
          <w:color w:val="000000"/>
          <w:lang w:val="es-ES_tradnl"/>
        </w:rPr>
      </w:pPr>
      <w:r w:rsidRPr="003667EC">
        <w:rPr>
          <w:color w:val="000000"/>
          <w:lang w:val="es-ES_tradnl"/>
        </w:rPr>
        <w:t>11.43C</w:t>
      </w:r>
    </w:p>
    <w:p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rsidR="00D70EFE" w:rsidRPr="003667EC" w:rsidRDefault="00D70EFE" w:rsidP="00D70EFE">
      <w:pPr>
        <w:pStyle w:val="Heading8"/>
        <w:spacing w:before="120" w:line="240" w:lineRule="exact"/>
        <w:rPr>
          <w:lang w:val="es-ES_tradnl"/>
        </w:rPr>
      </w:pPr>
      <w:r>
        <w:rPr>
          <w:lang w:val="es-ES_tradnl"/>
        </w:rPr>
        <w:t>11.44</w:t>
      </w:r>
      <w:r w:rsidRPr="00D561C2">
        <w:rPr>
          <w:color w:val="000000"/>
          <w:lang w:val="es-ES_tradnl"/>
        </w:rPr>
        <w:tab/>
      </w:r>
      <w:r w:rsidRPr="00D561C2">
        <w:rPr>
          <w:color w:val="000000"/>
          <w:lang w:val="es-ES_tradnl"/>
        </w:rPr>
        <w:tab/>
      </w:r>
    </w:p>
    <w:p w:rsidR="00D70EFE" w:rsidRPr="00D561C2" w:rsidRDefault="00D70EFE" w:rsidP="00D70EFE">
      <w:pPr>
        <w:spacing w:line="240" w:lineRule="exact"/>
        <w:rPr>
          <w:lang w:val="es-ES_tradnl"/>
        </w:rPr>
      </w:pPr>
      <w:r w:rsidRPr="00D561C2">
        <w:rPr>
          <w:lang w:val="es-ES_tradnl"/>
        </w:rPr>
        <w:t>1</w:t>
      </w:r>
      <w:r w:rsidRPr="00D561C2">
        <w:rPr>
          <w:lang w:val="es-ES_tradnl"/>
        </w:rPr>
        <w:tab/>
        <w:t>La información relativa a la fecha de entrada en servicio se facilitará en los siguientes casos:</w:t>
      </w:r>
    </w:p>
    <w:p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la confirmación de las fechas de entrada en servicio, en aplicación de los números </w:t>
      </w:r>
      <w:r w:rsidRPr="00D561C2">
        <w:rPr>
          <w:b/>
          <w:bCs/>
          <w:lang w:val="es-ES_tradnl"/>
        </w:rPr>
        <w:t>11.44.2</w:t>
      </w:r>
      <w:r w:rsidRPr="00D561C2">
        <w:rPr>
          <w:lang w:val="es-ES_tradnl"/>
        </w:rPr>
        <w:t>, </w:t>
      </w:r>
      <w:r w:rsidRPr="00D561C2">
        <w:rPr>
          <w:rStyle w:val="Artref"/>
          <w:b/>
          <w:color w:val="000000"/>
          <w:lang w:val="es-ES_tradnl"/>
        </w:rPr>
        <w:t>11.47</w:t>
      </w:r>
      <w:r w:rsidRPr="00D561C2">
        <w:rPr>
          <w:rStyle w:val="Artref"/>
          <w:bCs/>
          <w:color w:val="000000"/>
          <w:lang w:val="es-ES_tradnl"/>
        </w:rPr>
        <w:t xml:space="preserve"> y</w:t>
      </w:r>
      <w:r w:rsidRPr="00D561C2">
        <w:rPr>
          <w:rStyle w:val="Artref"/>
          <w:b/>
          <w:color w:val="000000"/>
          <w:lang w:val="es-ES_tradnl"/>
        </w:rPr>
        <w:t xml:space="preserve"> 11.44B</w:t>
      </w:r>
      <w:r w:rsidRPr="00D561C2">
        <w:rPr>
          <w:lang w:val="es-ES_tradnl"/>
        </w:rPr>
        <w:t>.</w:t>
      </w:r>
    </w:p>
    <w:p w:rsidR="00D70EFE" w:rsidRDefault="00D70EFE" w:rsidP="00D70EFE">
      <w:pPr>
        <w:spacing w:line="240" w:lineRule="exact"/>
        <w:rPr>
          <w:lang w:val="es-ES_tradnl"/>
        </w:rPr>
      </w:pPr>
      <w:r w:rsidRPr="00D561C2">
        <w:rPr>
          <w:lang w:val="es-ES_tradnl"/>
        </w:rPr>
        <w:t xml:space="preserve">Conviene observar que se proporcionará la información relativa a la fecha de entrada en servicio para cada asignación o grupo de asignaciones. (Véanse las Reglas de Procedimiento relacionadas con el número </w:t>
      </w:r>
      <w:r w:rsidRPr="00D561C2">
        <w:rPr>
          <w:b/>
          <w:bCs/>
          <w:lang w:val="es-ES_tradnl"/>
        </w:rPr>
        <w:t>11.44B</w:t>
      </w:r>
      <w:r w:rsidRPr="00D561C2">
        <w:rPr>
          <w:lang w:val="es-ES_tradnl"/>
        </w:rPr>
        <w:t>)</w:t>
      </w:r>
      <w:r>
        <w:rPr>
          <w:lang w:val="es-ES_tradnl"/>
        </w:rPr>
        <w:t>.</w:t>
      </w:r>
    </w:p>
    <w:p w:rsidR="00202D8A" w:rsidRPr="00202D8A" w:rsidRDefault="00202D8A" w:rsidP="00202D8A">
      <w:pPr>
        <w:rPr>
          <w:lang w:val="es-ES_tradnl"/>
        </w:rPr>
      </w:pPr>
      <w:r w:rsidRPr="00202D8A">
        <w:rPr>
          <w:rFonts w:eastAsia="SimSun"/>
          <w:szCs w:val="24"/>
          <w:lang w:val="es-ES_tradnl" w:eastAsia="zh-CN"/>
        </w:rPr>
        <w:t>2</w:t>
      </w:r>
      <w:r w:rsidRPr="00202D8A">
        <w:rPr>
          <w:rFonts w:eastAsia="SimSun"/>
          <w:szCs w:val="24"/>
          <w:lang w:val="es-ES_tradnl" w:eastAsia="zh-CN"/>
        </w:rPr>
        <w:tab/>
      </w:r>
      <w:r w:rsidRPr="00202D8A">
        <w:rPr>
          <w:lang w:val="es-ES_tradnl"/>
        </w:rPr>
        <w:t>La Junta examinó la información que se ha de aportar para la puesta en servicio de asignaciones de frecuencias a estaciones espaciales de sistemas de satélites no geoestacionarios del SFS o el SMS, antes de la adopción de disposiciones reglamentarias al respecto por una futura conferencia mundial de radiocomunicaciones, y llegó a las siguientes conclusiones:</w:t>
      </w:r>
    </w:p>
    <w:p w:rsidR="004C6036" w:rsidRDefault="00202D8A" w:rsidP="009243FB">
      <w:pPr>
        <w:spacing w:line="250" w:lineRule="exact"/>
        <w:rPr>
          <w:lang w:val="es-ES_tradnl"/>
        </w:rPr>
      </w:pPr>
      <w:r w:rsidRPr="00202D8A">
        <w:rPr>
          <w:lang w:val="es-ES_tradnl"/>
        </w:rPr>
        <w:t>A fin de considerar que una asignación de frecuencias a una estación espacial de un sistema de satélites no geoestacionarios se ha puesto en servicio, la Administración notificante tiene que informar a la Oficina de que al menos una estación espacial con la capacidad confirmada de transmitir o recibir en esa asignación de frecuencias se ha desplegado durante un periodo continuo de 90 días en uno de los planos orbitales notificados del sistema de satélites no geoestacionarios, con independencia del número de planos orbitales notificados y de satélites por plano orbital del sistema. La Administración notificante informará de ello a la Oficina dentro de los 30 días contados desde el final del periodo de 90 días. Una asignación de frecuencias a una estación espacial de un sistema de satélites geoestacionarios con una fecha de puesta en servicio notificada anterior en más de 120 días a la fecha de recepción de la información de notificación también se considerará puesta en servicio si la administración notificante confirma, al presentar la información de notificación de esta asignación, que al menos una estación espacial con la capacidad de transmitir o recibir en esa asignación de frecuencias se ha desplegado en uno de los planos orbitales notificados del sistema de satélites no geoestacionarios y se han mantenido en él durante un periodo de tiempo continuo entre la fecha de puesta en servicio notificada y la fecha de recepción de la información de notificación de esta asignación de frecuencias. La fecha de despliegue del primer satélite en su órbita prevista estará dentro del plazo de siete años para la puesta en servicios de asignaciones de frecuencias a una estación espacial con arreglo al número </w:t>
      </w:r>
      <w:r w:rsidRPr="00202D8A">
        <w:rPr>
          <w:b/>
          <w:bCs/>
          <w:lang w:val="es-ES_tradnl"/>
        </w:rPr>
        <w:t>11.44</w:t>
      </w:r>
      <w:r w:rsidRPr="00202D8A">
        <w:rPr>
          <w:lang w:val="es-ES_tradnl"/>
        </w:rPr>
        <w:t>.</w:t>
      </w:r>
      <w:r w:rsidR="00685DBD">
        <w:rPr>
          <w:lang w:val="es-ES_tradnl"/>
        </w:rPr>
        <w:t xml:space="preserve">    </w:t>
      </w:r>
    </w:p>
    <w:p w:rsidR="00D01428" w:rsidRDefault="00D01428" w:rsidP="009243FB">
      <w:pPr>
        <w:spacing w:line="250" w:lineRule="exact"/>
        <w:rPr>
          <w:lang w:val="es-ES_tradnl"/>
        </w:rPr>
      </w:pPr>
      <w:r>
        <w:rPr>
          <w:lang w:val="es-ES_tradnl"/>
        </w:rPr>
        <w:br w:type="page"/>
      </w:r>
    </w:p>
    <w:p w:rsidR="00D561C2" w:rsidRPr="003667EC" w:rsidRDefault="00D561C2" w:rsidP="006D45DA">
      <w:pPr>
        <w:pStyle w:val="Heading8"/>
        <w:spacing w:before="240" w:line="250" w:lineRule="exact"/>
        <w:rPr>
          <w:lang w:val="es-ES_tradnl"/>
        </w:rPr>
      </w:pPr>
      <w:r>
        <w:rPr>
          <w:lang w:val="es-ES_tradnl"/>
        </w:rPr>
        <w:lastRenderedPageBreak/>
        <w:t>11.44B</w:t>
      </w:r>
      <w:r w:rsidRPr="00D561C2">
        <w:rPr>
          <w:color w:val="000000"/>
          <w:lang w:val="es-ES_tradnl"/>
        </w:rPr>
        <w:tab/>
      </w:r>
      <w:r w:rsidRPr="00D561C2">
        <w:rPr>
          <w:color w:val="000000"/>
          <w:lang w:val="es-ES_tradnl"/>
        </w:rPr>
        <w:tab/>
      </w:r>
    </w:p>
    <w:p w:rsidR="00D561C2" w:rsidRPr="00D561C2" w:rsidRDefault="00D561C2" w:rsidP="00F74C0C">
      <w:pPr>
        <w:spacing w:line="250" w:lineRule="exact"/>
        <w:rPr>
          <w:color w:val="000000"/>
          <w:lang w:val="es-ES_tradnl"/>
        </w:rPr>
      </w:pPr>
      <w:r w:rsidRPr="00D561C2">
        <w:rPr>
          <w:lang w:val="es-ES_tradnl"/>
        </w:rPr>
        <w:t>1</w:t>
      </w:r>
      <w:r w:rsidRPr="00D561C2">
        <w:rPr>
          <w:lang w:val="es-ES_tradnl"/>
        </w:rPr>
        <w:tab/>
        <w:t>Esta disposición trata del requisito de que la administración notificante debe informar a la Oficina dentro de un plazo de 30 días a partir del final del periodo de 90 días en el cual se ha desplegado una estación espacial en la órbita de satélite geoestacionario con la capacidad de transmisión o recepción de esas asignaciones de frecuencias y se ha mantenido continuamente en la posición orbital notificada</w:t>
      </w:r>
      <w:r w:rsidRPr="00D561C2">
        <w:rPr>
          <w:color w:val="000000"/>
          <w:lang w:val="es-ES_tradnl"/>
        </w:rPr>
        <w:t>.</w:t>
      </w:r>
    </w:p>
    <w:p w:rsidR="00D561C2" w:rsidRPr="00685DBD" w:rsidRDefault="00685DBD" w:rsidP="009243FB">
      <w:pPr>
        <w:spacing w:line="250" w:lineRule="exact"/>
        <w:rPr>
          <w:lang w:val="es-ES_tradnl"/>
        </w:rPr>
      </w:pPr>
      <w:r w:rsidRPr="00685DBD">
        <w:rPr>
          <w:lang w:val="es-ES_tradnl"/>
        </w:rPr>
        <w:t>2</w:t>
      </w:r>
      <w:r w:rsidRPr="00685DBD">
        <w:rPr>
          <w:lang w:val="es-ES_tradnl"/>
        </w:rPr>
        <w:tab/>
        <w:t>La Junta estudió detenidamente la relación entre las diversas disposiciones relacionadas con la entrada en servicio de asignaciones de frecuencias para una red de satélites GSO conforme a lo dispuesto en los números.</w:t>
      </w:r>
      <w:r w:rsidRPr="00685DBD">
        <w:rPr>
          <w:b/>
          <w:bCs/>
          <w:lang w:val="es-ES_tradnl"/>
        </w:rPr>
        <w:t>11.43A</w:t>
      </w:r>
      <w:r w:rsidRPr="00685DBD">
        <w:rPr>
          <w:lang w:val="es-ES_tradnl"/>
        </w:rPr>
        <w:t xml:space="preserve">, </w:t>
      </w:r>
      <w:r w:rsidRPr="00685DBD">
        <w:rPr>
          <w:rStyle w:val="Artref"/>
          <w:b/>
          <w:bCs/>
          <w:color w:val="000000"/>
          <w:lang w:val="es-ES_tradnl"/>
        </w:rPr>
        <w:t>11.44</w:t>
      </w:r>
      <w:r w:rsidRPr="00685DBD">
        <w:rPr>
          <w:rStyle w:val="Artref"/>
          <w:color w:val="000000"/>
          <w:lang w:val="es-ES_tradnl"/>
        </w:rPr>
        <w:t>,</w:t>
      </w:r>
      <w:r w:rsidRPr="00685DBD">
        <w:rPr>
          <w:rStyle w:val="Artref"/>
          <w:b/>
          <w:bCs/>
          <w:color w:val="000000"/>
          <w:lang w:val="es-ES_tradnl"/>
        </w:rPr>
        <w:t xml:space="preserve"> 11.44.2</w:t>
      </w:r>
      <w:r w:rsidRPr="00685DBD">
        <w:rPr>
          <w:rStyle w:val="Artref"/>
          <w:color w:val="000000"/>
          <w:lang w:val="es-ES_tradnl"/>
        </w:rPr>
        <w:t xml:space="preserve">, </w:t>
      </w:r>
      <w:r w:rsidRPr="00685DBD">
        <w:rPr>
          <w:rStyle w:val="Artref"/>
          <w:b/>
          <w:color w:val="000000"/>
          <w:lang w:val="es-ES_tradnl"/>
        </w:rPr>
        <w:t>11.44.3</w:t>
      </w:r>
      <w:r w:rsidRPr="00685DBD">
        <w:rPr>
          <w:rStyle w:val="Artref"/>
          <w:color w:val="000000"/>
          <w:lang w:val="es-ES_tradnl"/>
        </w:rPr>
        <w:t xml:space="preserve">, </w:t>
      </w:r>
      <w:r w:rsidRPr="00685DBD">
        <w:rPr>
          <w:rStyle w:val="Artref"/>
          <w:b/>
          <w:bCs/>
          <w:color w:val="000000"/>
          <w:lang w:val="es-ES_tradnl"/>
        </w:rPr>
        <w:t>11.44B</w:t>
      </w:r>
      <w:r w:rsidRPr="00685DBD">
        <w:rPr>
          <w:rStyle w:val="Artref"/>
          <w:color w:val="000000"/>
          <w:lang w:val="es-ES_tradnl"/>
        </w:rPr>
        <w:t>,</w:t>
      </w:r>
      <w:r w:rsidRPr="00685DBD">
        <w:rPr>
          <w:rStyle w:val="Artref"/>
          <w:b/>
          <w:bCs/>
          <w:color w:val="000000"/>
          <w:lang w:val="es-ES_tradnl"/>
        </w:rPr>
        <w:t xml:space="preserve"> 11.44B.1</w:t>
      </w:r>
      <w:r w:rsidRPr="00685DBD">
        <w:rPr>
          <w:rStyle w:val="Artref"/>
          <w:color w:val="000000"/>
          <w:lang w:val="es-ES_tradnl"/>
        </w:rPr>
        <w:t xml:space="preserve">, </w:t>
      </w:r>
      <w:r w:rsidRPr="00685DBD">
        <w:rPr>
          <w:rStyle w:val="Artref"/>
          <w:b/>
          <w:bCs/>
          <w:color w:val="000000"/>
          <w:lang w:val="es-ES_tradnl"/>
        </w:rPr>
        <w:t>11.44B.2</w:t>
      </w:r>
      <w:r w:rsidRPr="00685DBD">
        <w:rPr>
          <w:lang w:val="es-ES_tradnl"/>
        </w:rPr>
        <w:t xml:space="preserve"> y </w:t>
      </w:r>
      <w:r w:rsidRPr="00685DBD">
        <w:rPr>
          <w:rStyle w:val="Artref"/>
          <w:b/>
          <w:bCs/>
          <w:color w:val="000000"/>
          <w:lang w:val="es-ES_tradnl"/>
        </w:rPr>
        <w:t>11.47</w:t>
      </w:r>
      <w:r w:rsidRPr="00685DBD">
        <w:rPr>
          <w:rStyle w:val="Artref"/>
          <w:color w:val="000000"/>
          <w:lang w:val="es-ES_tradnl"/>
        </w:rPr>
        <w:t>, y llegó a la conclusión de que la Oficina aplicará el procedimiento que se describe a continuación</w:t>
      </w:r>
      <w:r w:rsidRPr="00685DBD">
        <w:rPr>
          <w:lang w:val="es-ES_tradnl"/>
        </w:rPr>
        <w:t>.</w:t>
      </w:r>
      <w:r>
        <w:rPr>
          <w:lang w:val="es-ES_tradnl"/>
        </w:rPr>
        <w:t xml:space="preserve">    </w:t>
      </w:r>
    </w:p>
    <w:p w:rsidR="00D561C2" w:rsidRPr="00D561C2" w:rsidRDefault="00685DBD" w:rsidP="00340DF3">
      <w:pPr>
        <w:spacing w:line="250" w:lineRule="exact"/>
        <w:rPr>
          <w:lang w:val="es-ES_tradnl"/>
        </w:rPr>
      </w:pPr>
      <w:r w:rsidRPr="00685DBD">
        <w:rPr>
          <w:lang w:val="es-ES_tradnl"/>
        </w:rPr>
        <w:t>3</w:t>
      </w:r>
      <w:r w:rsidRPr="00685DBD">
        <w:rPr>
          <w:lang w:val="es-ES_tradnl"/>
        </w:rPr>
        <w:tab/>
        <w:t xml:space="preserve">El número </w:t>
      </w:r>
      <w:r w:rsidRPr="00685DBD">
        <w:rPr>
          <w:rStyle w:val="Artref"/>
          <w:b/>
          <w:color w:val="000000"/>
          <w:lang w:val="es-ES_tradnl"/>
        </w:rPr>
        <w:t>11.44</w:t>
      </w:r>
      <w:r w:rsidR="00587B8C">
        <w:rPr>
          <w:rStyle w:val="FootnoteReference"/>
          <w:lang w:val="es-ES_tradnl"/>
        </w:rPr>
        <w:footnoteReference w:customMarkFollows="1" w:id="12"/>
        <w:t>10</w:t>
      </w:r>
      <w:r w:rsidRPr="00685DBD">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685DBD">
        <w:rPr>
          <w:b/>
          <w:bCs/>
          <w:lang w:val="es-ES_tradnl"/>
        </w:rPr>
        <w:t xml:space="preserve">11.44B </w:t>
      </w:r>
      <w:r w:rsidRPr="00685DBD">
        <w:rPr>
          <w:lang w:val="es-ES_tradnl"/>
        </w:rPr>
        <w:t xml:space="preserve">y </w:t>
      </w:r>
      <w:r w:rsidRPr="00685DBD">
        <w:rPr>
          <w:b/>
          <w:bCs/>
          <w:lang w:val="es-ES_tradnl"/>
        </w:rPr>
        <w:t>11.44B.2</w:t>
      </w:r>
      <w:r w:rsidRPr="00685DBD">
        <w:rPr>
          <w:lang w:val="es-ES_tradnl"/>
        </w:rPr>
        <w:t xml:space="preserve"> se estipulan las condiciones en virtud de las cuales se considerará que una asignación de frecuencias a una estación espacial en la órbita de los satélites geoestacionarios ha sido puesta en servicio. La Oficina inscribirá como fecha de puesta en servicio notificada la fecha de comienzo del periodo de 90 días definido en el número </w:t>
      </w:r>
      <w:r w:rsidRPr="00685DBD">
        <w:rPr>
          <w:b/>
          <w:lang w:val="es-ES_tradnl"/>
        </w:rPr>
        <w:t>11.44B</w:t>
      </w:r>
      <w:r w:rsidRPr="00685DBD">
        <w:rPr>
          <w:bCs/>
          <w:lang w:val="es-ES_tradnl"/>
        </w:rPr>
        <w:t xml:space="preserve"> o la fecha proporcionada por la administración de conformidad con el número </w:t>
      </w:r>
      <w:r w:rsidRPr="00685DBD">
        <w:rPr>
          <w:b/>
          <w:lang w:val="es-ES_tradnl"/>
        </w:rPr>
        <w:t xml:space="preserve">11.44B.2 </w:t>
      </w:r>
      <w:r w:rsidRPr="00685DBD">
        <w:rPr>
          <w:lang w:val="es-ES_tradnl"/>
        </w:rPr>
        <w:t xml:space="preserve">(véase el número </w:t>
      </w:r>
      <w:r w:rsidRPr="00685DBD">
        <w:rPr>
          <w:b/>
          <w:lang w:val="es-ES_tradnl"/>
        </w:rPr>
        <w:t>11.44.2</w:t>
      </w:r>
      <w:r w:rsidRPr="00685DBD">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685DBD">
        <w:rPr>
          <w:b/>
          <w:bCs/>
          <w:lang w:val="es-ES_tradnl"/>
        </w:rPr>
        <w:t>11.44B</w:t>
      </w:r>
      <w:r w:rsidRPr="00685DBD">
        <w:rPr>
          <w:lang w:val="es-ES_tradnl"/>
        </w:rPr>
        <w:t xml:space="preserve"> y </w:t>
      </w:r>
      <w:r w:rsidRPr="00685DBD">
        <w:rPr>
          <w:b/>
          <w:bCs/>
          <w:lang w:val="es-ES_tradnl"/>
        </w:rPr>
        <w:t>11.44B.2</w:t>
      </w:r>
      <w:r w:rsidRPr="00AD38F1">
        <w:rPr>
          <w:lang w:val="es-ES_tradnl"/>
        </w:rPr>
        <w:t>,</w:t>
      </w:r>
      <w:r w:rsidRPr="00685DBD">
        <w:rPr>
          <w:b/>
          <w:bCs/>
          <w:lang w:val="es-ES_tradnl"/>
        </w:rPr>
        <w:t> </w:t>
      </w:r>
      <w:r w:rsidRPr="00685DBD">
        <w:rPr>
          <w:lang w:val="es-ES_tradnl"/>
        </w:rPr>
        <w:t>la Oficina anulará las asignaciones inscritas provisionalmente en el Registro con arreglo al número </w:t>
      </w:r>
      <w:r w:rsidRPr="00685DBD">
        <w:rPr>
          <w:b/>
          <w:bCs/>
          <w:lang w:val="es-ES_tradnl"/>
        </w:rPr>
        <w:t>11.44</w:t>
      </w:r>
      <w:r w:rsidR="00587B8C">
        <w:rPr>
          <w:rStyle w:val="FootnoteReference"/>
          <w:lang w:val="es-ES_tradnl"/>
        </w:rPr>
        <w:footnoteReference w:customMarkFollows="1" w:id="13"/>
        <w:t>11</w:t>
      </w:r>
      <w:r w:rsidRPr="00685DBD">
        <w:rPr>
          <w:lang w:val="es-ES_tradnl"/>
        </w:rPr>
        <w:t xml:space="preserve"> y/o suprimirá las correspondientes seccione</w:t>
      </w:r>
      <w:r w:rsidR="00FB2095">
        <w:rPr>
          <w:lang w:val="es-ES_tradnl"/>
        </w:rPr>
        <w:t>s especiales conforme al número </w:t>
      </w:r>
      <w:r w:rsidRPr="00685DBD">
        <w:rPr>
          <w:b/>
          <w:bCs/>
          <w:lang w:val="es-ES_tradnl"/>
        </w:rPr>
        <w:t>11.48</w:t>
      </w:r>
      <w:r w:rsidR="00587B8C">
        <w:rPr>
          <w:rStyle w:val="FootnoteReference"/>
          <w:lang w:val="es-ES_tradnl"/>
        </w:rPr>
        <w:footnoteReference w:customMarkFollows="1" w:id="14"/>
        <w:t>12</w:t>
      </w:r>
      <w:r w:rsidRPr="00685DBD">
        <w:rPr>
          <w:lang w:val="es-ES_tradnl"/>
        </w:rPr>
        <w:t>, según proceda.</w:t>
      </w:r>
      <w:r w:rsidR="00FB2095">
        <w:rPr>
          <w:lang w:val="es-ES_tradnl"/>
        </w:rPr>
        <w:t xml:space="preserve">    </w:t>
      </w:r>
    </w:p>
    <w:p w:rsidR="004C6036" w:rsidRDefault="00D561C2" w:rsidP="00FF225F">
      <w:pPr>
        <w:spacing w:before="120" w:line="250" w:lineRule="exact"/>
        <w:rPr>
          <w:lang w:val="es-ES_tradnl"/>
        </w:rPr>
      </w:pPr>
      <w:r w:rsidRPr="00D561C2">
        <w:rPr>
          <w:lang w:val="es-ES_tradnl"/>
        </w:rPr>
        <w:t>4</w:t>
      </w:r>
      <w:r w:rsidRPr="00D561C2">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del número </w:t>
      </w:r>
      <w:r w:rsidRPr="00D561C2">
        <w:rPr>
          <w:b/>
          <w:bCs/>
          <w:lang w:val="es-ES_tradnl"/>
        </w:rPr>
        <w:t>11.44B</w:t>
      </w:r>
      <w:r w:rsidRPr="00D561C2">
        <w:rPr>
          <w:lang w:val="es-ES_tradnl"/>
        </w:rPr>
        <w:t>, se inscribirá provisionalmente en el Registro. De ahí en adelante, al final del periodo p</w:t>
      </w:r>
      <w:r w:rsidR="00025ECD">
        <w:rPr>
          <w:lang w:val="es-ES_tradnl"/>
        </w:rPr>
        <w:t>roporcionado conforme al número </w:t>
      </w:r>
      <w:r w:rsidRPr="00D561C2">
        <w:rPr>
          <w:b/>
          <w:bCs/>
          <w:lang w:val="es-ES_tradnl"/>
        </w:rPr>
        <w:t>11.44</w:t>
      </w:r>
      <w:r w:rsidRPr="00D561C2">
        <w:rPr>
          <w:lang w:val="es-ES_tradnl"/>
        </w:rPr>
        <w:t xml:space="preserve">, la Oficina actuará de conformidad con lo dispuesto en el número </w:t>
      </w:r>
      <w:r w:rsidRPr="00D561C2">
        <w:rPr>
          <w:b/>
          <w:bCs/>
          <w:lang w:val="es-ES_tradnl"/>
        </w:rPr>
        <w:t xml:space="preserve">11.47 </w:t>
      </w:r>
      <w:r w:rsidR="00025ECD">
        <w:rPr>
          <w:lang w:val="es-ES_tradnl"/>
        </w:rPr>
        <w:t>y/o el número </w:t>
      </w:r>
      <w:r w:rsidRPr="00D561C2">
        <w:rPr>
          <w:b/>
          <w:bCs/>
          <w:lang w:val="es-ES_tradnl"/>
        </w:rPr>
        <w:t>11.44B</w:t>
      </w:r>
      <w:r w:rsidRPr="00D561C2">
        <w:rPr>
          <w:lang w:val="es-ES_tradnl"/>
        </w:rPr>
        <w:t>.</w:t>
      </w:r>
    </w:p>
    <w:p w:rsidR="00D01428" w:rsidRDefault="00D01428" w:rsidP="00FF225F">
      <w:pPr>
        <w:spacing w:before="120" w:line="250" w:lineRule="exact"/>
        <w:rPr>
          <w:lang w:val="es-ES_tradnl"/>
        </w:rPr>
      </w:pPr>
      <w:r>
        <w:rPr>
          <w:lang w:val="es-ES_tradnl"/>
        </w:rPr>
        <w:br w:type="page"/>
      </w:r>
    </w:p>
    <w:p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rsidR="001A29BD" w:rsidRDefault="001A29BD" w:rsidP="009243FB">
      <w:pPr>
        <w:spacing w:line="250" w:lineRule="exact"/>
        <w:rPr>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rsidR="001A29BD" w:rsidRPr="00FF225F" w:rsidRDefault="001A29BD" w:rsidP="00432D3A">
      <w:pPr>
        <w:pStyle w:val="Heading8"/>
        <w:spacing w:before="240"/>
        <w:rPr>
          <w:color w:val="000000"/>
          <w:lang w:val="es-ES_tradnl"/>
        </w:rPr>
      </w:pPr>
      <w:r w:rsidRPr="00FF225F">
        <w:rPr>
          <w:color w:val="000000"/>
          <w:lang w:val="es-ES_tradnl"/>
        </w:rPr>
        <w:t>11.48</w:t>
      </w:r>
    </w:p>
    <w:p w:rsidR="00FF225F" w:rsidRPr="00FF225F" w:rsidRDefault="00FF225F" w:rsidP="00581AB1">
      <w:pPr>
        <w:rPr>
          <w:rFonts w:asciiTheme="minorHAnsi" w:hAnsiTheme="minorHAnsi"/>
          <w:lang w:val="es-ES_tradnl"/>
        </w:rPr>
      </w:pPr>
      <w:r w:rsidRPr="00FF225F">
        <w:rPr>
          <w:b/>
          <w:bCs/>
          <w:lang w:val="es-ES_tradnl"/>
        </w:rPr>
        <w:t>Nota</w:t>
      </w:r>
      <w:r w:rsidRPr="00FF225F">
        <w:rPr>
          <w:lang w:val="es-ES_tradnl"/>
        </w:rPr>
        <w:t xml:space="preserve"> – La CMR-15 tomó una decisión relacionada con </w:t>
      </w:r>
      <w:r w:rsidR="00581AB1">
        <w:rPr>
          <w:lang w:val="es-ES_tradnl"/>
        </w:rPr>
        <w:t>el Reglamento de Radiocomunicaciones</w:t>
      </w:r>
      <w:r w:rsidRPr="00FF225F">
        <w:rPr>
          <w:lang w:val="es-ES_tradnl"/>
        </w:rPr>
        <w:t xml:space="preserve"> relativa al número </w:t>
      </w:r>
      <w:r w:rsidRPr="00FF225F">
        <w:rPr>
          <w:b/>
          <w:bCs/>
          <w:lang w:val="es-ES_tradnl"/>
        </w:rPr>
        <w:t>11.48</w:t>
      </w:r>
      <w:r w:rsidRPr="00FF225F">
        <w:rPr>
          <w:lang w:val="es-ES_tradnl"/>
        </w:rPr>
        <w:t xml:space="preserve"> durante la 8ª Sesión Plenaria </w:t>
      </w:r>
      <w:r w:rsidRPr="00FF225F">
        <w:rPr>
          <w:lang w:val="es-ES_tradnl" w:eastAsia="zh-CN"/>
        </w:rPr>
        <w:t>(véanse los párrafos</w:t>
      </w:r>
      <w:r w:rsidRPr="00FF225F">
        <w:rPr>
          <w:lang w:val="es-ES_tradnl"/>
        </w:rPr>
        <w:t xml:space="preserve"> 1.39 a 1.42 del Documento 505 de la CMR-15) con la aprobación del Doc</w:t>
      </w:r>
      <w:r w:rsidR="00581AB1">
        <w:rPr>
          <w:lang w:val="es-ES_tradnl"/>
        </w:rPr>
        <w:t>umento </w:t>
      </w:r>
      <w:r w:rsidRPr="00FF225F">
        <w:rPr>
          <w:lang w:val="es-ES_tradnl"/>
        </w:rPr>
        <w:t xml:space="preserve">416 de la CMR-15 en relación con </w:t>
      </w:r>
      <w:r w:rsidRPr="00FF225F">
        <w:rPr>
          <w:lang w:val="es-ES_tradnl" w:eastAsia="zh-CN"/>
        </w:rPr>
        <w:t>el apartado</w:t>
      </w:r>
      <w:r w:rsidRPr="00FF225F">
        <w:rPr>
          <w:lang w:val="es-ES_tradnl"/>
        </w:rPr>
        <w:t xml:space="preserve"> 2.2.2, y estipuló lo siguiente</w:t>
      </w:r>
      <w:r w:rsidRPr="00FF225F">
        <w:rPr>
          <w:rFonts w:eastAsia="SimSun"/>
          <w:lang w:val="es-ES_tradnl" w:eastAsia="zh-CN"/>
        </w:rPr>
        <w:t>:</w:t>
      </w:r>
    </w:p>
    <w:p w:rsidR="001A29BD" w:rsidRDefault="00FF225F" w:rsidP="00432D3A">
      <w:pPr>
        <w:spacing w:line="250" w:lineRule="exact"/>
        <w:rPr>
          <w:i/>
          <w:iCs/>
          <w:lang w:val="es-ES_tradnl"/>
        </w:rPr>
      </w:pPr>
      <w:r w:rsidRPr="00FF225F">
        <w:rPr>
          <w:i/>
          <w:iCs/>
          <w:lang w:val="es-ES_tradnl"/>
        </w:rPr>
        <w:t xml:space="preserve">«La CMR-15 tomó nota de la incoherencia entre el número </w:t>
      </w:r>
      <w:r w:rsidRPr="00FF225F">
        <w:rPr>
          <w:b/>
          <w:bCs/>
          <w:i/>
          <w:iCs/>
          <w:lang w:val="es-ES_tradnl"/>
        </w:rPr>
        <w:t>11.48</w:t>
      </w:r>
      <w:r w:rsidRPr="00FF225F">
        <w:rPr>
          <w:i/>
          <w:iCs/>
          <w:lang w:val="es-ES_tradnl"/>
        </w:rPr>
        <w:t xml:space="preserve"> del RR y el § 8 del Anexo 1 a la Resolución </w:t>
      </w:r>
      <w:r w:rsidRPr="00FF225F">
        <w:rPr>
          <w:b/>
          <w:bCs/>
          <w:i/>
          <w:iCs/>
          <w:lang w:val="es-ES_tradnl"/>
        </w:rPr>
        <w:t>552</w:t>
      </w:r>
      <w:r w:rsidRPr="00FF225F">
        <w:rPr>
          <w:i/>
          <w:iCs/>
          <w:lang w:val="es-ES_tradnl"/>
        </w:rPr>
        <w:t xml:space="preserve"> </w:t>
      </w:r>
      <w:r w:rsidR="006B10B0">
        <w:rPr>
          <w:b/>
          <w:bCs/>
          <w:i/>
          <w:iCs/>
          <w:lang w:val="es-ES_tradnl"/>
        </w:rPr>
        <w:t>(CMR-</w:t>
      </w:r>
      <w:r w:rsidRPr="00FF225F">
        <w:rPr>
          <w:b/>
          <w:bCs/>
          <w:i/>
          <w:iCs/>
          <w:lang w:val="es-ES_tradnl"/>
        </w:rPr>
        <w:t>12)</w:t>
      </w:r>
      <w:r w:rsidR="00432D3A">
        <w:rPr>
          <w:rStyle w:val="FootnoteReference"/>
          <w:i/>
          <w:iCs/>
          <w:lang w:val="es-ES_tradnl"/>
        </w:rPr>
        <w:footnoteReference w:customMarkFollows="1" w:id="15"/>
        <w:t>*</w:t>
      </w:r>
      <w:r w:rsidRPr="00FF225F">
        <w:rPr>
          <w:i/>
          <w:iCs/>
          <w:lang w:val="es-ES_tradnl"/>
        </w:rPr>
        <w:t xml:space="preserve"> y confirmó que su interpretación era que la Oficina procederá a anular las asignaciones de frecuencia de las redes de saté</w:t>
      </w:r>
      <w:r w:rsidR="00443745">
        <w:rPr>
          <w:i/>
          <w:iCs/>
          <w:lang w:val="es-ES_tradnl"/>
        </w:rPr>
        <w:t>lites que funcionan en la banda </w:t>
      </w:r>
      <w:r w:rsidRPr="00FF225F">
        <w:rPr>
          <w:i/>
          <w:iCs/>
          <w:lang w:val="es-ES_tradnl"/>
        </w:rPr>
        <w:t xml:space="preserve">21,4-22 GHz si transcurridos 30 días desde el final de periodo de siete años contados a partir de la fecha de recepción por la Oficina de la información completa pertinente en virtud de los números </w:t>
      </w:r>
      <w:r w:rsidRPr="00FF225F">
        <w:rPr>
          <w:b/>
          <w:bCs/>
          <w:i/>
          <w:iCs/>
          <w:lang w:val="es-ES_tradnl"/>
        </w:rPr>
        <w:t>9.1</w:t>
      </w:r>
      <w:r w:rsidRPr="00FF225F">
        <w:rPr>
          <w:i/>
          <w:iCs/>
          <w:lang w:val="es-ES_tradnl"/>
        </w:rPr>
        <w:t xml:space="preserve"> ó </w:t>
      </w:r>
      <w:r w:rsidRPr="00FF225F">
        <w:rPr>
          <w:b/>
          <w:bCs/>
          <w:i/>
          <w:iCs/>
          <w:lang w:val="es-ES_tradnl"/>
        </w:rPr>
        <w:t>9.2</w:t>
      </w:r>
      <w:r w:rsidRPr="00FF225F">
        <w:rPr>
          <w:i/>
          <w:iCs/>
          <w:lang w:val="es-ES_tradnl"/>
        </w:rPr>
        <w:t xml:space="preserve"> del RR, según el caso, y una vez finalizado el periodo de tres años contados desde la fecha de suspensión de conformidad con el número </w:t>
      </w:r>
      <w:r w:rsidRPr="00FF225F">
        <w:rPr>
          <w:b/>
          <w:bCs/>
          <w:i/>
          <w:iCs/>
          <w:lang w:val="es-ES_tradnl"/>
        </w:rPr>
        <w:t>11.49</w:t>
      </w:r>
      <w:r w:rsidRPr="00FF225F">
        <w:rPr>
          <w:i/>
          <w:iCs/>
          <w:lang w:val="es-ES_tradnl"/>
        </w:rPr>
        <w:t xml:space="preserve"> del RR</w:t>
      </w:r>
      <w:r w:rsidR="00432D3A">
        <w:rPr>
          <w:rStyle w:val="FootnoteReference"/>
          <w:i/>
          <w:iCs/>
          <w:lang w:val="es-ES_tradnl"/>
        </w:rPr>
        <w:footnoteReference w:customMarkFollows="1" w:id="16"/>
        <w:t>**</w:t>
      </w:r>
      <w:r w:rsidRPr="00FF225F">
        <w:rPr>
          <w:i/>
          <w:iCs/>
          <w:lang w:val="es-ES_tradnl"/>
        </w:rPr>
        <w:t>.»</w:t>
      </w:r>
    </w:p>
    <w:p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F178D">
        <w:rPr>
          <w:rStyle w:val="FootnoteReference"/>
          <w:color w:val="000000"/>
          <w:lang w:val="es-ES_tradnl"/>
        </w:rPr>
        <w:footnoteReference w:customMarkFollows="1" w:id="17"/>
        <w:t>13</w:t>
      </w:r>
    </w:p>
    <w:p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rsidR="00D72BCF" w:rsidRPr="003C601A"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rsidR="00D01428" w:rsidRDefault="00D01428" w:rsidP="00D01428">
      <w:pPr>
        <w:rPr>
          <w:lang w:val="es-ES_tradnl"/>
        </w:rPr>
      </w:pPr>
      <w:r>
        <w:rPr>
          <w:lang w:val="es-ES_tradnl"/>
        </w:rPr>
        <w:br w:type="page"/>
      </w:r>
    </w:p>
    <w:p w:rsidR="00E90A91" w:rsidRPr="00E90A91" w:rsidRDefault="00E90A91" w:rsidP="003F7F87">
      <w:pPr>
        <w:pStyle w:val="Heading1"/>
        <w:spacing w:before="360"/>
        <w:rPr>
          <w:lang w:val="es-ES_tradnl"/>
        </w:rPr>
      </w:pPr>
      <w:r w:rsidRPr="00E90A91">
        <w:rPr>
          <w:lang w:val="es-ES_tradnl"/>
        </w:rPr>
        <w:lastRenderedPageBreak/>
        <w:t>2</w:t>
      </w:r>
      <w:r w:rsidRPr="00E90A91">
        <w:rPr>
          <w:lang w:val="es-ES_tradnl"/>
        </w:rPr>
        <w:tab/>
        <w:t>Registro de un abandono de uso</w:t>
      </w:r>
    </w:p>
    <w:p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rsidR="003F7F87" w:rsidRPr="00E90A91"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rsidR="003F7F87" w:rsidRPr="00E90A91" w:rsidRDefault="003F7F87" w:rsidP="003F7F87">
      <w:pPr>
        <w:rPr>
          <w:lang w:val="es-ES_tradnl"/>
        </w:rPr>
      </w:pPr>
      <w:r w:rsidRPr="00E90A91">
        <w:rPr>
          <w:lang w:val="es-ES_tradnl"/>
        </w:rPr>
        <w:t>2.3</w:t>
      </w:r>
      <w:r w:rsidRPr="00E90A91">
        <w:rPr>
          <w:lang w:val="es-ES_tradnl"/>
        </w:rPr>
        <w:tab/>
        <w:t xml:space="preserve">Las asignaciones de frecuencia a estaciones espaciales cuya suspensión se notifique para un periodo de más de tres años no serán tenidas en cuenta a efectos de los exámenes de otras asignaciones, de conformidad con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(CMR-15)</w:t>
      </w:r>
      <w:r w:rsidR="00033BEB" w:rsidRPr="00033BEB">
        <w:rPr>
          <w:lang w:val="es-ES_tradnl"/>
        </w:rPr>
        <w:t>.</w:t>
      </w:r>
      <w:r w:rsidR="00E55618">
        <w:rPr>
          <w:lang w:val="es-ES_tradnl"/>
        </w:rPr>
        <w:t xml:space="preserve">    </w:t>
      </w:r>
    </w:p>
    <w:p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r>
        <w:rPr>
          <w:lang w:val="es-ES_tradnl"/>
        </w:rPr>
        <w:t xml:space="preserve">    </w:t>
      </w:r>
    </w:p>
    <w:p w:rsidR="00D01428" w:rsidRDefault="00D01428" w:rsidP="009243FB">
      <w:pPr>
        <w:spacing w:before="120"/>
        <w:rPr>
          <w:lang w:val="es-ES_tradnl"/>
        </w:rPr>
      </w:pPr>
      <w:r>
        <w:rPr>
          <w:lang w:val="es-ES_tradnl"/>
        </w:rPr>
        <w:br w:type="page"/>
      </w:r>
    </w:p>
    <w:p w:rsidR="00DE1E30" w:rsidRPr="00DE1E30" w:rsidRDefault="00DE1E30" w:rsidP="00A00B06">
      <w:pPr>
        <w:spacing w:before="120"/>
        <w:rPr>
          <w:lang w:val="es-ES_tradnl"/>
        </w:rPr>
      </w:pPr>
      <w:r w:rsidRPr="00DE1E30">
        <w:rPr>
          <w:b/>
          <w:lang w:val="es-ES_tradnl"/>
        </w:rPr>
        <w:lastRenderedPageBreak/>
        <w:t>Nota</w:t>
      </w:r>
      <w:r w:rsidRPr="00DE1E30">
        <w:rPr>
          <w:lang w:val="es-ES_tradnl"/>
        </w:rPr>
        <w:t xml:space="preserve"> – 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rsidR="00873EF9" w:rsidRPr="00DE1E30" w:rsidRDefault="00DE1E30" w:rsidP="006D45DA">
      <w:pPr>
        <w:spacing w:before="60"/>
        <w:rPr>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r>
        <w:rPr>
          <w:i/>
          <w:iCs/>
          <w:lang w:val="es-ES_tradnl"/>
        </w:rPr>
        <w:t xml:space="preserve">    </w:t>
      </w:r>
    </w:p>
    <w:p w:rsidR="003011F9" w:rsidRPr="00FB6506" w:rsidRDefault="003011F9" w:rsidP="006D45DA">
      <w:pPr>
        <w:pStyle w:val="Heading8"/>
        <w:spacing w:before="240"/>
        <w:rPr>
          <w:color w:val="000000"/>
          <w:lang w:val="es-ES_tradnl"/>
        </w:rPr>
      </w:pPr>
      <w:r w:rsidRPr="00FB6506">
        <w:rPr>
          <w:lang w:val="es-ES_tradnl"/>
        </w:rPr>
        <w:t>11.50</w:t>
      </w:r>
      <w:r w:rsidRPr="00FB6506">
        <w:rPr>
          <w:lang w:val="es-ES_tradnl"/>
        </w:rPr>
        <w:tab/>
      </w:r>
      <w:r w:rsidRPr="00FB6506">
        <w:rPr>
          <w:lang w:val="es-ES_tradnl"/>
        </w:rPr>
        <w:tab/>
      </w:r>
    </w:p>
    <w:p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 … prestando especial atención … »,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 xml:space="preserve">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 3 a 6. Si no se recibe respuesta antes de que transcurra el plazo establecido por la Oficina (normalmente 30 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 xml:space="preserve">Si no se recibe respuesta transcurridos 30 días después de la fecha de envío del recordatorio, la </w:t>
      </w:r>
      <w:r>
        <w:rPr>
          <w:szCs w:val="24"/>
          <w:lang w:val="es-ES_tradnl"/>
        </w:rPr>
        <w:t>Oficina</w:t>
      </w:r>
      <w:r w:rsidRPr="00751400">
        <w:rPr>
          <w:szCs w:val="24"/>
          <w:lang w:val="es-ES_tradnl"/>
        </w:rPr>
        <w:t xml:space="preserve"> llevará a cabo las medidas propuestas.</w:t>
      </w:r>
    </w:p>
    <w:p w:rsidR="00D01428" w:rsidRDefault="00D01428" w:rsidP="0062524A">
      <w:pPr>
        <w:spacing w:before="60"/>
        <w:rPr>
          <w:szCs w:val="24"/>
          <w:lang w:val="es-ES_tradnl"/>
        </w:rPr>
      </w:pPr>
      <w:r>
        <w:rPr>
          <w:szCs w:val="24"/>
          <w:lang w:val="es-ES_tradnl"/>
        </w:rPr>
        <w:br w:type="page"/>
      </w:r>
    </w:p>
    <w:p w:rsidR="00353B4B" w:rsidRPr="00751400" w:rsidRDefault="00353B4B" w:rsidP="00AF7287">
      <w:pPr>
        <w:rPr>
          <w:szCs w:val="24"/>
          <w:lang w:val="es-ES_tradnl"/>
        </w:rPr>
      </w:pPr>
      <w:r w:rsidRPr="00751400">
        <w:rPr>
          <w:szCs w:val="24"/>
          <w:lang w:val="es-ES_tradnl"/>
        </w:rPr>
        <w:lastRenderedPageBreak/>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rsidR="00353B4B" w:rsidRPr="00751400"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rsidR="00353B4B" w:rsidRPr="00751400" w:rsidRDefault="00353B4B" w:rsidP="00AF7287">
      <w:pPr>
        <w:pStyle w:val="enumlev1"/>
        <w:tabs>
          <w:tab w:val="left" w:pos="567"/>
        </w:tabs>
        <w:ind w:left="0" w:firstLine="0"/>
        <w:rPr>
          <w:szCs w:val="24"/>
          <w:lang w:val="es-ES_tradnl"/>
        </w:rPr>
      </w:pPr>
      <w:r w:rsidRPr="00751400">
        <w:rPr>
          <w:szCs w:val="24"/>
          <w:lang w:val="es-ES_tradnl"/>
        </w:rPr>
        <w:t xml:space="preserve">Cuando la atribución degradada esté sujeta a condiciones adicionales y las condiciones relativas al examen reglamentario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AF7287" w:rsidRPr="00DE1E30">
        <w:rPr>
          <w:i/>
          <w:iCs/>
          <w:lang w:val="es-ES_tradnl"/>
        </w:rPr>
        <w:t xml:space="preserve">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rsidR="00E41FDD" w:rsidRDefault="00353B4B" w:rsidP="00E41FDD">
      <w:pPr>
        <w:tabs>
          <w:tab w:val="left" w:pos="0"/>
          <w:tab w:val="left" w:pos="709"/>
          <w:tab w:val="left" w:pos="993"/>
        </w:tabs>
        <w:overflowPunct/>
        <w:textAlignment w:val="auto"/>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rsidR="0055260C" w:rsidRDefault="0055260C" w:rsidP="00E41FDD">
      <w:pPr>
        <w:tabs>
          <w:tab w:val="left" w:pos="0"/>
          <w:tab w:val="left" w:pos="709"/>
          <w:tab w:val="left" w:pos="993"/>
        </w:tabs>
        <w:overflowPunct/>
        <w:textAlignment w:val="auto"/>
        <w:rPr>
          <w:lang w:val="es-ES_tradnl" w:eastAsia="zh-CN"/>
        </w:rPr>
      </w:pPr>
      <w:r>
        <w:rPr>
          <w:lang w:val="es-ES_tradnl" w:eastAsia="zh-CN"/>
        </w:rPr>
        <w:br w:type="page"/>
      </w:r>
    </w:p>
    <w:p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lastRenderedPageBreak/>
        <w:t xml:space="preserve">Si además de resultar en una nueva atribución o en un incremento de la categoría de un servicio (S2), el cambio en el Artículo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rsidR="00353B4B" w:rsidRPr="00751400" w:rsidRDefault="00353B4B" w:rsidP="00AF7287">
      <w:pPr>
        <w:tabs>
          <w:tab w:val="left" w:pos="0"/>
          <w:tab w:val="left" w:pos="284"/>
          <w:tab w:val="left" w:pos="709"/>
        </w:tabs>
        <w:overflowPunct/>
        <w:textAlignment w:val="auto"/>
        <w:rPr>
          <w:szCs w:val="24"/>
          <w:lang w:val="es-ES_tradnl" w:eastAsia="zh-CN"/>
        </w:rPr>
      </w:pPr>
      <w:r w:rsidRPr="00751400">
        <w:rPr>
          <w:szCs w:val="24"/>
          <w:lang w:val="es-ES_tradnl" w:eastAsia="zh-CN"/>
        </w:rPr>
        <w:t>6</w:t>
      </w:r>
      <w:r w:rsidRPr="00751400">
        <w:rPr>
          <w:szCs w:val="24"/>
          <w:lang w:val="es-ES_tradnl" w:eastAsia="zh-CN"/>
        </w:rPr>
        <w:tab/>
      </w:r>
      <w:r w:rsidRPr="00751400">
        <w:rPr>
          <w:szCs w:val="24"/>
          <w:lang w:val="es-ES_tradnl" w:eastAsia="zh-CN"/>
        </w:rPr>
        <w:tab/>
        <w:t xml:space="preserve">Cuando un cambio en el Artículo </w:t>
      </w:r>
      <w:r w:rsidRPr="00A8003B">
        <w:rPr>
          <w:b/>
          <w:bCs/>
          <w:szCs w:val="24"/>
          <w:lang w:val="es-ES_tradnl" w:eastAsia="zh-CN"/>
        </w:rPr>
        <w:t xml:space="preserve">5 </w:t>
      </w:r>
      <w:r w:rsidRPr="00751400">
        <w:rPr>
          <w:szCs w:val="24"/>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szCs w:val="24"/>
          <w:lang w:val="es-ES_tradnl" w:eastAsia="zh-CN"/>
        </w:rPr>
        <w:t xml:space="preserve">En ese caso, la Oficina pedirá a la Administración notificante si las características de la asignación serán modificadas para cumplir las nuevas condiciones. Si la Administración notificante no responde al pedido de la Oficina (véase el apartado 2 </w:t>
      </w:r>
      <w:r w:rsidRPr="00C96384">
        <w:rPr>
          <w:szCs w:val="24"/>
          <w:lang w:val="es-ES_tradnl" w:eastAsia="zh-CN"/>
        </w:rPr>
        <w:t>supra</w:t>
      </w:r>
      <w:r>
        <w:rPr>
          <w:szCs w:val="24"/>
          <w:lang w:val="es-ES_tradnl" w:eastAsia="zh-CN"/>
        </w:rPr>
        <w:t>) o s</w:t>
      </w:r>
      <w:r w:rsidRPr="00C96384">
        <w:rPr>
          <w:szCs w:val="24"/>
          <w:lang w:val="es-ES_tradnl" w:eastAsia="zh-CN"/>
        </w:rPr>
        <w:t>i</w:t>
      </w:r>
      <w:r w:rsidRPr="00751400">
        <w:rPr>
          <w:szCs w:val="24"/>
          <w:lang w:val="es-ES_tradnl" w:eastAsia="zh-CN"/>
        </w:rPr>
        <w:t xml:space="preserve"> no se satisfacen las condiciones, la Oficina propondrá a la Administración notificante suprimir la asignación</w:t>
      </w:r>
      <w:r>
        <w:rPr>
          <w:szCs w:val="24"/>
          <w:lang w:val="es-ES_tradnl" w:eastAsia="zh-CN"/>
        </w:rPr>
        <w:t>.</w:t>
      </w:r>
      <w:r w:rsidRPr="00751400">
        <w:rPr>
          <w:szCs w:val="24"/>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4.4</w:t>
      </w:r>
      <w:r w:rsidRPr="00751400">
        <w:rPr>
          <w:szCs w:val="24"/>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8.5</w:t>
      </w:r>
      <w:r w:rsidRPr="00751400">
        <w:rPr>
          <w:szCs w:val="24"/>
          <w:lang w:val="es-ES_tradnl" w:eastAsia="zh-CN"/>
        </w:rPr>
        <w:t>.</w:t>
      </w:r>
    </w:p>
    <w:p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7</w:t>
      </w:r>
      <w:r w:rsidRPr="00751400">
        <w:rPr>
          <w:szCs w:val="24"/>
          <w:lang w:val="es-ES_tradnl" w:eastAsia="zh-CN"/>
        </w:rPr>
        <w:tab/>
      </w:r>
      <w:r w:rsidRPr="00751400">
        <w:rPr>
          <w:szCs w:val="24"/>
          <w:lang w:val="es-ES_tradnl" w:eastAsia="zh-CN"/>
        </w:rPr>
        <w:tab/>
        <w:t xml:space="preserve">La Junta observó que el Artículo </w:t>
      </w:r>
      <w:r w:rsidRPr="00A8003B">
        <w:rPr>
          <w:b/>
          <w:bCs/>
          <w:szCs w:val="24"/>
          <w:lang w:val="es-ES_tradnl" w:eastAsia="zh-CN"/>
        </w:rPr>
        <w:t>5</w:t>
      </w:r>
      <w:r w:rsidRPr="00751400">
        <w:rPr>
          <w:szCs w:val="24"/>
          <w:lang w:val="es-ES_tradnl" w:eastAsia="zh-CN"/>
        </w:rPr>
        <w:t xml:space="preserve"> contiene un cierto número de disposiciones bajo las cuales una atribución a un servicio de radiocomunicaciones está sujeta a la obtención del acuerdo de las administraciones correspondientes, por ejemplo,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5.175</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5.188</w:t>
      </w:r>
      <w:r w:rsidRPr="00751400">
        <w:rPr>
          <w:szCs w:val="24"/>
          <w:lang w:val="es-ES_tradnl" w:eastAsia="zh-CN"/>
        </w:rPr>
        <w:t xml:space="preserve">, etc., sin </w:t>
      </w:r>
      <w:r>
        <w:rPr>
          <w:szCs w:val="24"/>
          <w:lang w:val="es-ES_tradnl" w:eastAsia="zh-CN"/>
        </w:rPr>
        <w:t>que se haga mención al</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szCs w:val="24"/>
          <w:lang w:val="es-ES_tradnl" w:eastAsia="zh-CN"/>
        </w:rPr>
        <w:t>9.21</w:t>
      </w:r>
      <w:r w:rsidRPr="00751400">
        <w:rPr>
          <w:szCs w:val="24"/>
          <w:lang w:val="es-ES_tradnl" w:eastAsia="zh-CN"/>
        </w:rPr>
        <w:t xml:space="preserve">. La obtención de dicho acuerdo no está regulada por los procedimientos del Artículo </w:t>
      </w:r>
      <w:r w:rsidRPr="00A8003B">
        <w:rPr>
          <w:b/>
          <w:bCs/>
          <w:szCs w:val="24"/>
          <w:lang w:val="es-ES_tradnl" w:eastAsia="zh-CN"/>
        </w:rPr>
        <w:t>9</w:t>
      </w:r>
      <w:r w:rsidRPr="00751400">
        <w:rPr>
          <w:szCs w:val="24"/>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rsidR="00353B4B" w:rsidRPr="00751400" w:rsidRDefault="00353B4B" w:rsidP="00353B4B">
      <w:pPr>
        <w:tabs>
          <w:tab w:val="left" w:pos="0"/>
          <w:tab w:val="left" w:pos="284"/>
        </w:tabs>
        <w:overflowPunct/>
        <w:textAlignment w:val="auto"/>
        <w:rPr>
          <w:szCs w:val="24"/>
          <w:lang w:val="es-ES_tradnl" w:eastAsia="zh-CN"/>
        </w:rPr>
      </w:pPr>
      <w:r w:rsidRPr="00751400">
        <w:rPr>
          <w:szCs w:val="24"/>
          <w:lang w:val="es-ES_tradnl" w:eastAsia="zh-CN"/>
        </w:rPr>
        <w:t>8</w:t>
      </w:r>
      <w:r w:rsidRPr="00751400">
        <w:rPr>
          <w:szCs w:val="24"/>
          <w:lang w:val="es-ES_tradnl" w:eastAsia="zh-CN"/>
        </w:rPr>
        <w:tab/>
      </w:r>
      <w:r w:rsidRPr="00751400">
        <w:rPr>
          <w:szCs w:val="24"/>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rsidR="00A60C28" w:rsidRPr="003667EC" w:rsidRDefault="00A60C28" w:rsidP="00353B4B">
      <w:pPr>
        <w:jc w:val="center"/>
        <w:rPr>
          <w:lang w:val="es-ES_tradnl"/>
        </w:rPr>
      </w:pPr>
      <w:r w:rsidRPr="003667EC">
        <w:rPr>
          <w:lang w:val="es-ES_tradnl"/>
        </w:rPr>
        <w:t>_________________</w:t>
      </w:r>
    </w:p>
    <w:p w:rsidR="003667EC" w:rsidRPr="003667EC" w:rsidRDefault="003667EC">
      <w:pPr>
        <w:rPr>
          <w:color w:val="000000"/>
          <w:lang w:val="es-ES_tradnl"/>
        </w:rPr>
      </w:pPr>
    </w:p>
    <w:p w:rsidR="00A60C28" w:rsidRPr="003667EC" w:rsidRDefault="00A60C28">
      <w:pPr>
        <w:rPr>
          <w:color w:val="000000"/>
          <w:lang w:val="es-ES_tradnl"/>
        </w:rPr>
        <w:sectPr w:rsidR="00A60C28" w:rsidRPr="003667EC"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rsidR="00A60C28" w:rsidRPr="003667EC" w:rsidRDefault="00A60C28">
      <w:pPr>
        <w:rPr>
          <w:lang w:val="es-ES_tradnl"/>
        </w:rPr>
      </w:pPr>
    </w:p>
    <w:sectPr w:rsidR="00A60C28" w:rsidRPr="003667EC" w:rsidSect="009C54F8">
      <w:headerReference w:type="even" r:id="rId11"/>
      <w:headerReference w:type="default" r:id="rId12"/>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361" w:rsidRDefault="00E14361">
      <w:r>
        <w:separator/>
      </w:r>
    </w:p>
  </w:endnote>
  <w:endnote w:type="continuationSeparator" w:id="0">
    <w:p w:rsidR="00E14361" w:rsidRDefault="00E1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361" w:rsidRDefault="00E14361">
      <w:r>
        <w:rPr>
          <w:b/>
        </w:rPr>
        <w:t>_______________</w:t>
      </w:r>
    </w:p>
  </w:footnote>
  <w:footnote w:type="continuationSeparator" w:id="0">
    <w:p w:rsidR="00E14361" w:rsidRDefault="00E14361">
      <w:r>
        <w:continuationSeparator/>
      </w:r>
    </w:p>
  </w:footnote>
  <w:footnote w:id="1">
    <w:p w:rsidR="00E14361" w:rsidRDefault="00E14361"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rsidR="00E14361" w:rsidRDefault="00E14361"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rsidR="00E14361" w:rsidRDefault="00E14361">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rsidR="00E14361" w:rsidRDefault="00E14361"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rsidR="00E14361" w:rsidRDefault="00E14361" w:rsidP="00774C65">
      <w:pPr>
        <w:pStyle w:val="FootnoteText"/>
        <w:spacing w:before="0"/>
        <w:rPr>
          <w:lang w:val="es-ES"/>
        </w:rPr>
      </w:pPr>
      <w:r>
        <w:rPr>
          <w:rStyle w:val="FootnoteReference"/>
          <w:lang w:val="es-ES"/>
        </w:rPr>
        <w:t>5</w:t>
      </w:r>
      <w:r>
        <w:rPr>
          <w:lang w:val="es-ES"/>
        </w:rPr>
        <w:tab/>
      </w:r>
      <w:r>
        <w:rPr>
          <w:color w:val="000000"/>
          <w:lang w:val="es-ES"/>
        </w:rPr>
        <w:t>Respecto a la aplicación de esta disposición a las asignaciones del SRS sometidas en virtud de la Reso</w:t>
      </w:r>
      <w:r>
        <w:rPr>
          <w:color w:val="000000"/>
          <w:lang w:val="es-ES"/>
        </w:rPr>
        <w:softHyphen/>
        <w:t>lución </w:t>
      </w:r>
      <w:r>
        <w:rPr>
          <w:b/>
          <w:bCs/>
          <w:color w:val="000000"/>
          <w:lang w:val="es-ES"/>
        </w:rPr>
        <w:t>33</w:t>
      </w:r>
      <w:r>
        <w:rPr>
          <w:color w:val="000000"/>
          <w:lang w:val="es-ES"/>
        </w:rPr>
        <w:t xml:space="preserve"> </w:t>
      </w:r>
      <w:r w:rsidR="00774C65">
        <w:rPr>
          <w:b/>
          <w:color w:val="000000"/>
          <w:lang w:val="es-ES"/>
        </w:rPr>
        <w:t>(Rev.CMR-15</w:t>
      </w:r>
      <w:r>
        <w:rPr>
          <w:b/>
          <w:color w:val="000000"/>
          <w:lang w:val="es-ES"/>
        </w:rPr>
        <w:t>)</w:t>
      </w:r>
      <w:r>
        <w:rPr>
          <w:color w:val="000000"/>
          <w:lang w:val="es-ES"/>
        </w:rPr>
        <w:t>, véanse los comentarios de las Reglas de Procedimiento relativas al número </w:t>
      </w:r>
      <w:r>
        <w:rPr>
          <w:rStyle w:val="Artref"/>
          <w:b/>
          <w:bCs/>
          <w:color w:val="000000"/>
          <w:lang w:val="es-ES"/>
        </w:rPr>
        <w:t>23.13</w:t>
      </w:r>
      <w:r>
        <w:rPr>
          <w:color w:val="000000"/>
          <w:lang w:val="es-ES"/>
        </w:rPr>
        <w:t>.</w:t>
      </w:r>
    </w:p>
  </w:footnote>
  <w:footnote w:id="6">
    <w:p w:rsidR="00E14361" w:rsidRDefault="00E14361"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rsidR="00E14361" w:rsidRDefault="00E14361" w:rsidP="007E3FFE">
      <w:pPr>
        <w:pStyle w:val="FootnoteText"/>
        <w:rPr>
          <w:lang w:val="es-ES"/>
        </w:rPr>
      </w:pPr>
      <w:r>
        <w:rPr>
          <w:rStyle w:val="FootnoteReference"/>
          <w:lang w:val="es-ES"/>
        </w:rPr>
        <w:t>7</w:t>
      </w:r>
      <w:r>
        <w:rPr>
          <w:lang w:val="es-ES"/>
        </w:rPr>
        <w:tab/>
      </w:r>
      <w:r>
        <w:rPr>
          <w:color w:val="000000"/>
          <w:lang w:val="es-ES"/>
        </w:rPr>
        <w:t>Véanse las Reglas de Procedimiento relativas al número </w:t>
      </w:r>
      <w:r>
        <w:rPr>
          <w:rStyle w:val="Artref"/>
          <w:b/>
          <w:bCs/>
          <w:color w:val="000000"/>
          <w:lang w:val="es-ES"/>
        </w:rPr>
        <w:t>21.11</w:t>
      </w:r>
      <w:r>
        <w:rPr>
          <w:color w:val="000000"/>
          <w:lang w:val="es-ES"/>
        </w:rPr>
        <w:t>.</w:t>
      </w:r>
    </w:p>
  </w:footnote>
  <w:footnote w:id="8">
    <w:p w:rsidR="00E14361" w:rsidRDefault="00E14361" w:rsidP="007E3FFE">
      <w:pPr>
        <w:pStyle w:val="FootnoteText"/>
        <w:rPr>
          <w:lang w:val="es-ES"/>
        </w:rPr>
      </w:pPr>
      <w:r>
        <w:rPr>
          <w:rStyle w:val="FootnoteReference"/>
          <w:lang w:val="es-ES"/>
        </w:rPr>
        <w:t>8</w:t>
      </w:r>
      <w:r>
        <w:rPr>
          <w:lang w:val="es-ES"/>
        </w:rPr>
        <w:tab/>
      </w:r>
      <w:r>
        <w:rPr>
          <w:color w:val="000000"/>
          <w:lang w:val="es-ES"/>
        </w:rPr>
        <w:t>Véanse las Reglas de Procedimiento relativas al número </w:t>
      </w:r>
      <w:r>
        <w:rPr>
          <w:rStyle w:val="Artref"/>
          <w:b/>
          <w:bCs/>
          <w:color w:val="000000"/>
          <w:lang w:val="es-ES"/>
        </w:rPr>
        <w:t>21.14</w:t>
      </w:r>
      <w:r>
        <w:rPr>
          <w:color w:val="000000"/>
          <w:lang w:val="es-ES"/>
        </w:rPr>
        <w:t>.</w:t>
      </w:r>
    </w:p>
  </w:footnote>
  <w:footnote w:id="9">
    <w:p w:rsidR="00E14361" w:rsidRDefault="00E14361" w:rsidP="007E3FFE">
      <w:pPr>
        <w:pStyle w:val="FootnoteText"/>
        <w:rPr>
          <w:lang w:val="es-ES"/>
        </w:rPr>
      </w:pPr>
      <w:r>
        <w:rPr>
          <w:rStyle w:val="FootnoteReference"/>
          <w:lang w:val="es-ES"/>
        </w:rPr>
        <w:t>9</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0">
    <w:p w:rsidR="00C124BB" w:rsidRPr="00C124BB" w:rsidRDefault="00C124BB">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1">
    <w:p w:rsidR="00E14361" w:rsidRPr="00782C00" w:rsidRDefault="00E14361"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2">
    <w:p w:rsidR="00587B8C" w:rsidRPr="00FB2095" w:rsidRDefault="00587B8C" w:rsidP="00EF41B3">
      <w:pPr>
        <w:pStyle w:val="FootnoteText"/>
        <w:rPr>
          <w:lang w:val="es-ES_tradnl"/>
        </w:rPr>
      </w:pPr>
      <w:r w:rsidRPr="006B10B0">
        <w:rPr>
          <w:rStyle w:val="FootnoteReference"/>
          <w:lang w:val="es-ES_tradnl"/>
        </w:rPr>
        <w:t>10</w:t>
      </w:r>
      <w:r w:rsidRPr="00FB2095">
        <w:rPr>
          <w:lang w:val="es-ES_tradnl"/>
        </w:rPr>
        <w:t xml:space="preserve"> </w:t>
      </w:r>
      <w:r>
        <w:rPr>
          <w:lang w:val="es-ES_tradnl"/>
        </w:rPr>
        <w:tab/>
      </w:r>
      <w:r w:rsidRPr="00685DBD">
        <w:rPr>
          <w:lang w:val="es-ES_tradnl"/>
        </w:rPr>
        <w:t>Igualmente aplicable al § 4.1.3 ó 4.1.3</w:t>
      </w:r>
      <w:r w:rsidRPr="00EF41B3">
        <w:rPr>
          <w:i/>
          <w:iCs/>
          <w:lang w:val="es-ES_tradnl"/>
        </w:rPr>
        <w:t>bis</w:t>
      </w:r>
      <w:r w:rsidRPr="00685DBD">
        <w:rPr>
          <w:lang w:val="es-ES_tradnl"/>
        </w:rPr>
        <w:t xml:space="preserve"> ó 4.2.6 ó 4.2.6</w:t>
      </w:r>
      <w:r w:rsidRPr="00EF41B3">
        <w:rPr>
          <w:i/>
          <w:iCs/>
          <w:lang w:val="es-ES_tradnl"/>
        </w:rPr>
        <w:t>bis</w:t>
      </w:r>
      <w:r w:rsidRPr="00685DBD">
        <w:rPr>
          <w:lang w:val="es-ES_tradnl"/>
        </w:rPr>
        <w:t xml:space="preserve"> del Artículo 4 de Apéndices </w:t>
      </w:r>
      <w:r w:rsidRPr="00685DBD">
        <w:rPr>
          <w:b/>
          <w:bCs/>
          <w:lang w:val="es-ES_tradnl"/>
        </w:rPr>
        <w:t>30</w:t>
      </w:r>
      <w:r w:rsidRPr="00685DBD">
        <w:rPr>
          <w:lang w:val="es-ES_tradnl"/>
        </w:rPr>
        <w:t xml:space="preserve"> y </w:t>
      </w:r>
      <w:r w:rsidRPr="00685DBD">
        <w:rPr>
          <w:b/>
          <w:bCs/>
          <w:lang w:val="es-ES_tradnl"/>
        </w:rPr>
        <w:t>30A</w:t>
      </w:r>
      <w:r w:rsidRPr="00685DBD">
        <w:rPr>
          <w:lang w:val="es-ES_tradnl"/>
        </w:rPr>
        <w:t xml:space="preserve"> y al § 6.1 ó 6.31</w:t>
      </w:r>
      <w:r w:rsidRPr="00EF41B3">
        <w:rPr>
          <w:i/>
          <w:iCs/>
          <w:lang w:val="es-ES_tradnl"/>
        </w:rPr>
        <w:t>bis</w:t>
      </w:r>
      <w:r w:rsidRPr="00685DBD">
        <w:rPr>
          <w:lang w:val="es-ES_tradnl"/>
        </w:rPr>
        <w:t xml:space="preserve">, y 6.33 del Artículo 6 del Apéndice </w:t>
      </w:r>
      <w:r w:rsidRPr="00685DBD">
        <w:rPr>
          <w:b/>
          <w:bCs/>
          <w:lang w:val="es-ES_tradnl"/>
        </w:rPr>
        <w:t>30B</w:t>
      </w:r>
      <w:r w:rsidRPr="00685DBD">
        <w:rPr>
          <w:lang w:val="es-ES_tradnl"/>
        </w:rPr>
        <w:t>.</w:t>
      </w:r>
    </w:p>
  </w:footnote>
  <w:footnote w:id="13">
    <w:p w:rsidR="00587B8C" w:rsidRPr="00FB2095" w:rsidRDefault="00587B8C">
      <w:pPr>
        <w:pStyle w:val="FootnoteText"/>
        <w:rPr>
          <w:lang w:val="es-ES_tradnl"/>
        </w:rPr>
      </w:pPr>
      <w:r w:rsidRPr="006B10B0">
        <w:rPr>
          <w:rStyle w:val="FootnoteReference"/>
          <w:lang w:val="es-ES_tradnl"/>
        </w:rPr>
        <w:t>11</w:t>
      </w:r>
      <w:r w:rsidRPr="00FB2095">
        <w:rPr>
          <w:lang w:val="es-ES_tradnl"/>
        </w:rPr>
        <w:t xml:space="preserve"> </w:t>
      </w:r>
      <w:r>
        <w:rPr>
          <w:lang w:val="es-ES_tradnl"/>
        </w:rPr>
        <w:tab/>
      </w:r>
      <w:r w:rsidRPr="00685DBD">
        <w:rPr>
          <w:lang w:val="es-ES_tradnl"/>
        </w:rPr>
        <w:t xml:space="preserve">Igualmente aplicable al § 5.3.1 del Artículo 5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 8.16 del Artículo 8 del Apéndice </w:t>
      </w:r>
      <w:r w:rsidRPr="00FB2095">
        <w:rPr>
          <w:b/>
          <w:bCs/>
          <w:lang w:val="es-ES_tradnl"/>
        </w:rPr>
        <w:t>30B</w:t>
      </w:r>
      <w:r w:rsidRPr="00685DBD">
        <w:rPr>
          <w:lang w:val="es-ES_tradnl"/>
        </w:rPr>
        <w:t>.</w:t>
      </w:r>
    </w:p>
  </w:footnote>
  <w:footnote w:id="14">
    <w:p w:rsidR="00587B8C" w:rsidRPr="00FB2095" w:rsidRDefault="00587B8C">
      <w:pPr>
        <w:pStyle w:val="FootnoteText"/>
        <w:rPr>
          <w:lang w:val="es-ES_tradnl"/>
        </w:rPr>
      </w:pPr>
      <w:r w:rsidRPr="006B10B0">
        <w:rPr>
          <w:rStyle w:val="FootnoteReference"/>
          <w:lang w:val="es-ES_tradnl"/>
        </w:rPr>
        <w:t>12</w:t>
      </w:r>
      <w:r w:rsidRPr="00FB2095">
        <w:rPr>
          <w:lang w:val="es-ES_tradnl"/>
        </w:rPr>
        <w:t xml:space="preserve"> </w:t>
      </w:r>
      <w:r>
        <w:rPr>
          <w:lang w:val="es-ES_tradnl"/>
        </w:rPr>
        <w:tab/>
      </w:r>
      <w:r w:rsidRPr="00685DBD">
        <w:rPr>
          <w:lang w:val="es-ES_tradnl"/>
        </w:rPr>
        <w:t>Igualmente aplicable al § 4.1.3 ó 4.1.3</w:t>
      </w:r>
      <w:r w:rsidRPr="00EF41B3">
        <w:rPr>
          <w:i/>
          <w:iCs/>
          <w:lang w:val="es-ES_tradnl"/>
        </w:rPr>
        <w:t>bis</w:t>
      </w:r>
      <w:r w:rsidRPr="00685DBD">
        <w:rPr>
          <w:lang w:val="es-ES_tradnl"/>
        </w:rPr>
        <w:t xml:space="preserve"> o 4.2.6 ó 4.2.6</w:t>
      </w:r>
      <w:r w:rsidRPr="00EF41B3">
        <w:rPr>
          <w:i/>
          <w:iCs/>
          <w:lang w:val="es-ES_tradnl"/>
        </w:rPr>
        <w:t>bis</w:t>
      </w:r>
      <w:r w:rsidRPr="00685DBD">
        <w:rPr>
          <w:lang w:val="es-ES_tradnl"/>
        </w:rPr>
        <w:t xml:space="preserve"> del Artículo 4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w:t>
      </w:r>
      <w:r>
        <w:rPr>
          <w:lang w:val="es-ES_tradnl"/>
        </w:rPr>
        <w:t> </w:t>
      </w:r>
      <w:r w:rsidRPr="00685DBD">
        <w:rPr>
          <w:lang w:val="es-ES_tradnl"/>
        </w:rPr>
        <w:t xml:space="preserve">6.33 del Artículo 6 del Apéndice </w:t>
      </w:r>
      <w:r w:rsidRPr="00FB2095">
        <w:rPr>
          <w:b/>
          <w:bCs/>
          <w:lang w:val="es-ES_tradnl"/>
        </w:rPr>
        <w:t>30B</w:t>
      </w:r>
      <w:r w:rsidRPr="00685DBD">
        <w:rPr>
          <w:lang w:val="es-ES_tradnl"/>
        </w:rPr>
        <w:t>.</w:t>
      </w:r>
    </w:p>
  </w:footnote>
  <w:footnote w:id="15">
    <w:p w:rsidR="00432D3A" w:rsidRPr="001D4D9D" w:rsidRDefault="00432D3A" w:rsidP="00432D3A">
      <w:pPr>
        <w:pStyle w:val="FootnoteText"/>
        <w:rPr>
          <w:lang w:val="es-ES_tradnl"/>
        </w:rPr>
      </w:pPr>
      <w:r w:rsidRPr="001D4D9D">
        <w:rPr>
          <w:rStyle w:val="FootnoteReference"/>
          <w:lang w:val="es-ES_tradnl"/>
        </w:rPr>
        <w:t>*</w:t>
      </w:r>
      <w:r w:rsidRPr="001D4D9D">
        <w:rPr>
          <w:lang w:val="es-ES_tradnl"/>
        </w:rPr>
        <w:t xml:space="preserve"> </w:t>
      </w:r>
      <w:r w:rsidRPr="001D4D9D">
        <w:rPr>
          <w:lang w:val="es-ES_tradnl"/>
        </w:rPr>
        <w:tab/>
      </w:r>
      <w:r w:rsidRPr="00587B8C">
        <w:rPr>
          <w:i/>
          <w:iCs/>
          <w:lang w:val="es-ES_tradnl"/>
        </w:rPr>
        <w:t>Nota de la Secretaría:</w:t>
      </w:r>
      <w:r w:rsidRPr="00FF225F">
        <w:rPr>
          <w:lang w:val="es-ES_tradnl"/>
        </w:rPr>
        <w:t xml:space="preserve"> </w:t>
      </w:r>
      <w:r w:rsidRPr="00711857">
        <w:rPr>
          <w:lang w:val="es-ES_tradnl"/>
        </w:rPr>
        <w:t>Esta Resolución ha sido revisada por la CMR-15.</w:t>
      </w:r>
    </w:p>
  </w:footnote>
  <w:footnote w:id="16">
    <w:p w:rsidR="00432D3A" w:rsidRPr="00B97C02" w:rsidRDefault="00432D3A">
      <w:pPr>
        <w:pStyle w:val="FootnoteText"/>
        <w:rPr>
          <w:lang w:val="es-ES_tradnl"/>
        </w:rPr>
      </w:pPr>
      <w:r w:rsidRPr="00B97C02">
        <w:rPr>
          <w:rStyle w:val="FootnoteReference"/>
          <w:lang w:val="es-ES_tradnl"/>
        </w:rPr>
        <w:t>**</w:t>
      </w:r>
      <w:r w:rsidRPr="00B97C02">
        <w:rPr>
          <w:lang w:val="es-ES_tradnl"/>
        </w:rPr>
        <w:t xml:space="preserve"> </w:t>
      </w:r>
      <w:r w:rsidRPr="00B97C02">
        <w:rPr>
          <w:lang w:val="es-ES_tradnl"/>
        </w:rPr>
        <w:tab/>
      </w:r>
      <w:r w:rsidRPr="00587B8C">
        <w:rPr>
          <w:i/>
          <w:iCs/>
          <w:lang w:val="es-ES_tradnl"/>
        </w:rPr>
        <w:t>Nota de la Secretaría:</w:t>
      </w:r>
      <w:r w:rsidRPr="00FF225F">
        <w:rPr>
          <w:lang w:val="es-ES_tradnl"/>
        </w:rPr>
        <w:t xml:space="preserve"> La CMR-15 modificó asimismo las disposiciones del número </w:t>
      </w:r>
      <w:r w:rsidRPr="00FF225F">
        <w:rPr>
          <w:b/>
          <w:bCs/>
          <w:lang w:val="es-ES_tradnl"/>
        </w:rPr>
        <w:t>11.49</w:t>
      </w:r>
      <w:r w:rsidRPr="00FF225F">
        <w:rPr>
          <w:lang w:val="es-ES_tradnl"/>
        </w:rPr>
        <w:t xml:space="preserve">. En consecuencia, se entiende que el «periodo de tres años contados desde la fecha de suspensión» hace referencia al periodo máximo de suspensión en virtud del número </w:t>
      </w:r>
      <w:r w:rsidRPr="00FF225F">
        <w:rPr>
          <w:b/>
          <w:bCs/>
          <w:lang w:val="es-ES_tradnl"/>
        </w:rPr>
        <w:t>11.49</w:t>
      </w:r>
      <w:r w:rsidRPr="00FF225F">
        <w:rPr>
          <w:lang w:val="es-ES_tradnl"/>
        </w:rPr>
        <w:t>.</w:t>
      </w:r>
    </w:p>
  </w:footnote>
  <w:footnote w:id="17">
    <w:p w:rsidR="003F178D" w:rsidRPr="00653B0A" w:rsidRDefault="003F178D" w:rsidP="00653B0A">
      <w:pPr>
        <w:pStyle w:val="FootnoteText"/>
        <w:rPr>
          <w:lang w:val="es-ES_tradnl"/>
        </w:rPr>
      </w:pPr>
      <w:r w:rsidRPr="003F178D">
        <w:rPr>
          <w:rStyle w:val="FootnoteReference"/>
          <w:lang w:val="es-ES_tradnl"/>
        </w:rPr>
        <w:t>13</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41FDD" w:rsidTr="00E41FDD">
      <w:trPr>
        <w:cantSplit/>
      </w:trPr>
      <w:tc>
        <w:tcPr>
          <w:tcW w:w="1701" w:type="dxa"/>
          <w:tcBorders>
            <w:top w:val="single" w:sz="6" w:space="0" w:color="auto"/>
            <w:left w:val="single" w:sz="6" w:space="0" w:color="auto"/>
            <w:bottom w:val="single" w:sz="6" w:space="0" w:color="auto"/>
            <w:right w:val="single" w:sz="6" w:space="0" w:color="auto"/>
          </w:tcBorders>
        </w:tcPr>
        <w:p w:rsidR="00E41FDD" w:rsidRDefault="00E41FDD"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E41FDD" w:rsidRDefault="00E41FDD"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3A212D">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41FDD" w:rsidRPr="0062524A" w:rsidRDefault="00E41FDD"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3A212D">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41FDD" w:rsidRDefault="00E41FDD" w:rsidP="00E41FDD">
          <w:pPr>
            <w:pStyle w:val="HeaderRegProc"/>
            <w:rPr>
              <w:color w:val="000000"/>
              <w:lang w:val="fr-CH"/>
            </w:rPr>
          </w:pPr>
          <w:r>
            <w:rPr>
              <w:color w:val="000000"/>
              <w:lang w:val="fr-CH"/>
            </w:rPr>
            <w:t>rev. -</w:t>
          </w:r>
        </w:p>
      </w:tc>
    </w:tr>
  </w:tbl>
  <w:p w:rsidR="00E41FDD" w:rsidRDefault="00E41F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524A">
      <w:trPr>
        <w:cantSplit/>
        <w:jc w:val="right"/>
      </w:trPr>
      <w:tc>
        <w:tcPr>
          <w:tcW w:w="1701" w:type="dxa"/>
          <w:tcBorders>
            <w:top w:val="single" w:sz="6" w:space="0" w:color="auto"/>
            <w:left w:val="single" w:sz="6" w:space="0" w:color="auto"/>
            <w:bottom w:val="single" w:sz="6" w:space="0" w:color="auto"/>
            <w:right w:val="single" w:sz="6" w:space="0" w:color="auto"/>
          </w:tcBorders>
        </w:tcPr>
        <w:p w:rsidR="0062524A" w:rsidRDefault="0062524A">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62524A" w:rsidRDefault="0062524A">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3A212D">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2524A" w:rsidRPr="0062524A" w:rsidRDefault="0062524A"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3A212D">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2524A" w:rsidRDefault="0062524A" w:rsidP="00D70EFE">
          <w:pPr>
            <w:pStyle w:val="HeaderRegProc"/>
            <w:rPr>
              <w:color w:val="000000"/>
              <w:lang w:val="fr-CH"/>
            </w:rPr>
          </w:pPr>
          <w:r>
            <w:rPr>
              <w:color w:val="000000"/>
              <w:lang w:val="fr-CH"/>
            </w:rPr>
            <w:t xml:space="preserve">rev. </w:t>
          </w:r>
          <w:r w:rsidR="00D70EFE">
            <w:rPr>
              <w:color w:val="000000"/>
              <w:lang w:val="fr-CH"/>
            </w:rPr>
            <w:t>-</w:t>
          </w:r>
        </w:p>
      </w:tc>
    </w:tr>
  </w:tbl>
  <w:p w:rsidR="0062524A" w:rsidRDefault="0062524A">
    <w:pPr>
      <w:pStyle w:val="Header"/>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C02" w:rsidTr="00E41FDD">
      <w:trPr>
        <w:cantSplit/>
      </w:trPr>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3A212D">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Pr="0062524A" w:rsidRDefault="00B97C02"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3A212D">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lang w:val="fr-CH"/>
            </w:rPr>
          </w:pPr>
          <w:r>
            <w:rPr>
              <w:color w:val="000000"/>
              <w:lang w:val="fr-CH"/>
            </w:rPr>
            <w:t>rev.1</w:t>
          </w:r>
        </w:p>
      </w:tc>
    </w:tr>
  </w:tbl>
  <w:p w:rsidR="00B97C02" w:rsidRDefault="00B97C0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C02" w:rsidTr="00E41FDD">
      <w:trPr>
        <w:cantSplit/>
      </w:trPr>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3A212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3A212D">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Pr="0062524A" w:rsidRDefault="00B97C02"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3A212D">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97C02" w:rsidRDefault="00B97C02" w:rsidP="00E41FDD">
          <w:pPr>
            <w:pStyle w:val="HeaderRegProc"/>
            <w:rPr>
              <w:color w:val="000000"/>
              <w:lang w:val="fr-CH"/>
            </w:rPr>
          </w:pPr>
          <w:r>
            <w:rPr>
              <w:color w:val="000000"/>
              <w:lang w:val="fr-CH"/>
            </w:rPr>
            <w:t>rev.-</w:t>
          </w:r>
        </w:p>
      </w:tc>
    </w:tr>
  </w:tbl>
  <w:p w:rsidR="00B97C02" w:rsidRDefault="00B97C0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14361">
      <w:trPr>
        <w:cantSplit/>
      </w:trPr>
      <w:tc>
        <w:tcPr>
          <w:tcW w:w="1701" w:type="dxa"/>
          <w:tcBorders>
            <w:top w:val="single" w:sz="6" w:space="0" w:color="auto"/>
            <w:left w:val="single" w:sz="6" w:space="0" w:color="auto"/>
            <w:bottom w:val="single" w:sz="6" w:space="0" w:color="auto"/>
            <w:right w:val="single" w:sz="6" w:space="0" w:color="auto"/>
          </w:tcBorders>
        </w:tcPr>
        <w:p w:rsidR="00E14361" w:rsidRPr="00782C00" w:rsidRDefault="00E14361">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3A212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D6002A">
          <w:pPr>
            <w:pStyle w:val="HeaderRegProc"/>
            <w:rPr>
              <w:lang w:val="fr-FR"/>
            </w:rPr>
          </w:pPr>
          <w:fldSimple w:instr=" DOCPROPERTY &quot;Header&quot; \* MERGEFORMAT ">
            <w:r w:rsidR="003A212D">
              <w:t>AR</w:t>
            </w:r>
          </w:fldSimple>
          <w:r w:rsidR="00E14361">
            <w:fldChar w:fldCharType="begin"/>
          </w:r>
          <w:r w:rsidR="00E14361">
            <w:instrText>styleref href2</w:instrText>
          </w:r>
          <w:r w:rsidR="00E14361">
            <w:fldChar w:fldCharType="separate"/>
          </w:r>
          <w:r w:rsidR="003A212D">
            <w:rPr>
              <w:noProof/>
            </w:rPr>
            <w:t>11</w:t>
          </w:r>
          <w:r w:rsidR="00E14361">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3A212D">
            <w:rPr>
              <w:lang w:val="fr-CH"/>
            </w:rPr>
            <w:t>-</w:t>
          </w:r>
          <w:r>
            <w:fldChar w:fldCharType="end"/>
          </w:r>
        </w:p>
      </w:tc>
    </w:tr>
  </w:tbl>
  <w:p w:rsidR="00E14361" w:rsidRDefault="00E14361">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14361">
      <w:trPr>
        <w:cantSplit/>
        <w:jc w:val="right"/>
      </w:trPr>
      <w:tc>
        <w:tcPr>
          <w:tcW w:w="1701" w:type="dxa"/>
          <w:tcBorders>
            <w:top w:val="single" w:sz="6" w:space="0" w:color="auto"/>
            <w:left w:val="single" w:sz="6" w:space="0" w:color="auto"/>
            <w:bottom w:val="single" w:sz="6" w:space="0" w:color="auto"/>
            <w:right w:val="single" w:sz="6" w:space="0" w:color="auto"/>
          </w:tcBorders>
        </w:tcPr>
        <w:p w:rsidR="00E14361" w:rsidRPr="00782C00" w:rsidRDefault="00E14361">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3A212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D6002A">
          <w:pPr>
            <w:pStyle w:val="HeaderRegProc"/>
            <w:rPr>
              <w:lang w:val="fr-FR"/>
            </w:rPr>
          </w:pPr>
          <w:fldSimple w:instr=" DOCPROPERTY &quot;Header&quot; \* MERGEFORMAT ">
            <w:r w:rsidR="003A212D">
              <w:t>AR</w:t>
            </w:r>
          </w:fldSimple>
          <w:r w:rsidR="00E14361">
            <w:fldChar w:fldCharType="begin"/>
          </w:r>
          <w:r w:rsidR="00E14361">
            <w:instrText>styleref href2</w:instrText>
          </w:r>
          <w:r w:rsidR="00E14361">
            <w:fldChar w:fldCharType="separate"/>
          </w:r>
          <w:r w:rsidR="003A212D">
            <w:rPr>
              <w:noProof/>
            </w:rPr>
            <w:t>11</w:t>
          </w:r>
          <w:r w:rsidR="00E14361">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14361" w:rsidRDefault="00E14361">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3A212D">
            <w:rPr>
              <w:lang w:val="fr-CH"/>
            </w:rPr>
            <w:t>-</w:t>
          </w:r>
          <w:r>
            <w:fldChar w:fldCharType="end"/>
          </w:r>
        </w:p>
      </w:tc>
    </w:tr>
  </w:tbl>
  <w:p w:rsidR="00E14361" w:rsidRDefault="00E1436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361" w:rsidRDefault="00E143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8C"/>
    <w:rsid w:val="00002269"/>
    <w:rsid w:val="00025ECD"/>
    <w:rsid w:val="00033BEB"/>
    <w:rsid w:val="000343C9"/>
    <w:rsid w:val="00042807"/>
    <w:rsid w:val="00073433"/>
    <w:rsid w:val="000809F6"/>
    <w:rsid w:val="00087EB6"/>
    <w:rsid w:val="000A6753"/>
    <w:rsid w:val="000D5CB8"/>
    <w:rsid w:val="000F043D"/>
    <w:rsid w:val="000F3E5A"/>
    <w:rsid w:val="00106427"/>
    <w:rsid w:val="00131423"/>
    <w:rsid w:val="00141CA8"/>
    <w:rsid w:val="00145089"/>
    <w:rsid w:val="00163294"/>
    <w:rsid w:val="00170AA7"/>
    <w:rsid w:val="0017350B"/>
    <w:rsid w:val="001A29BD"/>
    <w:rsid w:val="001A74A8"/>
    <w:rsid w:val="001B6F4B"/>
    <w:rsid w:val="001D4D9D"/>
    <w:rsid w:val="001E33F5"/>
    <w:rsid w:val="001E4B6D"/>
    <w:rsid w:val="001E71F0"/>
    <w:rsid w:val="00202D8A"/>
    <w:rsid w:val="002400F2"/>
    <w:rsid w:val="00243A7A"/>
    <w:rsid w:val="002606DA"/>
    <w:rsid w:val="00261E6D"/>
    <w:rsid w:val="00273900"/>
    <w:rsid w:val="00275DC3"/>
    <w:rsid w:val="002855F0"/>
    <w:rsid w:val="00285A0D"/>
    <w:rsid w:val="002956CA"/>
    <w:rsid w:val="002E7999"/>
    <w:rsid w:val="003011F9"/>
    <w:rsid w:val="00340DF3"/>
    <w:rsid w:val="003511A6"/>
    <w:rsid w:val="00353B4B"/>
    <w:rsid w:val="00354082"/>
    <w:rsid w:val="00363FC4"/>
    <w:rsid w:val="003667EC"/>
    <w:rsid w:val="00380438"/>
    <w:rsid w:val="00384465"/>
    <w:rsid w:val="003A212D"/>
    <w:rsid w:val="003A2B3C"/>
    <w:rsid w:val="003B3F7A"/>
    <w:rsid w:val="003C601A"/>
    <w:rsid w:val="003F178D"/>
    <w:rsid w:val="003F1DCA"/>
    <w:rsid w:val="003F5E8B"/>
    <w:rsid w:val="003F7F87"/>
    <w:rsid w:val="004306BF"/>
    <w:rsid w:val="00432D3A"/>
    <w:rsid w:val="00437E8C"/>
    <w:rsid w:val="00443745"/>
    <w:rsid w:val="004609E2"/>
    <w:rsid w:val="004623D9"/>
    <w:rsid w:val="00493826"/>
    <w:rsid w:val="004B0B17"/>
    <w:rsid w:val="004C44AE"/>
    <w:rsid w:val="004C6036"/>
    <w:rsid w:val="004C7294"/>
    <w:rsid w:val="004C789C"/>
    <w:rsid w:val="00514FDE"/>
    <w:rsid w:val="00515A02"/>
    <w:rsid w:val="005164F3"/>
    <w:rsid w:val="0055260C"/>
    <w:rsid w:val="00552F92"/>
    <w:rsid w:val="00580ACB"/>
    <w:rsid w:val="00581AB1"/>
    <w:rsid w:val="00582968"/>
    <w:rsid w:val="00585B28"/>
    <w:rsid w:val="00587B8C"/>
    <w:rsid w:val="005A1C6C"/>
    <w:rsid w:val="005A408A"/>
    <w:rsid w:val="005B4993"/>
    <w:rsid w:val="005D38B8"/>
    <w:rsid w:val="005E750A"/>
    <w:rsid w:val="00624015"/>
    <w:rsid w:val="0062524A"/>
    <w:rsid w:val="00653B0A"/>
    <w:rsid w:val="00671B06"/>
    <w:rsid w:val="006746D2"/>
    <w:rsid w:val="00676B57"/>
    <w:rsid w:val="00685DBD"/>
    <w:rsid w:val="006B10B0"/>
    <w:rsid w:val="006B6892"/>
    <w:rsid w:val="006D45DA"/>
    <w:rsid w:val="006E3C11"/>
    <w:rsid w:val="00700F38"/>
    <w:rsid w:val="007025D6"/>
    <w:rsid w:val="007142E9"/>
    <w:rsid w:val="00727D35"/>
    <w:rsid w:val="007429E4"/>
    <w:rsid w:val="00756910"/>
    <w:rsid w:val="0077079D"/>
    <w:rsid w:val="00770D86"/>
    <w:rsid w:val="00774C65"/>
    <w:rsid w:val="00782C00"/>
    <w:rsid w:val="007A21C3"/>
    <w:rsid w:val="007B5234"/>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4B01"/>
    <w:rsid w:val="008A784F"/>
    <w:rsid w:val="009056FF"/>
    <w:rsid w:val="009243FB"/>
    <w:rsid w:val="0092491E"/>
    <w:rsid w:val="00934300"/>
    <w:rsid w:val="00947C8C"/>
    <w:rsid w:val="0095388D"/>
    <w:rsid w:val="0097772C"/>
    <w:rsid w:val="009A2F2C"/>
    <w:rsid w:val="009A5612"/>
    <w:rsid w:val="009A6831"/>
    <w:rsid w:val="009B0E26"/>
    <w:rsid w:val="009B4895"/>
    <w:rsid w:val="009C3798"/>
    <w:rsid w:val="009C54F8"/>
    <w:rsid w:val="009C6C75"/>
    <w:rsid w:val="009F15F9"/>
    <w:rsid w:val="00A00B06"/>
    <w:rsid w:val="00A36A08"/>
    <w:rsid w:val="00A60C28"/>
    <w:rsid w:val="00A80144"/>
    <w:rsid w:val="00A841B7"/>
    <w:rsid w:val="00A8577C"/>
    <w:rsid w:val="00A963AA"/>
    <w:rsid w:val="00AA0190"/>
    <w:rsid w:val="00AA6D4D"/>
    <w:rsid w:val="00AF0BF6"/>
    <w:rsid w:val="00AF7287"/>
    <w:rsid w:val="00B0754A"/>
    <w:rsid w:val="00B4459B"/>
    <w:rsid w:val="00B643BE"/>
    <w:rsid w:val="00B76760"/>
    <w:rsid w:val="00B97C02"/>
    <w:rsid w:val="00BB5039"/>
    <w:rsid w:val="00BC75E2"/>
    <w:rsid w:val="00BE0EE8"/>
    <w:rsid w:val="00BF0573"/>
    <w:rsid w:val="00C03BB1"/>
    <w:rsid w:val="00C124BB"/>
    <w:rsid w:val="00C13E79"/>
    <w:rsid w:val="00C23ED0"/>
    <w:rsid w:val="00C30B0F"/>
    <w:rsid w:val="00CA33C4"/>
    <w:rsid w:val="00CE260D"/>
    <w:rsid w:val="00CE3DE4"/>
    <w:rsid w:val="00CE4342"/>
    <w:rsid w:val="00D00CA3"/>
    <w:rsid w:val="00D01428"/>
    <w:rsid w:val="00D15B32"/>
    <w:rsid w:val="00D16069"/>
    <w:rsid w:val="00D223F5"/>
    <w:rsid w:val="00D2326A"/>
    <w:rsid w:val="00D43A78"/>
    <w:rsid w:val="00D561C2"/>
    <w:rsid w:val="00D6002A"/>
    <w:rsid w:val="00D70EFE"/>
    <w:rsid w:val="00D72BCF"/>
    <w:rsid w:val="00D74F5F"/>
    <w:rsid w:val="00DA47A4"/>
    <w:rsid w:val="00DB387B"/>
    <w:rsid w:val="00DC5BEC"/>
    <w:rsid w:val="00DE1E30"/>
    <w:rsid w:val="00E14361"/>
    <w:rsid w:val="00E20345"/>
    <w:rsid w:val="00E41412"/>
    <w:rsid w:val="00E41FDD"/>
    <w:rsid w:val="00E52D87"/>
    <w:rsid w:val="00E55618"/>
    <w:rsid w:val="00E573EE"/>
    <w:rsid w:val="00E6127D"/>
    <w:rsid w:val="00E90A91"/>
    <w:rsid w:val="00EA2D8D"/>
    <w:rsid w:val="00EA6945"/>
    <w:rsid w:val="00EF41B3"/>
    <w:rsid w:val="00F01943"/>
    <w:rsid w:val="00F064A9"/>
    <w:rsid w:val="00F07F11"/>
    <w:rsid w:val="00F10B0B"/>
    <w:rsid w:val="00F15E33"/>
    <w:rsid w:val="00F23BAE"/>
    <w:rsid w:val="00F4327C"/>
    <w:rsid w:val="00F5147F"/>
    <w:rsid w:val="00F56981"/>
    <w:rsid w:val="00F74C0C"/>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B6D93-2307-43CB-A4E5-73FA1FAD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661</TotalTime>
  <Pages>33</Pages>
  <Words>12747</Words>
  <Characters>72659</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153</cp:revision>
  <cp:lastPrinted>2017-11-14T09:57:00Z</cp:lastPrinted>
  <dcterms:created xsi:type="dcterms:W3CDTF">2012-10-02T12:17:00Z</dcterms:created>
  <dcterms:modified xsi:type="dcterms:W3CDTF">2017-11-14T09:57:00Z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