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787" w:rsidRPr="00277E7C" w:rsidRDefault="00CB0787" w:rsidP="00D20D54">
      <w:pPr>
        <w:pStyle w:val="Heading1"/>
        <w:spacing w:before="300"/>
        <w:jc w:val="center"/>
        <w:rPr>
          <w:color w:val="000000"/>
          <w:lang w:val="fr-FR"/>
        </w:rPr>
      </w:pPr>
      <w:r w:rsidRPr="00277E7C">
        <w:rPr>
          <w:color w:val="000000"/>
          <w:lang w:val="fr-FR"/>
        </w:rPr>
        <w:t>Règles relatives à</w:t>
      </w:r>
    </w:p>
    <w:p w:rsidR="00CB0787" w:rsidRDefault="00CB0787" w:rsidP="00C37705">
      <w:pPr>
        <w:pStyle w:val="Heading2"/>
        <w:spacing w:before="400"/>
        <w:jc w:val="center"/>
        <w:rPr>
          <w:color w:val="000000"/>
          <w:lang w:val="fr-FR"/>
        </w:rPr>
      </w:pPr>
      <w:r w:rsidRPr="00277E7C">
        <w:rPr>
          <w:color w:val="000000"/>
          <w:lang w:val="fr-FR"/>
        </w:rPr>
        <w:t xml:space="preserve">l'ARTICLE </w:t>
      </w:r>
      <w:r w:rsidR="00910E82" w:rsidRPr="00277E7C">
        <w:rPr>
          <w:color w:val="000000"/>
          <w:lang w:val="fr-FR"/>
        </w:rPr>
        <w:t xml:space="preserve"> </w:t>
      </w:r>
      <w:r w:rsidRPr="00277E7C">
        <w:rPr>
          <w:lang w:val="fr-FR"/>
        </w:rPr>
        <w:t>11</w:t>
      </w:r>
      <w:r w:rsidRPr="00277E7C">
        <w:rPr>
          <w:color w:val="000000"/>
          <w:lang w:val="fr-FR"/>
        </w:rPr>
        <w:t xml:space="preserve"> du </w:t>
      </w:r>
      <w:bookmarkStart w:id="0" w:name="_GoBack"/>
      <w:bookmarkEnd w:id="0"/>
      <w:r w:rsidRPr="00277E7C">
        <w:rPr>
          <w:color w:val="000000"/>
          <w:lang w:val="fr-FR"/>
        </w:rPr>
        <w:t>RR</w:t>
      </w:r>
    </w:p>
    <w:p w:rsidR="00C37705" w:rsidRPr="00BF2633" w:rsidRDefault="00C37705" w:rsidP="00BF2633">
      <w:pPr>
        <w:keepNext/>
        <w:keepLines/>
        <w:spacing w:before="80" w:after="80"/>
        <w:ind w:left="794" w:hanging="794"/>
        <w:jc w:val="center"/>
        <w:outlineLvl w:val="0"/>
        <w:rPr>
          <w:rFonts w:eastAsia="SimSun"/>
          <w:b/>
          <w:bCs/>
          <w:kern w:val="32"/>
          <w:sz w:val="28"/>
          <w:szCs w:val="28"/>
          <w:lang w:val="fr-CH" w:eastAsia="zh-CN"/>
        </w:rPr>
      </w:pPr>
      <w:r w:rsidRPr="00BF2633">
        <w:rPr>
          <w:rFonts w:eastAsia="SimSun"/>
          <w:b/>
          <w:bCs/>
          <w:kern w:val="32"/>
          <w:sz w:val="28"/>
          <w:szCs w:val="28"/>
          <w:lang w:val="fr-CH" w:eastAsia="zh-CN"/>
        </w:rPr>
        <w:t xml:space="preserve">Regroupement des assignations de fréquence de différents réseaux OSG soumis par une administration à une même position orbitale en assignations de fréquence d'un seul et même réseau à satellite </w:t>
      </w:r>
    </w:p>
    <w:p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rsidR="00C37705" w:rsidRPr="00C37705" w:rsidRDefault="00C37705" w:rsidP="00C37705">
      <w:pPr>
        <w:spacing w:before="160"/>
        <w:rPr>
          <w:rFonts w:eastAsia="SimSun"/>
          <w:lang w:val="fr-CH"/>
        </w:rPr>
      </w:pPr>
      <w:r w:rsidRPr="00C37705">
        <w:rPr>
          <w:rFonts w:eastAsia="SimSun"/>
          <w:lang w:val="fr-CH"/>
        </w:rPr>
        <w:t>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l'administration agissant au nom d'un groupe d'administrations nommément désignées) ayant notifié l'assignation. Les principes énoncés ci-après s'appliquent.</w:t>
      </w:r>
    </w:p>
    <w:p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r w:rsidRPr="00C37705">
        <w:rPr>
          <w:rFonts w:eastAsia="SimSun"/>
          <w:i/>
          <w:iCs/>
          <w:lang w:val="fr-CH" w:eastAsia="zh-CN"/>
        </w:rPr>
        <w:t>space network system</w:t>
      </w:r>
      <w:r w:rsidRPr="00C37705">
        <w:rPr>
          <w:rFonts w:eastAsia="SimSun"/>
          <w:lang w:val="fr-CH"/>
        </w:rPr>
        <w:t>) du Bureau des radiocommunications et les données graphiques associées contenues dans la base de données de référence GIMS (</w:t>
      </w:r>
      <w:r w:rsidRPr="00C37705">
        <w:rPr>
          <w:rFonts w:eastAsia="SimSun"/>
          <w:i/>
          <w:iCs/>
          <w:lang w:val="fr-CH" w:eastAsia="zh-CN"/>
        </w:rPr>
        <w:t>graphical interference management software</w:t>
      </w:r>
      <w:r w:rsidRPr="00C37705">
        <w:rPr>
          <w:rFonts w:eastAsia="SimSun"/>
          <w:lang w:val="fr-CH"/>
        </w:rPr>
        <w:t>).</w:t>
      </w:r>
    </w:p>
    <w:p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notificatrice sont identiques pourront faire l'objet d'un regroupement: </w:t>
      </w:r>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A.1.f.1 </w:t>
      </w:r>
      <w:r w:rsidRPr="00C37705">
        <w:rPr>
          <w:rFonts w:eastAsia="SimSun"/>
          <w:lang w:val="fr-CH" w:eastAsia="zh-CN"/>
        </w:rPr>
        <w:tab/>
        <w:t>Administration notificatrice</w:t>
      </w:r>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A.1.f.2 </w:t>
      </w:r>
      <w:r w:rsidRPr="00C37705">
        <w:rPr>
          <w:rFonts w:eastAsia="SimSun"/>
          <w:lang w:val="fr-CH" w:eastAsia="zh-CN"/>
        </w:rPr>
        <w:tab/>
        <w:t>Groupe d'administrations</w:t>
      </w:r>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A.1.f.3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rsidR="00C37705" w:rsidRPr="00C37705" w:rsidRDefault="00C37705" w:rsidP="00C37705">
      <w:pPr>
        <w:rPr>
          <w:lang w:val="fr-CH"/>
        </w:rPr>
      </w:pPr>
      <w:r w:rsidRPr="00C37705">
        <w:rPr>
          <w:lang w:val="fr-CH"/>
        </w:rPr>
        <w:t>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notificatrice.</w:t>
      </w:r>
    </w:p>
    <w:p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rsidR="00C37705" w:rsidRPr="00C37705" w:rsidRDefault="00C37705" w:rsidP="00C37705">
      <w:pPr>
        <w:rPr>
          <w:lang w:val="fr-CH"/>
        </w:rPr>
      </w:pPr>
      <w:r w:rsidRPr="00C37705">
        <w:rPr>
          <w:lang w:val="fr-CH"/>
        </w:rPr>
        <w:t>Un seul identificateur sera conservé pour la fiche de notification du regroupement (Notice ID);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rsidR="00C37705" w:rsidRP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rsidR="00CB0787" w:rsidRPr="00277E7C" w:rsidRDefault="00CB0787">
      <w:pPr>
        <w:pStyle w:val="Heading8"/>
        <w:rPr>
          <w:color w:val="000000"/>
          <w:lang w:val="fr-FR"/>
        </w:rPr>
      </w:pPr>
      <w:r w:rsidRPr="00277E7C">
        <w:rPr>
          <w:rStyle w:val="href2"/>
          <w:color w:val="000000"/>
          <w:lang w:val="fr-FR"/>
        </w:rPr>
        <w:lastRenderedPageBreak/>
        <w:t>11</w:t>
      </w:r>
      <w:r w:rsidRPr="00277E7C">
        <w:rPr>
          <w:color w:val="000000"/>
          <w:lang w:val="fr-FR"/>
        </w:rPr>
        <w:t>.13</w:t>
      </w:r>
    </w:p>
    <w:p w:rsidR="00014F87" w:rsidRPr="00277E7C" w:rsidRDefault="00014F87" w:rsidP="00014F87">
      <w:pPr>
        <w:rPr>
          <w:lang w:val="fr-FR"/>
        </w:rPr>
      </w:pPr>
      <w:r w:rsidRPr="00277E7C">
        <w:rPr>
          <w:lang w:val="fr-FR"/>
        </w:rPr>
        <w:t>1</w:t>
      </w:r>
      <w:r w:rsidRPr="00277E7C">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Liste internationale des fréquences (LIF), dans l'ordre des fréquences (Chapitre VI de la Préface). Les fréquences communes figurent dans le Fichier de référence et dans la LIF.</w:t>
      </w:r>
    </w:p>
    <w:p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ci-dessous:</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télégraphie à impression directe à bande étroite (IDBE) (2</w:t>
      </w:r>
      <w:r w:rsidRPr="00277E7C">
        <w:rPr>
          <w:rFonts w:ascii="Tms Rmn" w:hAnsi="Tms Rmn"/>
          <w:color w:val="000000"/>
          <w:sz w:val="12"/>
          <w:lang w:val="fr-FR"/>
        </w:rPr>
        <w:t> </w:t>
      </w:r>
      <w:r w:rsidRPr="00277E7C">
        <w:rPr>
          <w:color w:val="000000"/>
          <w:lang w:val="fr-FR"/>
        </w:rPr>
        <w:t>174,5; 4</w:t>
      </w:r>
      <w:r w:rsidRPr="00277E7C">
        <w:rPr>
          <w:rFonts w:ascii="Tms Rmn" w:hAnsi="Tms Rmn"/>
          <w:color w:val="000000"/>
          <w:sz w:val="12"/>
          <w:lang w:val="fr-FR"/>
        </w:rPr>
        <w:t> </w:t>
      </w:r>
      <w:r w:rsidRPr="00277E7C">
        <w:rPr>
          <w:color w:val="000000"/>
          <w:lang w:val="fr-FR"/>
        </w:rPr>
        <w:t>177,5; 6</w:t>
      </w:r>
      <w:r w:rsidRPr="00277E7C">
        <w:rPr>
          <w:rFonts w:ascii="Tms Rmn" w:hAnsi="Tms Rmn"/>
          <w:color w:val="000000"/>
          <w:sz w:val="12"/>
          <w:lang w:val="fr-FR"/>
        </w:rPr>
        <w:t> </w:t>
      </w:r>
      <w:r w:rsidRPr="00277E7C">
        <w:rPr>
          <w:color w:val="000000"/>
          <w:lang w:val="fr-FR"/>
        </w:rPr>
        <w:t>268; 8</w:t>
      </w:r>
      <w:r w:rsidRPr="00277E7C">
        <w:rPr>
          <w:rFonts w:ascii="Tms Rmn" w:hAnsi="Tms Rmn"/>
          <w:color w:val="000000"/>
          <w:sz w:val="12"/>
          <w:lang w:val="fr-FR"/>
        </w:rPr>
        <w:t> </w:t>
      </w:r>
      <w:r w:rsidRPr="00277E7C">
        <w:rPr>
          <w:color w:val="000000"/>
          <w:lang w:val="fr-FR"/>
        </w:rPr>
        <w:t>376,5; 12</w:t>
      </w:r>
      <w:r w:rsidRPr="00277E7C">
        <w:rPr>
          <w:rFonts w:ascii="Tms Rmn" w:hAnsi="Tms Rmn"/>
          <w:color w:val="000000"/>
          <w:sz w:val="12"/>
          <w:lang w:val="fr-FR"/>
        </w:rPr>
        <w:t> </w:t>
      </w:r>
      <w:r w:rsidRPr="00277E7C">
        <w:rPr>
          <w:color w:val="000000"/>
          <w:lang w:val="fr-FR"/>
        </w:rPr>
        <w:t>520 et</w:t>
      </w:r>
      <w:r w:rsidR="00910E82" w:rsidRPr="00277E7C">
        <w:rPr>
          <w:color w:val="000000"/>
          <w:lang w:val="fr-FR"/>
        </w:rPr>
        <w:t xml:space="preserve"> </w:t>
      </w:r>
      <w:r w:rsidRPr="00277E7C">
        <w:rPr>
          <w:color w:val="000000"/>
          <w:lang w:val="fr-FR"/>
        </w:rPr>
        <w:t>16</w:t>
      </w:r>
      <w:r w:rsidRPr="00277E7C">
        <w:rPr>
          <w:rFonts w:ascii="Tms Rmn" w:hAnsi="Tms Rmn"/>
          <w:color w:val="000000"/>
          <w:sz w:val="12"/>
          <w:lang w:val="fr-FR"/>
        </w:rPr>
        <w:t> </w:t>
      </w:r>
      <w:r w:rsidRPr="00277E7C">
        <w:rPr>
          <w:color w:val="000000"/>
          <w:lang w:val="fr-FR"/>
        </w:rPr>
        <w:t>695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l'appel sélectif utilisant le système de code séquentiel à une seule fréquence (2</w:t>
      </w:r>
      <w:r w:rsidRPr="00277E7C">
        <w:rPr>
          <w:color w:val="000000"/>
          <w:sz w:val="12"/>
          <w:lang w:val="fr-FR"/>
        </w:rPr>
        <w:t> </w:t>
      </w:r>
      <w:r w:rsidRPr="00277E7C">
        <w:rPr>
          <w:color w:val="000000"/>
          <w:lang w:val="fr-FR"/>
        </w:rPr>
        <w:t>170,5;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779; 13</w:t>
      </w:r>
      <w:r w:rsidRPr="00277E7C">
        <w:rPr>
          <w:color w:val="000000"/>
          <w:sz w:val="12"/>
          <w:lang w:val="fr-FR"/>
        </w:rPr>
        <w:t> </w:t>
      </w:r>
      <w:r w:rsidRPr="00277E7C">
        <w:rPr>
          <w:color w:val="000000"/>
          <w:lang w:val="fr-FR"/>
        </w:rPr>
        <w:t>137; 17</w:t>
      </w:r>
      <w:r w:rsidRPr="00277E7C">
        <w:rPr>
          <w:color w:val="000000"/>
          <w:sz w:val="12"/>
          <w:lang w:val="fr-FR"/>
        </w:rPr>
        <w:t> </w:t>
      </w:r>
      <w:r w:rsidRPr="00277E7C">
        <w:rPr>
          <w:color w:val="000000"/>
          <w:lang w:val="fr-FR"/>
        </w:rPr>
        <w:t>302;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756 et 26</w:t>
      </w:r>
      <w:r w:rsidRPr="00277E7C">
        <w:rPr>
          <w:color w:val="000000"/>
          <w:sz w:val="12"/>
          <w:lang w:val="fr-FR"/>
        </w:rPr>
        <w:t> </w:t>
      </w:r>
      <w:r w:rsidRPr="00277E7C">
        <w:rPr>
          <w:color w:val="000000"/>
          <w:lang w:val="fr-FR"/>
        </w:rPr>
        <w:t>172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
    <w:p w:rsidR="001F0904" w:rsidRDefault="001F0904">
      <w:pPr>
        <w:tabs>
          <w:tab w:val="clear" w:pos="1134"/>
          <w:tab w:val="clear" w:pos="1871"/>
          <w:tab w:val="clear" w:pos="2268"/>
        </w:tabs>
        <w:overflowPunct/>
        <w:autoSpaceDE/>
        <w:autoSpaceDN/>
        <w:adjustRightInd/>
        <w:spacing w:before="0"/>
        <w:jc w:val="left"/>
        <w:textAlignment w:val="auto"/>
        <w:rPr>
          <w:color w:val="000000"/>
          <w:lang w:val="fr-FR"/>
        </w:rPr>
        <w:sectPr w:rsidR="001F0904" w:rsidSect="00E2436B">
          <w:headerReference w:type="even" r:id="rId8"/>
          <w:headerReference w:type="default" r:id="rId9"/>
          <w:headerReference w:type="first" r:id="rId10"/>
          <w:footnotePr>
            <w:pos w:val="beneathText"/>
          </w:footnotePr>
          <w:pgSz w:w="11907" w:h="16840" w:code="9"/>
          <w:pgMar w:top="1701" w:right="851" w:bottom="1134" w:left="1985" w:header="720" w:footer="482" w:gutter="0"/>
          <w:pgNumType w:start="1"/>
          <w:cols w:space="720"/>
          <w:vAlign w:val="both"/>
          <w:titlePg/>
        </w:sectPr>
      </w:pPr>
    </w:p>
    <w:p w:rsidR="00014F87" w:rsidRPr="00277E7C" w:rsidRDefault="00014F87" w:rsidP="00014F87">
      <w:pPr>
        <w:pStyle w:val="enumlev1"/>
        <w:rPr>
          <w:color w:val="000000"/>
          <w:lang w:val="fr-FR"/>
        </w:rPr>
      </w:pPr>
      <w:r w:rsidRPr="00277E7C">
        <w:rPr>
          <w:color w:val="000000"/>
          <w:lang w:val="fr-FR"/>
        </w:rPr>
        <w:lastRenderedPageBreak/>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navigation maritime;</w:t>
      </w:r>
    </w:p>
    <w:p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rsidR="00CB0787" w:rsidRPr="00277E7C" w:rsidRDefault="00CB0787">
      <w:pPr>
        <w:pStyle w:val="Heading8"/>
        <w:rPr>
          <w:color w:val="000000"/>
          <w:lang w:val="fr-FR"/>
        </w:rPr>
      </w:pPr>
      <w:r w:rsidRPr="00277E7C">
        <w:rPr>
          <w:color w:val="000000"/>
          <w:lang w:val="fr-FR"/>
        </w:rPr>
        <w:t>11.14</w:t>
      </w:r>
    </w:p>
    <w:p w:rsidR="00667361" w:rsidRPr="00277E7C" w:rsidRDefault="00667361" w:rsidP="00892AB5">
      <w:pPr>
        <w:rPr>
          <w:color w:val="000000"/>
          <w:lang w:val="fr-FR"/>
        </w:rPr>
      </w:pPr>
      <w:r w:rsidRPr="00277E7C">
        <w:rPr>
          <w:color w:val="000000"/>
          <w:lang w:val="fr-FR"/>
        </w:rPr>
        <w:t>1</w:t>
      </w:r>
      <w:r w:rsidRPr="00277E7C">
        <w:rPr>
          <w:color w:val="000000"/>
          <w:lang w:val="fr-FR"/>
        </w:rPr>
        <w:tab/>
        <w:t>Cette disposition prévoit notamment que les assignations de fréquence aux stations de navire et aux stations mobiles d'autres services ne sont pas notifiées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Bureau:</w:t>
      </w:r>
    </w:p>
    <w:p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r w:rsidRPr="00277E7C">
        <w:rPr>
          <w:color w:val="000000"/>
          <w:lang w:val="fr-FR"/>
        </w:rPr>
        <w:t>);</w:t>
      </w:r>
    </w:p>
    <w:p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rsidR="001F0904" w:rsidRDefault="001F0904">
      <w:pPr>
        <w:tabs>
          <w:tab w:val="clear" w:pos="1134"/>
          <w:tab w:val="clear" w:pos="1871"/>
          <w:tab w:val="clear" w:pos="2268"/>
        </w:tabs>
        <w:overflowPunct/>
        <w:autoSpaceDE/>
        <w:autoSpaceDN/>
        <w:adjustRightInd/>
        <w:spacing w:before="0"/>
        <w:jc w:val="left"/>
        <w:textAlignment w:val="auto"/>
        <w:rPr>
          <w:color w:val="000000"/>
          <w:lang w:val="fr-FR"/>
        </w:rPr>
        <w:sectPr w:rsidR="001F0904" w:rsidSect="001F0904">
          <w:headerReference w:type="even" r:id="rId11"/>
          <w:headerReference w:type="default" r:id="rId12"/>
          <w:headerReference w:type="first" r:id="rId13"/>
          <w:footnotePr>
            <w:pos w:val="beneathText"/>
          </w:footnotePr>
          <w:pgSz w:w="11907" w:h="16840" w:code="9"/>
          <w:pgMar w:top="1701" w:right="851" w:bottom="1134" w:left="1985" w:header="720" w:footer="482" w:gutter="0"/>
          <w:pgNumType w:start="4"/>
          <w:cols w:space="720"/>
          <w:vAlign w:val="both"/>
          <w:titlePg/>
          <w:docGrid w:linePitch="326"/>
        </w:sectPr>
      </w:pPr>
    </w:p>
    <w:p w:rsidR="00667361" w:rsidRPr="00277E7C" w:rsidRDefault="00667361" w:rsidP="00D20D54">
      <w:pPr>
        <w:overflowPunct/>
        <w:textAlignment w:val="auto"/>
        <w:rPr>
          <w:color w:val="000000"/>
          <w:lang w:val="fr-FR"/>
        </w:rPr>
      </w:pPr>
      <w:r w:rsidRPr="00277E7C">
        <w:rPr>
          <w:color w:val="000000"/>
          <w:lang w:val="fr-FR"/>
        </w:rPr>
        <w:lastRenderedPageBreak/>
        <w:t>3</w:t>
      </w:r>
      <w:r w:rsidRPr="00277E7C">
        <w:rPr>
          <w:color w:val="000000"/>
          <w:lang w:val="fr-FR"/>
        </w:rPr>
        <w:tab/>
        <w:t>Etant donné que dans les services mobiles aéronautiques (R) et (OR) utilisant les</w:t>
      </w:r>
      <w:r w:rsidR="00D20D54" w:rsidRPr="00277E7C">
        <w:rPr>
          <w:color w:val="000000"/>
          <w:lang w:val="fr-FR"/>
        </w:rPr>
        <w:t>  </w:t>
      </w:r>
      <w:r w:rsidRPr="00277E7C">
        <w:rPr>
          <w:color w:val="000000"/>
          <w:lang w:val="fr-FR"/>
        </w:rPr>
        <w:t>bandes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277E7C">
        <w:rPr>
          <w:rFonts w:ascii="TimesNewRoman,Bold" w:eastAsia="SimSun" w:hAnsi="TimesNewRoman,Bold" w:cs="TimesNewRoman,Bold"/>
          <w:b/>
          <w:bCs/>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rsidR="00CC1169" w:rsidRPr="00277E7C" w:rsidRDefault="00CC1169" w:rsidP="007B37F7">
      <w:pPr>
        <w:pStyle w:val="Heading8"/>
        <w:spacing w:before="0"/>
        <w:rPr>
          <w:color w:val="000000"/>
          <w:lang w:val="fr-FR"/>
        </w:rPr>
      </w:pPr>
      <w:r w:rsidRPr="00277E7C">
        <w:rPr>
          <w:color w:val="000000"/>
          <w:lang w:val="fr-FR"/>
        </w:rPr>
        <w:t>11.17</w:t>
      </w:r>
    </w:p>
    <w:p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sont les suivantes:</w:t>
      </w:r>
    </w:p>
    <w:p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r w:rsidR="00520B7A" w:rsidRPr="00277E7C">
        <w:rPr>
          <w:color w:val="000000"/>
          <w:lang w:val="fr-FR"/>
        </w:rPr>
        <w:t>numéro </w:t>
      </w:r>
      <w:r w:rsidR="00520B7A" w:rsidRPr="00277E7C">
        <w:rPr>
          <w:rStyle w:val="Artref0"/>
          <w:b/>
          <w:color w:val="000000"/>
          <w:lang w:val="fr-FR"/>
        </w:rPr>
        <w:t xml:space="preserve"> </w:t>
      </w:r>
      <w:r w:rsidRPr="00277E7C">
        <w:rPr>
          <w:rStyle w:val="Artref0"/>
          <w:b/>
          <w:color w:val="000000"/>
          <w:lang w:val="fr-FR"/>
        </w:rPr>
        <w:t>11.18</w:t>
      </w:r>
      <w:r w:rsidRPr="00277E7C">
        <w:rPr>
          <w:color w:val="000000"/>
          <w:lang w:val="fr-FR"/>
        </w:rPr>
        <w:t>) et par n'importe quel Plan d'assignations de fréquence.</w:t>
      </w:r>
    </w:p>
    <w:p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FC272E">
        <w:rPr>
          <w:lang w:val="fr-FR"/>
        </w:rPr>
        <w:br w:type="page"/>
      </w:r>
    </w:p>
    <w:p w:rsidR="00CC1169" w:rsidRPr="00277E7C" w:rsidRDefault="00CC1169" w:rsidP="00910E82">
      <w:pPr>
        <w:rPr>
          <w:color w:val="000000"/>
          <w:lang w:val="fr-FR"/>
        </w:rPr>
      </w:pPr>
      <w:r w:rsidRPr="00277E7C">
        <w:rPr>
          <w:color w:val="000000"/>
          <w:lang w:val="fr-FR"/>
        </w:rPr>
        <w:lastRenderedPageBreak/>
        <w:t>partie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suivantes:</w:t>
      </w:r>
    </w:p>
    <w:p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color w:val="000000"/>
          <w:position w:val="6"/>
          <w:sz w:val="20"/>
          <w:lang w:val="fr-FR"/>
        </w:rPr>
        <w:t>4</w:t>
      </w:r>
      <w:r w:rsidRPr="00277E7C">
        <w:rPr>
          <w:color w:val="000000"/>
          <w:lang w:val="fr-FR"/>
        </w:rPr>
        <w:t xml:space="preserve"> et 40 dBW (pour une modulation numérique) dans toutes les bandes de fréquences au-dessus de 15 GHz qui sont indiquées dans les Tableaux 8c et 8d.</w:t>
      </w:r>
    </w:p>
    <w:p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CC1169" w:rsidRPr="00277E7C" w:rsidRDefault="00CC1169" w:rsidP="00430025">
      <w:pPr>
        <w:pStyle w:val="Heading8"/>
        <w:spacing w:before="240"/>
        <w:rPr>
          <w:color w:val="000000"/>
          <w:lang w:val="fr-FR"/>
        </w:rPr>
      </w:pPr>
      <w:r w:rsidRPr="00277E7C">
        <w:rPr>
          <w:color w:val="000000"/>
          <w:lang w:val="fr-FR"/>
        </w:rPr>
        <w:lastRenderedPageBreak/>
        <w:t>11.28</w:t>
      </w:r>
    </w:p>
    <w:p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suit:</w:t>
      </w:r>
    </w:p>
    <w:p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rsidR="008C4C13" w:rsidRPr="008C4C13" w:rsidRDefault="008C4C13" w:rsidP="008C4C13">
      <w:pPr>
        <w:pStyle w:val="enumlev1"/>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rsidR="007B37F7" w:rsidRPr="008C4C13" w:rsidRDefault="008C4C13" w:rsidP="0031780E">
      <w:pPr>
        <w:pStyle w:val="enumlev1"/>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au réseau présentés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CB0787" w:rsidRPr="00277E7C" w:rsidRDefault="00CB0787" w:rsidP="00CC1169">
      <w:pPr>
        <w:pStyle w:val="Heading8"/>
        <w:rPr>
          <w:color w:val="000000"/>
          <w:lang w:val="fr-FR"/>
        </w:rPr>
      </w:pPr>
      <w:r w:rsidRPr="00277E7C">
        <w:rPr>
          <w:color w:val="000000"/>
          <w:lang w:val="fr-FR"/>
        </w:rPr>
        <w:lastRenderedPageBreak/>
        <w:t>11.</w:t>
      </w:r>
      <w:r w:rsidR="00CC1169" w:rsidRPr="00277E7C">
        <w:rPr>
          <w:color w:val="000000"/>
          <w:lang w:val="fr-FR"/>
        </w:rPr>
        <w:t>3</w:t>
      </w:r>
      <w:r w:rsidRPr="00277E7C">
        <w:rPr>
          <w:color w:val="000000"/>
          <w:lang w:val="fr-FR"/>
        </w:rPr>
        <w:t>1</w:t>
      </w:r>
    </w:p>
    <w:p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 «autres dispositions»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rsidR="00667361" w:rsidRPr="00277E7C" w:rsidRDefault="00667361" w:rsidP="00667361">
      <w:pPr>
        <w:pStyle w:val="enumlev1"/>
        <w:rPr>
          <w:lang w:val="fr-FR"/>
        </w:rPr>
      </w:pPr>
      <w:r w:rsidRPr="00277E7C">
        <w:rPr>
          <w:lang w:val="fr-FR"/>
        </w:rPr>
        <w:t>–</w:t>
      </w:r>
      <w:r w:rsidRPr="00277E7C">
        <w:rPr>
          <w:lang w:val="fr-FR"/>
        </w:rPr>
        <w:tab/>
        <w:t>la conformité au Tableau d'attribution des bandes de fréquences, ainsi que ses renvois et toute Résolution ou Recommandation citée dans les renvois;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r w:rsidRPr="00277E7C">
        <w:rPr>
          <w:color w:val="000000"/>
          <w:lang w:val="fr-FR"/>
        </w:rPr>
        <w:t>);</w:t>
      </w:r>
    </w:p>
    <w:p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 xml:space="preserve">toutes les «autres»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rsidR="00667361" w:rsidRPr="00277E7C" w:rsidRDefault="00667361" w:rsidP="00667361">
      <w:pPr>
        <w:rPr>
          <w:color w:val="000000"/>
          <w:lang w:val="fr-FR"/>
        </w:rPr>
      </w:pPr>
      <w:r w:rsidRPr="00277E7C">
        <w:rPr>
          <w:color w:val="000000"/>
          <w:lang w:val="fr-FR"/>
        </w:rPr>
        <w:t>2</w:t>
      </w:r>
      <w:r w:rsidRPr="00277E7C">
        <w:rPr>
          <w:color w:val="000000"/>
          <w:lang w:val="fr-FR"/>
        </w:rPr>
        <w:tab/>
        <w:t>On trouvera ci-après la liste des «autres dispositions», visées au numéro </w:t>
      </w:r>
      <w:r w:rsidRPr="00277E7C">
        <w:rPr>
          <w:rStyle w:val="Artref0"/>
          <w:b/>
          <w:color w:val="000000"/>
          <w:lang w:val="fr-FR"/>
        </w:rPr>
        <w:t>11.31.2</w:t>
      </w:r>
      <w:r w:rsidRPr="00277E7C">
        <w:rPr>
          <w:color w:val="000000"/>
          <w:lang w:val="fr-FR"/>
        </w:rPr>
        <w:t>, relativement auxquelles les fiches de notification relatives à des stations des services de Terre (§ 2.1 à 2.5.2) ou des services spatiaux (§ 2.6 à 2.6.6) sont examinées:</w:t>
      </w:r>
    </w:p>
    <w:p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r w:rsidRPr="00277E7C">
        <w:rPr>
          <w:i/>
          <w:color w:val="000000"/>
          <w:lang w:val="fr-FR"/>
        </w:rPr>
        <w:t>radiodiffusion:</w:t>
      </w:r>
      <w:r w:rsidR="00910E82" w:rsidRPr="00277E7C">
        <w:rPr>
          <w:iCs/>
          <w:color w:val="000000"/>
          <w:lang w:val="fr-FR"/>
        </w:rPr>
        <w:t>  </w:t>
      </w:r>
      <w:r w:rsidRPr="00277E7C">
        <w:rPr>
          <w:color w:val="000000"/>
          <w:lang w:val="fr-FR"/>
        </w:rPr>
        <w:t xml:space="preserve">Celles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fixe:</w:t>
      </w:r>
      <w:r w:rsidR="00910E82" w:rsidRPr="00277E7C">
        <w:rPr>
          <w:iCs/>
          <w:color w:val="000000"/>
          <w:lang w:val="fr-FR"/>
        </w:rPr>
        <w:t>  </w:t>
      </w:r>
      <w:r w:rsidRPr="00277E7C">
        <w:rPr>
          <w:color w:val="000000"/>
          <w:lang w:val="fr-FR"/>
        </w:rPr>
        <w:t xml:space="preserve">Celles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rsidR="00667361" w:rsidRPr="00277E7C" w:rsidRDefault="00667361" w:rsidP="00D20D54">
      <w:pPr>
        <w:keepNext/>
        <w:keepLines/>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r w:rsidRPr="00277E7C">
        <w:rPr>
          <w:i/>
          <w:color w:val="000000"/>
          <w:lang w:val="fr-FR"/>
        </w:rPr>
        <w:t>aéronautique:</w:t>
      </w:r>
      <w:r w:rsidR="00910E82" w:rsidRPr="00277E7C">
        <w:rPr>
          <w:iCs/>
          <w:color w:val="000000"/>
          <w:lang w:val="fr-FR"/>
        </w:rPr>
        <w:t>  </w:t>
      </w:r>
      <w:r w:rsidRPr="00277E7C">
        <w:rPr>
          <w:color w:val="000000"/>
          <w:lang w:val="fr-FR"/>
        </w:rPr>
        <w:t>Il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rsidR="00FC272E" w:rsidRDefault="00FC272E">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rsidR="00667361" w:rsidRDefault="00F919DB" w:rsidP="00B4752D">
      <w:pPr>
        <w:spacing w:before="120"/>
        <w:rPr>
          <w:color w:val="000000"/>
          <w:lang w:val="fr-FR"/>
        </w:rPr>
      </w:pPr>
      <w:r w:rsidRPr="00F919DB">
        <w:rPr>
          <w:lang w:val="fr-CH"/>
        </w:rPr>
        <w:lastRenderedPageBreak/>
        <w:t>2.4</w:t>
      </w:r>
      <w:r w:rsidRPr="00F919DB">
        <w:rPr>
          <w:lang w:val="fr-CH"/>
        </w:rPr>
        <w:tab/>
      </w:r>
      <w:r w:rsidRPr="00F919DB">
        <w:rPr>
          <w:i/>
          <w:lang w:val="fr-CH"/>
        </w:rPr>
        <w:t>Service mobile maritime:</w:t>
      </w:r>
      <w:r w:rsidRPr="00F919DB">
        <w:rPr>
          <w:iCs/>
          <w:lang w:val="fr-CH"/>
        </w:rPr>
        <w:t> </w:t>
      </w:r>
      <w:r w:rsidRPr="00F919DB">
        <w:rPr>
          <w:lang w:val="fr-CH"/>
        </w:rPr>
        <w:t>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notification</w:t>
      </w:r>
      <w:r w:rsidR="00667361" w:rsidRPr="00277E7C">
        <w:rPr>
          <w:color w:val="000000"/>
          <w:lang w:val="fr-FR"/>
        </w:rPr>
        <w:t>:</w:t>
      </w:r>
    </w:p>
    <w:p w:rsidR="00D25157" w:rsidRPr="00EE1889" w:rsidRDefault="00D25157" w:rsidP="00D25157">
      <w:pPr>
        <w:jc w:val="left"/>
        <w:rPr>
          <w:iCs/>
          <w:sz w:val="16"/>
          <w:szCs w:val="16"/>
          <w:lang w:val="fr-CH"/>
        </w:rPr>
      </w:pPr>
    </w:p>
    <w:p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rsidTr="007B3E0F">
        <w:trPr>
          <w:cantSplit/>
        </w:trPr>
        <w:tc>
          <w:tcPr>
            <w:tcW w:w="2835" w:type="dxa"/>
            <w:tcBorders>
              <w:top w:val="nil"/>
              <w:left w:val="nil"/>
            </w:tcBorders>
          </w:tcPr>
          <w:p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rsidTr="007B3E0F">
        <w:trPr>
          <w:cantSplit/>
        </w:trPr>
        <w:tc>
          <w:tcPr>
            <w:tcW w:w="2835" w:type="dxa"/>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rsidTr="007B3E0F">
        <w:trPr>
          <w:cantSplit/>
        </w:trPr>
        <w:tc>
          <w:tcPr>
            <w:tcW w:w="2835" w:type="dxa"/>
            <w:tcBorders>
              <w:bottom w:val="single" w:sz="6" w:space="0" w:color="auto"/>
            </w:tcBorders>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rsidTr="007B3E0F">
        <w:trPr>
          <w:cantSplit/>
        </w:trPr>
        <w:tc>
          <w:tcPr>
            <w:tcW w:w="2835" w:type="dxa"/>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On trouvera ci-dessous la liste des «autres dispositions»,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t>conformité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r w:rsidRPr="00277E7C">
        <w:rPr>
          <w:color w:val="000000"/>
          <w:lang w:val="fr-FR"/>
        </w:rPr>
        <w:t>);</w:t>
      </w:r>
    </w:p>
    <w:p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t>conformité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On trouvera ci-dessous la liste des «autres dispositions»,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rsidR="00FC272E" w:rsidRDefault="00FC27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667361" w:rsidRPr="00277E7C" w:rsidRDefault="00667361" w:rsidP="000E7C11">
      <w:pPr>
        <w:spacing w:before="160"/>
        <w:rPr>
          <w:color w:val="000000"/>
          <w:lang w:val="fr-FR"/>
        </w:rPr>
      </w:pPr>
      <w:r w:rsidRPr="00277E7C">
        <w:rPr>
          <w:color w:val="000000"/>
          <w:lang w:val="fr-FR"/>
        </w:rPr>
        <w:lastRenderedPageBreak/>
        <w:t>2.6.1</w:t>
      </w:r>
      <w:r w:rsidRPr="00277E7C">
        <w:rPr>
          <w:color w:val="000000"/>
          <w:lang w:val="fr-FR"/>
        </w:rPr>
        <w:tab/>
        <w:t xml:space="preserve">conformité aux limites de puissance applicables aux stations terriennes, telles qu'elles sont prescrites aux numéros </w:t>
      </w:r>
      <w:r w:rsidRPr="00277E7C">
        <w:rPr>
          <w:rStyle w:val="Artref0"/>
          <w:b/>
          <w:color w:val="000000"/>
          <w:lang w:val="fr-FR"/>
        </w:rPr>
        <w:t>21.8</w:t>
      </w:r>
      <w:r w:rsidRPr="00277E7C">
        <w:rPr>
          <w:color w:val="000000"/>
          <w:lang w:val="fr-FR"/>
        </w:rPr>
        <w:t xml:space="preserve">, </w:t>
      </w:r>
      <w:r w:rsidRPr="00277E7C">
        <w:rPr>
          <w:rStyle w:val="Artref0"/>
          <w:b/>
          <w:color w:val="000000"/>
          <w:lang w:val="fr-FR"/>
        </w:rPr>
        <w:t>21.10</w:t>
      </w:r>
      <w:r w:rsidRPr="00277E7C">
        <w:rPr>
          <w:color w:val="000000"/>
          <w:lang w:val="fr-FR"/>
        </w:rPr>
        <w:t xml:space="preserve">, </w:t>
      </w:r>
      <w:r w:rsidRPr="00277E7C">
        <w:rPr>
          <w:rStyle w:val="Artref0"/>
          <w:b/>
          <w:color w:val="000000"/>
          <w:lang w:val="fr-FR"/>
        </w:rPr>
        <w:t>21.12</w:t>
      </w:r>
      <w:r w:rsidRPr="00277E7C">
        <w:rPr>
          <w:color w:val="000000"/>
          <w:lang w:val="fr-FR"/>
        </w:rPr>
        <w:t xml:space="preserve">, </w:t>
      </w:r>
      <w:r w:rsidRPr="00277E7C">
        <w:rPr>
          <w:rStyle w:val="Artref0"/>
          <w:b/>
          <w:color w:val="000000"/>
          <w:lang w:val="fr-FR"/>
        </w:rPr>
        <w:t>21.13</w:t>
      </w:r>
      <w:r w:rsidRPr="00277E7C">
        <w:rPr>
          <w:color w:val="000000"/>
          <w:lang w:val="fr-FR"/>
        </w:rPr>
        <w:t xml:space="preserve"> et </w:t>
      </w:r>
      <w:r w:rsidRPr="00277E7C">
        <w:rPr>
          <w:rStyle w:val="Artref0"/>
          <w:b/>
          <w:color w:val="000000"/>
          <w:lang w:val="fr-FR"/>
        </w:rPr>
        <w:t>21.13A</w:t>
      </w:r>
      <w:r w:rsidRPr="00277E7C">
        <w:rPr>
          <w:color w:val="000000"/>
          <w:lang w:val="fr-FR"/>
        </w:rPr>
        <w:t xml:space="preserve"> compte tenu des numéros </w:t>
      </w:r>
      <w:r w:rsidRPr="00277E7C">
        <w:rPr>
          <w:rStyle w:val="Artref0"/>
          <w:b/>
          <w:color w:val="000000"/>
          <w:lang w:val="fr-FR"/>
        </w:rPr>
        <w:t>21.9</w:t>
      </w:r>
      <w:r w:rsidRPr="00277E7C">
        <w:rPr>
          <w:color w:val="000000"/>
          <w:lang w:val="fr-FR"/>
        </w:rPr>
        <w:t xml:space="preserve"> et </w:t>
      </w:r>
      <w:r w:rsidRPr="00277E7C">
        <w:rPr>
          <w:rStyle w:val="Artref0"/>
          <w:b/>
          <w:color w:val="000000"/>
          <w:lang w:val="fr-FR"/>
        </w:rPr>
        <w:t>21.11</w:t>
      </w:r>
      <w:r w:rsidR="000E7C11" w:rsidRPr="00277E7C">
        <w:rPr>
          <w:rFonts w:ascii="Tms Rmn" w:hAnsi="Tms Rmn"/>
          <w:sz w:val="12"/>
          <w:lang w:val="fr-FR"/>
        </w:rPr>
        <w:t> </w:t>
      </w:r>
      <w:r w:rsidRPr="00277E7C">
        <w:rPr>
          <w:rStyle w:val="FootnoteReference"/>
          <w:color w:val="000000"/>
          <w:sz w:val="20"/>
          <w:lang w:val="fr-FR"/>
        </w:rPr>
        <w:footnoteReference w:customMarkFollows="1" w:id="7"/>
        <w:t>7</w:t>
      </w:r>
      <w:r w:rsidRPr="00277E7C">
        <w:rPr>
          <w:color w:val="000000"/>
          <w:lang w:val="fr-FR"/>
        </w:rPr>
        <w:t xml:space="preserve">, et dans les dispositions </w:t>
      </w:r>
      <w:r w:rsidRPr="00277E7C">
        <w:rPr>
          <w:rStyle w:val="Artref0"/>
          <w:b/>
          <w:color w:val="000000"/>
          <w:lang w:val="fr-FR"/>
        </w:rPr>
        <w:t>22.26</w:t>
      </w:r>
      <w:r w:rsidRPr="00277E7C">
        <w:rPr>
          <w:color w:val="000000"/>
          <w:lang w:val="fr-FR"/>
        </w:rPr>
        <w:t xml:space="preserve"> à </w:t>
      </w:r>
      <w:r w:rsidRPr="00277E7C">
        <w:rPr>
          <w:rStyle w:val="Artref0"/>
          <w:b/>
          <w:color w:val="000000"/>
          <w:lang w:val="fr-FR"/>
        </w:rPr>
        <w:t>22.28</w:t>
      </w:r>
      <w:r w:rsidRPr="00277E7C">
        <w:rPr>
          <w:color w:val="000000"/>
          <w:lang w:val="fr-FR"/>
        </w:rPr>
        <w:t xml:space="preserve"> ou </w:t>
      </w:r>
      <w:r w:rsidRPr="00277E7C">
        <w:rPr>
          <w:rStyle w:val="Artref0"/>
          <w:b/>
          <w:color w:val="000000"/>
          <w:lang w:val="fr-FR"/>
        </w:rPr>
        <w:t>22.32</w:t>
      </w:r>
      <w:r w:rsidRPr="00277E7C">
        <w:rPr>
          <w:color w:val="000000"/>
          <w:lang w:val="fr-FR"/>
        </w:rPr>
        <w:t xml:space="preserve"> (selon le cas) dans les conditions spécifiées dans les numéros </w:t>
      </w:r>
      <w:r w:rsidRPr="00277E7C">
        <w:rPr>
          <w:rStyle w:val="Artref0"/>
          <w:b/>
          <w:color w:val="000000"/>
          <w:lang w:val="fr-FR"/>
        </w:rPr>
        <w:t>22.30</w:t>
      </w:r>
      <w:r w:rsidRPr="00277E7C">
        <w:rPr>
          <w:color w:val="000000"/>
          <w:lang w:val="fr-FR"/>
        </w:rPr>
        <w:t xml:space="preserve">, </w:t>
      </w:r>
      <w:r w:rsidRPr="00277E7C">
        <w:rPr>
          <w:rStyle w:val="Artref0"/>
          <w:b/>
          <w:color w:val="000000"/>
          <w:lang w:val="fr-FR"/>
        </w:rPr>
        <w:t>22.31</w:t>
      </w:r>
      <w:r w:rsidRPr="00277E7C">
        <w:rPr>
          <w:color w:val="000000"/>
          <w:lang w:val="fr-FR"/>
        </w:rPr>
        <w:t xml:space="preserve"> et </w:t>
      </w:r>
      <w:r w:rsidRPr="00277E7C">
        <w:rPr>
          <w:rStyle w:val="Artref0"/>
          <w:b/>
          <w:color w:val="000000"/>
          <w:lang w:val="fr-FR"/>
        </w:rPr>
        <w:t>22.34</w:t>
      </w:r>
      <w:r w:rsidRPr="00277E7C">
        <w:rPr>
          <w:color w:val="000000"/>
          <w:lang w:val="fr-FR"/>
        </w:rPr>
        <w:t xml:space="preserve"> à </w:t>
      </w:r>
      <w:r w:rsidRPr="00277E7C">
        <w:rPr>
          <w:rStyle w:val="Artref0"/>
          <w:b/>
          <w:color w:val="000000"/>
          <w:lang w:val="fr-FR"/>
        </w:rPr>
        <w:t>22.39</w:t>
      </w:r>
      <w:r w:rsidRPr="00277E7C">
        <w:rPr>
          <w:color w:val="000000"/>
          <w:lang w:val="fr-FR"/>
        </w:rPr>
        <w:t xml:space="preserve"> dans le cas où les stations terriennes sont assujetties à ces limitations de puissance (voir également le § A.16 de l'Appendice </w:t>
      </w:r>
      <w:r w:rsidRPr="00277E7C">
        <w:rPr>
          <w:rStyle w:val="Appref"/>
          <w:b/>
          <w:color w:val="000000"/>
          <w:lang w:val="fr-FR"/>
        </w:rPr>
        <w:t>4</w:t>
      </w:r>
      <w:r w:rsidRPr="00277E7C">
        <w:rPr>
          <w:color w:val="000000"/>
          <w:lang w:val="fr-FR"/>
        </w:rPr>
        <w:t>);</w:t>
      </w:r>
    </w:p>
    <w:p w:rsidR="00667361" w:rsidRPr="00277E7C" w:rsidRDefault="00667361" w:rsidP="00D24F31">
      <w:pPr>
        <w:spacing w:before="160"/>
        <w:rPr>
          <w:color w:val="000000"/>
          <w:lang w:val="fr-FR"/>
        </w:rPr>
      </w:pPr>
      <w:r w:rsidRPr="00277E7C">
        <w:rPr>
          <w:color w:val="000000"/>
          <w:lang w:val="fr-FR"/>
        </w:rPr>
        <w:t>2.6.2</w:t>
      </w:r>
      <w:r w:rsidRPr="00277E7C">
        <w:rPr>
          <w:color w:val="000000"/>
          <w:lang w:val="fr-FR"/>
        </w:rPr>
        <w:tab/>
        <w:t>conformité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rsidR="00667361" w:rsidRPr="00277E7C" w:rsidRDefault="00667361" w:rsidP="00667361">
      <w:pPr>
        <w:spacing w:before="160"/>
        <w:rPr>
          <w:color w:val="000000"/>
          <w:lang w:val="fr-FR"/>
        </w:rPr>
      </w:pPr>
      <w:r w:rsidRPr="00277E7C">
        <w:rPr>
          <w:color w:val="000000"/>
          <w:lang w:val="fr-FR"/>
        </w:rPr>
        <w:t>2.6.3</w:t>
      </w:r>
      <w:r w:rsidRPr="00277E7C">
        <w:rPr>
          <w:color w:val="000000"/>
          <w:lang w:val="fr-FR"/>
        </w:rPr>
        <w:tab/>
        <w:t xml:space="preserve">conformité aux limites de puissance surfacique produite à la surface de la Terre par les émissions d'une station spatiale, comme indiqué aux Tableaux </w:t>
      </w:r>
      <w:r w:rsidRPr="00277E7C">
        <w:rPr>
          <w:rStyle w:val="Artref0"/>
          <w:b/>
          <w:color w:val="000000"/>
          <w:lang w:val="fr-FR"/>
        </w:rPr>
        <w:t>21-4</w:t>
      </w:r>
      <w:r w:rsidRPr="00277E7C">
        <w:rPr>
          <w:color w:val="000000"/>
          <w:lang w:val="fr-FR"/>
        </w:rPr>
        <w:t xml:space="preserve"> (numéro </w:t>
      </w:r>
      <w:r w:rsidRPr="00277E7C">
        <w:rPr>
          <w:rStyle w:val="Artref0"/>
          <w:b/>
          <w:color w:val="000000"/>
          <w:lang w:val="fr-FR"/>
        </w:rPr>
        <w:t>21.16</w:t>
      </w:r>
      <w:r w:rsidRPr="00277E7C">
        <w:rPr>
          <w:color w:val="000000"/>
          <w:lang w:val="fr-FR"/>
        </w:rPr>
        <w:t>), et aux limites de puissance surfacique équivalente sur la liaison descendante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figurant dans les Tableaux </w:t>
      </w:r>
      <w:r w:rsidRPr="00277E7C">
        <w:rPr>
          <w:rStyle w:val="Artref0"/>
          <w:b/>
          <w:color w:val="000000"/>
          <w:lang w:val="fr-FR"/>
        </w:rPr>
        <w:t>22-1A</w:t>
      </w:r>
      <w:r w:rsidRPr="00277E7C">
        <w:rPr>
          <w:color w:val="000000"/>
          <w:lang w:val="fr-FR"/>
        </w:rPr>
        <w:t xml:space="preserve"> à </w:t>
      </w:r>
      <w:r w:rsidRPr="00277E7C">
        <w:rPr>
          <w:rStyle w:val="Artref0"/>
          <w:b/>
          <w:color w:val="000000"/>
          <w:lang w:val="fr-FR"/>
        </w:rPr>
        <w:t>22-1E</w:t>
      </w:r>
      <w:r w:rsidRPr="00277E7C">
        <w:rPr>
          <w:color w:val="000000"/>
          <w:lang w:val="fr-FR"/>
        </w:rPr>
        <w:t xml:space="preserve"> (numéro </w:t>
      </w:r>
      <w:r w:rsidRPr="00277E7C">
        <w:rPr>
          <w:rStyle w:val="Artref0"/>
          <w:b/>
          <w:color w:val="000000"/>
          <w:lang w:val="fr-FR"/>
        </w:rPr>
        <w:t>22.5C</w:t>
      </w:r>
      <w:r w:rsidRPr="00277E7C">
        <w:rPr>
          <w:color w:val="000000"/>
          <w:lang w:val="fr-FR"/>
        </w:rPr>
        <w:t>), compte tenu, selon le cas, des dispositions des numéros </w:t>
      </w:r>
      <w:r w:rsidRPr="00277E7C">
        <w:rPr>
          <w:rStyle w:val="Artref0"/>
          <w:b/>
          <w:color w:val="000000"/>
          <w:lang w:val="fr-FR"/>
        </w:rPr>
        <w:t>21.17</w:t>
      </w:r>
      <w:r w:rsidRPr="00277E7C">
        <w:rPr>
          <w:color w:val="000000"/>
          <w:lang w:val="fr-FR"/>
        </w:rPr>
        <w:t xml:space="preserve"> et </w:t>
      </w:r>
      <w:r w:rsidRPr="00277E7C">
        <w:rPr>
          <w:rStyle w:val="Artref0"/>
          <w:b/>
          <w:color w:val="000000"/>
          <w:lang w:val="fr-FR"/>
        </w:rPr>
        <w:t>22.5CA</w:t>
      </w:r>
      <w:r w:rsidRPr="00277E7C">
        <w:rPr>
          <w:color w:val="000000"/>
          <w:lang w:val="fr-FR"/>
        </w:rPr>
        <w:t>;</w:t>
      </w:r>
    </w:p>
    <w:p w:rsidR="00667361" w:rsidRPr="00277E7C" w:rsidRDefault="00667361" w:rsidP="00910E82">
      <w:pPr>
        <w:spacing w:before="160"/>
        <w:rPr>
          <w:color w:val="000000"/>
          <w:lang w:val="fr-FR"/>
        </w:rPr>
      </w:pPr>
      <w:r w:rsidRPr="00277E7C">
        <w:rPr>
          <w:color w:val="000000"/>
          <w:lang w:val="fr-FR"/>
        </w:rPr>
        <w:t>2.6.4</w:t>
      </w:r>
      <w:r w:rsidRPr="00277E7C">
        <w:rPr>
          <w:color w:val="000000"/>
          <w:lang w:val="fr-FR"/>
        </w:rPr>
        <w:tab/>
        <w:t xml:space="preserve">conformité aux limites de puissance surfacique produite sur l'OSG par des stations spatiales comme indiqué aux numéros </w:t>
      </w:r>
      <w:r w:rsidRPr="00277E7C">
        <w:rPr>
          <w:rStyle w:val="Artref0"/>
          <w:b/>
          <w:color w:val="000000"/>
          <w:lang w:val="fr-FR"/>
        </w:rPr>
        <w:t>22.5</w:t>
      </w:r>
      <w:r w:rsidRPr="00277E7C">
        <w:rPr>
          <w:color w:val="000000"/>
          <w:lang w:val="fr-FR"/>
        </w:rPr>
        <w:t xml:space="preserve"> et </w:t>
      </w:r>
      <w:r w:rsidRPr="00277E7C">
        <w:rPr>
          <w:rStyle w:val="Artref0"/>
          <w:b/>
          <w:color w:val="000000"/>
          <w:lang w:val="fr-FR"/>
        </w:rPr>
        <w:t>22.5A</w:t>
      </w:r>
      <w:r w:rsidRPr="00277E7C">
        <w:rPr>
          <w:color w:val="000000"/>
          <w:lang w:val="fr-FR"/>
        </w:rPr>
        <w:t xml:space="preserve"> ainsi qu'aux limites de puissance surfacique équivalente sur la liaison inter-satellites (epfd</w:t>
      </w:r>
      <w:r w:rsidRPr="00277E7C">
        <w:rPr>
          <w:vertAlign w:val="subscript"/>
          <w:lang w:val="fr-FR"/>
        </w:rPr>
        <w:t>is</w:t>
      </w:r>
      <w:r w:rsidRPr="00277E7C">
        <w:rPr>
          <w:color w:val="000000"/>
          <w:lang w:val="fr-FR"/>
        </w:rPr>
        <w:t>) indiquées dans le Tableau </w:t>
      </w:r>
      <w:r w:rsidRPr="00277E7C">
        <w:rPr>
          <w:rStyle w:val="Artref0"/>
          <w:b/>
          <w:color w:val="000000"/>
          <w:lang w:val="fr-FR"/>
        </w:rPr>
        <w:t>22-3</w:t>
      </w:r>
      <w:r w:rsidRPr="00277E7C">
        <w:rPr>
          <w:color w:val="000000"/>
          <w:lang w:val="fr-FR"/>
        </w:rPr>
        <w:t xml:space="preserve"> (numéro </w:t>
      </w:r>
      <w:r w:rsidRPr="00277E7C">
        <w:rPr>
          <w:rStyle w:val="Artref0"/>
          <w:b/>
          <w:color w:val="000000"/>
          <w:lang w:val="fr-FR"/>
        </w:rPr>
        <w:t>22.5F</w:t>
      </w:r>
      <w:r w:rsidRPr="00277E7C">
        <w:rPr>
          <w:color w:val="000000"/>
          <w:lang w:val="fr-FR"/>
        </w:rPr>
        <w:t>);</w:t>
      </w:r>
    </w:p>
    <w:p w:rsidR="00667361" w:rsidRPr="00277E7C" w:rsidRDefault="00667361" w:rsidP="00667361">
      <w:pPr>
        <w:spacing w:before="160"/>
        <w:rPr>
          <w:color w:val="000000"/>
          <w:lang w:val="fr-FR"/>
        </w:rPr>
      </w:pPr>
      <w:r w:rsidRPr="00277E7C">
        <w:rPr>
          <w:color w:val="000000"/>
          <w:lang w:val="fr-FR"/>
        </w:rPr>
        <w:t>2.6.5</w:t>
      </w:r>
      <w:r w:rsidRPr="00277E7C">
        <w:rPr>
          <w:color w:val="000000"/>
          <w:lang w:val="fr-FR"/>
        </w:rPr>
        <w:tab/>
        <w:t>conformité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r w:rsidRPr="00277E7C">
        <w:rPr>
          <w:color w:val="000000"/>
          <w:lang w:val="fr-FR"/>
        </w:rPr>
        <w:t>);</w:t>
      </w:r>
    </w:p>
    <w:p w:rsidR="00667361" w:rsidRPr="00277E7C" w:rsidRDefault="00667361" w:rsidP="00667361">
      <w:pPr>
        <w:rPr>
          <w:color w:val="000000"/>
          <w:lang w:val="fr-FR"/>
        </w:rPr>
      </w:pPr>
      <w:r w:rsidRPr="00277E7C">
        <w:rPr>
          <w:color w:val="000000"/>
          <w:lang w:val="fr-FR"/>
        </w:rPr>
        <w:t>2.6.6</w:t>
      </w:r>
      <w:r w:rsidRPr="00277E7C">
        <w:rPr>
          <w:color w:val="000000"/>
          <w:lang w:val="fr-FR"/>
        </w:rPr>
        <w:tab/>
        <w:t>conformité aux limites prescrites aux numéros </w:t>
      </w:r>
      <w:r w:rsidRPr="00277E7C">
        <w:rPr>
          <w:rStyle w:val="Artref0"/>
          <w:b/>
          <w:color w:val="000000"/>
          <w:lang w:val="fr-FR"/>
        </w:rPr>
        <w:t>22.8</w:t>
      </w:r>
      <w:r w:rsidRPr="00277E7C">
        <w:rPr>
          <w:color w:val="000000"/>
          <w:lang w:val="fr-FR"/>
        </w:rPr>
        <w:t xml:space="preserve">, </w:t>
      </w:r>
      <w:r w:rsidRPr="00277E7C">
        <w:rPr>
          <w:rStyle w:val="Artref0"/>
          <w:b/>
          <w:color w:val="000000"/>
          <w:lang w:val="fr-FR"/>
        </w:rPr>
        <w:t>22.13</w:t>
      </w:r>
      <w:r w:rsidRPr="00277E7C">
        <w:rPr>
          <w:color w:val="000000"/>
          <w:lang w:val="fr-FR"/>
        </w:rPr>
        <w:t xml:space="preserve">, </w:t>
      </w:r>
      <w:r w:rsidRPr="00277E7C">
        <w:rPr>
          <w:rStyle w:val="Artref0"/>
          <w:b/>
          <w:color w:val="000000"/>
          <w:lang w:val="fr-FR"/>
        </w:rPr>
        <w:t>22.17</w:t>
      </w:r>
      <w:r w:rsidRPr="00277E7C">
        <w:rPr>
          <w:color w:val="000000"/>
          <w:lang w:val="fr-FR"/>
        </w:rPr>
        <w:t xml:space="preserve"> et </w:t>
      </w:r>
      <w:r w:rsidRPr="00277E7C">
        <w:rPr>
          <w:rStyle w:val="Artref0"/>
          <w:b/>
          <w:color w:val="000000"/>
          <w:lang w:val="fr-FR"/>
        </w:rPr>
        <w:t>22.19</w:t>
      </w:r>
      <w:r w:rsidRPr="00277E7C">
        <w:rPr>
          <w:color w:val="000000"/>
          <w:lang w:val="fr-FR"/>
        </w:rPr>
        <w:t>.</w:t>
      </w:r>
    </w:p>
    <w:p w:rsidR="00667361" w:rsidRPr="00277E7C" w:rsidRDefault="00667361" w:rsidP="00910E82">
      <w:pPr>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rsidR="00667361" w:rsidRPr="00277E7C" w:rsidRDefault="00667361" w:rsidP="000E7C11">
      <w:pPr>
        <w:pStyle w:val="Heading1"/>
        <w:rPr>
          <w:b w:val="0"/>
          <w:bCs/>
          <w:sz w:val="24"/>
          <w:szCs w:val="24"/>
          <w:lang w:val="fr-FR"/>
        </w:rPr>
      </w:pPr>
      <w:r w:rsidRPr="00277E7C">
        <w:rPr>
          <w:bCs/>
          <w:sz w:val="24"/>
          <w:szCs w:val="24"/>
          <w:lang w:val="fr-FR"/>
        </w:rPr>
        <w:t>4</w:t>
      </w:r>
      <w:r w:rsidRPr="00277E7C">
        <w:rPr>
          <w:b w:val="0"/>
          <w:bCs/>
          <w:sz w:val="24"/>
          <w:szCs w:val="24"/>
          <w:lang w:val="fr-FR"/>
        </w:rPr>
        <w:tab/>
        <w:t>(Non utilisé)</w:t>
      </w:r>
    </w:p>
    <w:p w:rsidR="00667361" w:rsidRPr="00277E7C" w:rsidRDefault="00667361" w:rsidP="00910E82">
      <w:pPr>
        <w:pStyle w:val="Heading1"/>
        <w:rPr>
          <w:lang w:val="fr-FR"/>
        </w:rPr>
      </w:pPr>
      <w:r w:rsidRPr="00277E7C">
        <w:rPr>
          <w:lang w:val="fr-FR"/>
        </w:rPr>
        <w:t>5</w:t>
      </w:r>
      <w:r w:rsidRPr="00277E7C">
        <w:rPr>
          <w:lang w:val="fr-FR"/>
        </w:rPr>
        <w:tab/>
        <w:t>Conformité avec le Tableau d'attribution des bandes de fréquences</w:t>
      </w:r>
    </w:p>
    <w:p w:rsidR="00667361" w:rsidRPr="00277E7C" w:rsidRDefault="00667361" w:rsidP="00FC272E">
      <w:pPr>
        <w:spacing w:before="16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égard:</w:t>
      </w:r>
    </w:p>
    <w:p w:rsidR="00FC272E" w:rsidRDefault="00FC27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667361" w:rsidRPr="00277E7C" w:rsidRDefault="00667361" w:rsidP="000E7C11">
      <w:pPr>
        <w:spacing w:before="160"/>
        <w:rPr>
          <w:color w:val="000000"/>
          <w:lang w:val="fr-FR"/>
        </w:rPr>
      </w:pPr>
      <w:r w:rsidRPr="00277E7C">
        <w:rPr>
          <w:color w:val="000000"/>
          <w:lang w:val="fr-FR"/>
        </w:rPr>
        <w:lastRenderedPageBreak/>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r w:rsidRPr="00277E7C">
        <w:rPr>
          <w:i/>
          <w:color w:val="000000"/>
          <w:lang w:val="fr-FR"/>
        </w:rPr>
        <w:t>bande:</w:t>
      </w:r>
      <w:r w:rsidR="000E7C11" w:rsidRPr="00277E7C">
        <w:rPr>
          <w:iCs/>
          <w:color w:val="000000"/>
          <w:lang w:val="fr-FR"/>
        </w:rPr>
        <w:t>  </w:t>
      </w:r>
      <w:r w:rsidRPr="00277E7C">
        <w:rPr>
          <w:color w:val="000000"/>
          <w:lang w:val="fr-FR"/>
        </w:rPr>
        <w:t>Dans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r w:rsidRPr="00277E7C">
        <w:rPr>
          <w:i/>
          <w:color w:val="000000"/>
          <w:lang w:val="fr-FR"/>
        </w:rPr>
        <w:t>chevauchement:</w:t>
      </w:r>
      <w:r w:rsidR="000E7C11" w:rsidRPr="00277E7C">
        <w:rPr>
          <w:iCs/>
          <w:color w:val="000000"/>
          <w:lang w:val="fr-FR"/>
        </w:rPr>
        <w:t>  </w:t>
      </w:r>
      <w:r w:rsidRPr="00277E7C">
        <w:rPr>
          <w:color w:val="000000"/>
          <w:lang w:val="fr-FR"/>
        </w:rPr>
        <w:t>Dans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Point de réception d'un service de Terre situé dans une région où le service n'est pas attribué:</w:t>
      </w:r>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 xml:space="preserve">La relation entre l'administration notificatrice et le territoire sur lequel est située la  station est couverte par la Résolution </w:t>
      </w:r>
      <w:r w:rsidRPr="00277E7C">
        <w:rPr>
          <w:b/>
          <w:color w:val="000000"/>
          <w:lang w:val="fr-FR"/>
        </w:rPr>
        <w:t>1</w:t>
      </w:r>
      <w:r w:rsidRPr="00277E7C">
        <w:rPr>
          <w:color w:val="000000"/>
          <w:lang w:val="fr-FR"/>
        </w:rPr>
        <w:t xml:space="preserve"> </w:t>
      </w:r>
      <w:r w:rsidRPr="00277E7C">
        <w:rPr>
          <w:b/>
          <w:color w:val="000000"/>
          <w:lang w:val="fr-FR"/>
        </w:rPr>
        <w:t>(Rév.CMR-97)</w:t>
      </w:r>
      <w:r w:rsidRPr="00277E7C">
        <w:rPr>
          <w:color w:val="000000"/>
          <w:lang w:val="fr-FR"/>
        </w:rPr>
        <w:t xml:space="preserve"> (voir également les commentaires concernant les Règles de procédure relatives au numéro </w:t>
      </w:r>
      <w:r w:rsidRPr="00277E7C">
        <w:rPr>
          <w:rStyle w:val="Artref0"/>
          <w:b/>
          <w:color w:val="000000"/>
          <w:lang w:val="fr-FR"/>
        </w:rPr>
        <w:t>9.3</w:t>
      </w:r>
      <w:r w:rsidRPr="00277E7C">
        <w:rPr>
          <w:color w:val="000000"/>
          <w:lang w:val="fr-FR"/>
        </w:rPr>
        <w:t xml:space="preserve"> et à la Résolution </w:t>
      </w:r>
      <w:r w:rsidRPr="00277E7C">
        <w:rPr>
          <w:b/>
          <w:color w:val="000000"/>
          <w:lang w:val="fr-FR"/>
        </w:rPr>
        <w:t>1</w:t>
      </w:r>
      <w:r w:rsidRPr="00277E7C">
        <w:rPr>
          <w:color w:val="000000"/>
          <w:lang w:val="fr-FR"/>
        </w:rPr>
        <w:t xml:space="preserve"> </w:t>
      </w:r>
      <w:r w:rsidRPr="00277E7C">
        <w:rPr>
          <w:b/>
          <w:color w:val="000000"/>
          <w:lang w:val="fr-FR"/>
        </w:rPr>
        <w:t>(Rév.CMR</w:t>
      </w:r>
      <w:r w:rsidRPr="00277E7C">
        <w:rPr>
          <w:b/>
          <w:color w:val="000000"/>
          <w:lang w:val="fr-FR"/>
        </w:rPr>
        <w:noBreakHyphen/>
        <w:t>97)</w:t>
      </w:r>
      <w:r w:rsidRPr="00277E7C">
        <w:rPr>
          <w:bCs/>
          <w:color w:val="000000"/>
          <w:lang w:val="fr-FR"/>
        </w:rPr>
        <w:t>)</w:t>
      </w:r>
      <w:r w:rsidRPr="00277E7C">
        <w:rPr>
          <w:color w:val="000000"/>
          <w:lang w:val="fr-FR"/>
        </w:rPr>
        <w:t>. La notification d'assignations à des stations spatiales soulève les questions suivantes: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entre le territoire de l'administration notificatrice et la position orbitale d'une station spatiale en cas d'attributions mondiales?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du même type dans le cas d'attributions régionales ou d'attributions à un groupe de pays ou à un pays particulier?</w:t>
      </w:r>
    </w:p>
    <w:p w:rsidR="00667361" w:rsidRPr="00277E7C" w:rsidRDefault="00667361" w:rsidP="00667361">
      <w:pPr>
        <w:rPr>
          <w:color w:val="000000"/>
          <w:lang w:val="fr-FR"/>
        </w:rPr>
      </w:pPr>
      <w:r w:rsidRPr="00277E7C">
        <w:rPr>
          <w:color w:val="000000"/>
          <w:lang w:val="fr-FR"/>
        </w:rPr>
        <w:t>En réponse à ces questions, le Comité est parvenu aux conclusions suivantes:</w:t>
      </w:r>
    </w:p>
    <w:p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rsidR="00667361" w:rsidRPr="00277E7C" w:rsidRDefault="00667361" w:rsidP="00667361">
      <w:pPr>
        <w:pStyle w:val="enumlev1"/>
        <w:rPr>
          <w:color w:val="000000"/>
          <w:lang w:val="fr-FR"/>
        </w:rPr>
      </w:pPr>
      <w:r w:rsidRPr="00277E7C">
        <w:rPr>
          <w:i/>
          <w:color w:val="000000"/>
          <w:lang w:val="fr-FR"/>
        </w:rPr>
        <w:lastRenderedPageBreak/>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rsidR="00667361" w:rsidRPr="00277E7C" w:rsidRDefault="00667361" w:rsidP="00667361">
      <w:pPr>
        <w:pStyle w:val="enumlev1"/>
        <w:rPr>
          <w:color w:val="000000"/>
          <w:lang w:val="fr-FR"/>
        </w:rPr>
      </w:pPr>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r w:rsidRPr="00277E7C">
        <w:rPr>
          <w:color w:val="000000"/>
          <w:lang w:val="fr-FR"/>
        </w:rPr>
        <w:tab/>
        <w:t xml:space="preserve">Une station spatiale a une «zone de couverture» qui recouvre généralement la «zone de service».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r w:rsidRPr="00277E7C">
        <w:rPr>
          <w:i/>
          <w:color w:val="000000"/>
          <w:lang w:val="fr-FR"/>
        </w:rPr>
        <w:t>d'attribution:</w:t>
      </w:r>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r w:rsidRPr="00277E7C">
        <w:rPr>
          <w:i/>
          <w:color w:val="000000"/>
          <w:lang w:val="fr-FR"/>
        </w:rPr>
        <w:t>tropicale:</w:t>
      </w:r>
      <w:r w:rsidR="000E7C11" w:rsidRPr="00277E7C">
        <w:rPr>
          <w:iCs/>
          <w:color w:val="000000"/>
          <w:lang w:val="fr-FR"/>
        </w:rPr>
        <w:t>  </w:t>
      </w:r>
      <w:r w:rsidRPr="00277E7C">
        <w:rPr>
          <w:color w:val="000000"/>
          <w:lang w:val="fr-FR"/>
        </w:rPr>
        <w:t>Les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rsidR="0092605C" w:rsidRDefault="0092605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rsidR="00CB0787" w:rsidRPr="00277E7C" w:rsidRDefault="00CB0787" w:rsidP="000E7C11">
      <w:pPr>
        <w:pStyle w:val="Heading8"/>
        <w:rPr>
          <w:lang w:val="fr-FR"/>
        </w:rPr>
      </w:pPr>
      <w:r w:rsidRPr="00277E7C">
        <w:rPr>
          <w:lang w:val="fr-FR"/>
        </w:rPr>
        <w:lastRenderedPageBreak/>
        <w:t>11.32</w:t>
      </w:r>
    </w:p>
    <w:p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rsidR="00667361" w:rsidRPr="00277E7C" w:rsidRDefault="00667361" w:rsidP="00667361">
      <w:pPr>
        <w:rPr>
          <w:color w:val="000000"/>
          <w:lang w:val="fr-FR"/>
        </w:rPr>
      </w:pPr>
      <w:r w:rsidRPr="00277E7C">
        <w:rPr>
          <w:color w:val="000000"/>
          <w:lang w:val="fr-FR"/>
        </w:rPr>
        <w:t xml:space="preserve">Si l'on appliquait cette disposition à la lettre, il faudrait examiner l'assignation notifiée avec toute station identifiée en application du numéro </w:t>
      </w:r>
      <w:r w:rsidRPr="00277E7C">
        <w:rPr>
          <w:rStyle w:val="Artref0"/>
          <w:b/>
          <w:color w:val="000000"/>
          <w:lang w:val="fr-FR"/>
        </w:rPr>
        <w:t>9.27</w:t>
      </w:r>
      <w:r w:rsidRPr="00277E7C">
        <w:rPr>
          <w:color w:val="000000"/>
          <w:lang w:val="fr-FR"/>
        </w:rPr>
        <w:t>, alors que cet examen, ou une grande partie de cet examen, a été déjà effectué durant l'application de la procédure de coordination. Le Comité a adopté la méthode pratique suivante:</w:t>
      </w:r>
    </w:p>
    <w:p w:rsidR="0092605C" w:rsidRDefault="00667361" w:rsidP="0092605C">
      <w:pPr>
        <w:pStyle w:val="enumlev1"/>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les  caractéristiques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rsidR="00667361" w:rsidRPr="00277E7C" w:rsidRDefault="00667361" w:rsidP="0092605C">
      <w:pPr>
        <w:pStyle w:val="enumlev1"/>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rsidR="00667361" w:rsidRPr="00277E7C" w:rsidRDefault="00667361" w:rsidP="000E7C11">
      <w:pPr>
        <w:pStyle w:val="enumlev1"/>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rsidR="00667361" w:rsidRPr="00277E7C" w:rsidRDefault="00667361" w:rsidP="00667361">
      <w:pPr>
        <w:pStyle w:val="enumlev1"/>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rsidR="00667361" w:rsidRPr="00277E7C" w:rsidRDefault="00667361" w:rsidP="000E7C11">
      <w:pPr>
        <w:pStyle w:val="enumlev1"/>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rsidR="0092605C" w:rsidRDefault="0092605C">
      <w:pPr>
        <w:tabs>
          <w:tab w:val="clear" w:pos="1134"/>
          <w:tab w:val="clear" w:pos="1871"/>
          <w:tab w:val="clear" w:pos="2268"/>
        </w:tabs>
        <w:overflowPunct/>
        <w:autoSpaceDE/>
        <w:autoSpaceDN/>
        <w:adjustRightInd/>
        <w:spacing w:before="0"/>
        <w:jc w:val="left"/>
        <w:textAlignment w:val="auto"/>
        <w:rPr>
          <w:b/>
          <w:color w:val="000000"/>
          <w:sz w:val="28"/>
          <w:lang w:val="fr-FR"/>
        </w:rPr>
      </w:pPr>
      <w:r>
        <w:rPr>
          <w:color w:val="000000"/>
          <w:lang w:val="fr-FR"/>
        </w:rPr>
        <w:br w:type="page"/>
      </w:r>
    </w:p>
    <w:p w:rsidR="00CC1169" w:rsidRPr="00277E7C" w:rsidRDefault="00CC1169" w:rsidP="00CC1169">
      <w:pPr>
        <w:pStyle w:val="Heading1"/>
        <w:rPr>
          <w:color w:val="000000"/>
          <w:lang w:val="fr-FR"/>
        </w:rPr>
      </w:pPr>
      <w:r w:rsidRPr="00277E7C">
        <w:rPr>
          <w:color w:val="000000"/>
          <w:lang w:val="fr-FR"/>
        </w:rPr>
        <w:lastRenderedPageBreak/>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IFIC:</w:t>
      </w:r>
    </w:p>
    <w:p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et</w:t>
      </w:r>
    </w:p>
    <w:p w:rsidR="00CC1169" w:rsidRPr="00277E7C"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rsidR="00CC1169" w:rsidRPr="00277E7C" w:rsidRDefault="00CC1169" w:rsidP="000E7C11">
      <w:pPr>
        <w:pStyle w:val="enumlev1"/>
        <w:rPr>
          <w:color w:val="000000"/>
          <w:lang w:val="fr-FR"/>
        </w:rPr>
      </w:pPr>
      <w:r w:rsidRPr="00277E7C">
        <w:rPr>
          <w:i/>
          <w:color w:val="000000"/>
          <w:lang w:val="fr-FR"/>
        </w:rPr>
        <w:lastRenderedPageBreak/>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A5/A6 (voir le</w:t>
      </w:r>
      <w:r w:rsidR="000E7C11" w:rsidRPr="00277E7C">
        <w:rPr>
          <w:lang w:val="fr-FR"/>
        </w:rPr>
        <w:t> </w:t>
      </w:r>
      <w:r w:rsidRPr="00277E7C">
        <w:rPr>
          <w:i/>
          <w:lang w:val="fr-FR"/>
        </w:rPr>
        <w:t>a)</w:t>
      </w:r>
      <w:r w:rsidRPr="00277E7C">
        <w:rPr>
          <w:lang w:val="fr-FR"/>
        </w:rPr>
        <w:t xml:space="preserve"> ci-dessus).</w:t>
      </w:r>
    </w:p>
    <w:p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le </w:t>
      </w:r>
      <w:r w:rsidRPr="00277E7C">
        <w:rPr>
          <w:rFonts w:ascii="TimesNewRoman" w:eastAsia="SimSun" w:hAnsi="TimesNewRoman" w:cs="TimesNewRoman"/>
          <w:i/>
          <w:iCs/>
          <w:szCs w:val="24"/>
          <w:lang w:val="fr-FR" w:eastAsia="zh-CN"/>
        </w:rPr>
        <w:t>a)</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du  numéro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rsidR="00CC1169" w:rsidRPr="00277E7C" w:rsidRDefault="00CC1169" w:rsidP="00CC1169">
      <w:pPr>
        <w:rPr>
          <w:color w:val="000000"/>
          <w:lang w:val="fr-FR"/>
        </w:rPr>
      </w:pPr>
      <w:r w:rsidRPr="00277E7C">
        <w:rPr>
          <w:color w:val="000000"/>
          <w:lang w:val="fr-FR"/>
        </w:rPr>
        <w:t>Cette catégorie peut comprendre les cas suivants:</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rsidR="00CC1169" w:rsidRPr="00277E7C" w:rsidRDefault="00CC1169" w:rsidP="00CC1169">
      <w:pPr>
        <w:pStyle w:val="enumlev1"/>
        <w:rPr>
          <w:color w:val="000000"/>
          <w:lang w:val="fr-FR"/>
        </w:rPr>
      </w:pPr>
      <w:r w:rsidRPr="00277E7C">
        <w:rPr>
          <w:i/>
          <w:color w:val="000000"/>
          <w:lang w:val="fr-FR"/>
        </w:rPr>
        <w:lastRenderedPageBreak/>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r w:rsidRPr="00277E7C">
        <w:rPr>
          <w:color w:val="000000"/>
          <w:lang w:val="fr-FR"/>
        </w:rPr>
        <w:t>);</w:t>
      </w:r>
    </w:p>
    <w:p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r w:rsidRPr="00277E7C">
        <w:rPr>
          <w:i/>
          <w:lang w:val="fr-FR"/>
        </w:rPr>
        <w:t>a)</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rsidR="00CC1169" w:rsidRPr="00277E7C" w:rsidRDefault="00CC1169" w:rsidP="00CC1169">
      <w:pPr>
        <w:rPr>
          <w:color w:val="000000"/>
          <w:lang w:val="fr-FR"/>
        </w:rPr>
      </w:pPr>
      <w:r w:rsidRPr="00277E7C">
        <w:rPr>
          <w:color w:val="000000"/>
          <w:lang w:val="fr-FR"/>
        </w:rPr>
        <w:t>La modification d'une assignation à une station terrienne peut concerner:</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la position orbitale de la station spatiale associée, ou</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le remplacement de la station spatiale associée par une autre station, ou</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CC1169" w:rsidRPr="00277E7C" w:rsidRDefault="00CC1169" w:rsidP="00CC1169">
      <w:pPr>
        <w:pStyle w:val="Heading3"/>
        <w:rPr>
          <w:color w:val="000000"/>
          <w:lang w:val="fr-FR"/>
        </w:rPr>
      </w:pPr>
      <w:r w:rsidRPr="00277E7C">
        <w:rPr>
          <w:color w:val="000000"/>
          <w:lang w:val="fr-FR"/>
        </w:rPr>
        <w:lastRenderedPageBreak/>
        <w:t>2.2.1</w:t>
      </w:r>
      <w:r w:rsidRPr="00277E7C">
        <w:rPr>
          <w:color w:val="000000"/>
          <w:lang w:val="fr-FR"/>
        </w:rPr>
        <w:tab/>
        <w:t>Modification de la position orbitale de la station spatiale associée</w:t>
      </w:r>
    </w:p>
    <w:p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rsidR="00CC1169" w:rsidRPr="00277E7C" w:rsidRDefault="00CC1169" w:rsidP="000E7C11">
      <w:pPr>
        <w:pStyle w:val="Heading1"/>
        <w:spacing w:before="520"/>
        <w:rPr>
          <w:lang w:val="fr-FR"/>
        </w:rPr>
      </w:pPr>
      <w:r w:rsidRPr="00277E7C">
        <w:rPr>
          <w:lang w:val="fr-FR"/>
        </w:rPr>
        <w:lastRenderedPageBreak/>
        <w:t>4</w:t>
      </w:r>
      <w:r w:rsidRPr="00277E7C">
        <w:rPr>
          <w:lang w:val="fr-FR"/>
        </w:rPr>
        <w:tab/>
        <w:t>Examen des fiches de notification d'assignation de fréquence à des stations des services de Terre dans les bandes partagées avec égalité des droits avec des services spatiaux</w:t>
      </w:r>
    </w:p>
    <w:p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rsidR="00CC1169" w:rsidRPr="00277E7C" w:rsidRDefault="00CC1169" w:rsidP="00D20D54">
      <w:pPr>
        <w:rPr>
          <w:lang w:val="fr-FR"/>
        </w:rPr>
      </w:pPr>
      <w:r w:rsidRPr="00277E7C">
        <w:rPr>
          <w:lang w:val="fr-FR"/>
        </w:rPr>
        <w:t>Si, dans un délai de trois ans à compter de la date de notification</w:t>
      </w:r>
      <w:r w:rsidRPr="00277E7C">
        <w:rPr>
          <w:rStyle w:val="FootnoteReference"/>
          <w:color w:val="000000"/>
          <w:sz w:val="20"/>
          <w:lang w:val="fr-FR"/>
        </w:rPr>
        <w:footnoteReference w:customMarkFollows="1" w:id="9"/>
        <w:t>9</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rsidR="000E7C11" w:rsidRPr="00277E7C" w:rsidRDefault="00CC1169" w:rsidP="00E358BE">
      <w:pPr>
        <w:rPr>
          <w:sz w:val="12"/>
          <w:szCs w:val="12"/>
          <w:lang w:val="fr-FR"/>
        </w:rPr>
      </w:pPr>
      <w:r w:rsidRPr="00277E7C">
        <w:rPr>
          <w:lang w:val="fr-FR"/>
        </w:rPr>
        <w:t>Si, dans un délai de trois ans à compter de la date de notification</w:t>
      </w:r>
      <w:r w:rsidRPr="00277E7C">
        <w:rPr>
          <w:position w:val="6"/>
          <w:sz w:val="20"/>
          <w:lang w:val="fr-FR"/>
        </w:rPr>
        <w:t>9</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rsidR="00CC1169" w:rsidRPr="00277E7C" w:rsidRDefault="00CC1169" w:rsidP="00430025">
      <w:pPr>
        <w:pStyle w:val="Heading1"/>
        <w:spacing w:before="0"/>
        <w:rPr>
          <w:lang w:val="fr-FR"/>
        </w:rPr>
      </w:pPr>
      <w:r w:rsidRPr="00277E7C">
        <w:rPr>
          <w:lang w:val="fr-FR"/>
        </w:rPr>
        <w:lastRenderedPageBreak/>
        <w:t>6</w:t>
      </w:r>
      <w:r w:rsidRPr="00277E7C">
        <w:rPr>
          <w:lang w:val="fr-FR"/>
        </w:rPr>
        <w:tab/>
        <w:t>Examen des assignations de fréquence à une liaison inter-satellites entre une station spatiale géostationnaire et une station spatiale non géostationnaire</w:t>
      </w:r>
    </w:p>
    <w:p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s'applique:</w:t>
      </w:r>
    </w:p>
    <w:p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r w:rsidR="000E7C11" w:rsidRPr="00277E7C">
        <w:rPr>
          <w:lang w:val="fr-FR"/>
        </w:rPr>
        <w:t> </w:t>
      </w:r>
      <w:r w:rsidRPr="00277E7C">
        <w:rPr>
          <w:lang w:val="fr-FR"/>
        </w:rPr>
        <w:t>ou</w:t>
      </w:r>
    </w:p>
    <w:p w:rsidR="00CC1169" w:rsidRPr="00277E7C" w:rsidRDefault="00CC1169" w:rsidP="00B17B6F">
      <w:pPr>
        <w:pStyle w:val="enumlev1"/>
        <w:spacing w:before="0"/>
        <w:rPr>
          <w:lang w:val="fr-FR"/>
        </w:rPr>
      </w:pPr>
      <w:r w:rsidRPr="00277E7C">
        <w:rPr>
          <w:i/>
          <w:iCs/>
          <w:lang w:val="fr-FR"/>
        </w:rPr>
        <w:t>b)</w:t>
      </w:r>
      <w:r w:rsidRPr="00277E7C">
        <w:rPr>
          <w:lang w:val="fr-FR"/>
        </w:rPr>
        <w:tab/>
        <w:t>uniquement à la station OSG de la liaison inter-satellites, l'autre extrémité de la liaison n'étant pas coordonnée; ou</w:t>
      </w:r>
    </w:p>
    <w:p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rsidR="00CC1169" w:rsidRPr="00277E7C" w:rsidRDefault="00CC1169" w:rsidP="00B17B6F">
      <w:pPr>
        <w:spacing w:before="80"/>
        <w:rPr>
          <w:lang w:val="fr-FR"/>
        </w:rPr>
      </w:pPr>
      <w:r w:rsidRPr="00277E7C">
        <w:rPr>
          <w:lang w:val="fr-FR"/>
        </w:rPr>
        <w:t>6.2</w:t>
      </w:r>
      <w:r w:rsidRPr="00277E7C">
        <w:rPr>
          <w:lang w:val="fr-FR"/>
        </w:rPr>
        <w:tab/>
        <w:t>Cela étant, le Comité a décidé que jusqu'à ce qu'une CMR apporte des précisions sur cette question, les assignations des liaisons inter-satellites entre stations spatiales OSG et non OSG doivent être traitées de la façon suivante:</w:t>
      </w:r>
    </w:p>
    <w:p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 «K» doit être inscrit dans la Colonne 13B2, accompagné du texte suivant:</w:t>
      </w:r>
    </w:p>
    <w:p w:rsidR="00CC1169" w:rsidRPr="00277E7C" w:rsidRDefault="00CC1169" w:rsidP="00B17B6F">
      <w:pPr>
        <w:spacing w:before="0"/>
        <w:rPr>
          <w:color w:val="000000"/>
          <w:lang w:val="fr-FR"/>
        </w:rPr>
      </w:pPr>
      <w:r w:rsidRPr="00277E7C">
        <w:rPr>
          <w:color w:val="000000"/>
          <w:lang w:val="fr-FR"/>
        </w:rPr>
        <w:t>«K»:</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rsidR="00B17B6F" w:rsidRPr="00B17B6F" w:rsidRDefault="00B17B6F" w:rsidP="00B17B6F">
      <w:pPr>
        <w:spacing w:before="80"/>
        <w:rPr>
          <w:color w:val="000000"/>
          <w:lang w:val="fr-FR"/>
        </w:rPr>
      </w:pPr>
      <w:r w:rsidRPr="00B17B6F">
        <w:rPr>
          <w:b/>
          <w:bCs/>
          <w:color w:val="000000"/>
          <w:lang w:val="fr-FR"/>
        </w:rPr>
        <w:lastRenderedPageBreak/>
        <w:t>Note</w:t>
      </w:r>
      <w:r w:rsidRPr="00B17B6F">
        <w:rPr>
          <w:color w:val="000000"/>
          <w:lang w:val="fr-FR"/>
        </w:rPr>
        <w:t>: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4(Add.2)(Rév.1):</w:t>
      </w:r>
    </w:p>
    <w:p w:rsidR="00B17B6F" w:rsidRPr="00B17B6F" w:rsidRDefault="00B17B6F" w:rsidP="00B17B6F">
      <w:pPr>
        <w:spacing w:before="80" w:line="260" w:lineRule="exact"/>
        <w:rPr>
          <w:i/>
          <w:iCs/>
          <w:color w:val="000000"/>
          <w:spacing w:val="-4"/>
          <w:lang w:val="fr-FR"/>
        </w:rPr>
      </w:pPr>
      <w:r w:rsidRPr="00B17B6F">
        <w:rPr>
          <w:i/>
          <w:iCs/>
          <w:color w:val="000000"/>
          <w:spacing w:val="-4"/>
          <w:lang w:val="fr-FR"/>
        </w:rPr>
        <w:t xml:space="preserve">«Etant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suivante:</w:t>
      </w:r>
    </w:p>
    <w:p w:rsidR="00B17B6F" w:rsidRPr="00B17B6F" w:rsidRDefault="00B17B6F" w:rsidP="00B17B6F">
      <w:pPr>
        <w:pStyle w:val="enumlev2"/>
        <w:spacing w:before="40"/>
        <w:rPr>
          <w:i/>
          <w:iCs/>
          <w:lang w:val="fr-FR"/>
        </w:rPr>
      </w:pPr>
      <w:r w:rsidRPr="00B17B6F">
        <w:rPr>
          <w:i/>
          <w:iCs/>
          <w:lang w:val="fr-FR"/>
        </w:rPr>
        <w:t>i)</w:t>
      </w:r>
      <w:r w:rsidRPr="00B17B6F">
        <w:rPr>
          <w:i/>
          <w:iCs/>
          <w:lang w:val="fr-FR"/>
        </w:rPr>
        <w:tab/>
        <w:t>si la procédure de demande de renseignements est achevée avant la réunion hebdomadaire du Bureau sur l'approbation, le statut de la coordination établi sur la base des résultats de la demande de renseignements sera pris en compte lors de la formulation des conclusions;</w:t>
      </w:r>
    </w:p>
    <w:p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
    <w:p w:rsidR="00CB0787" w:rsidRPr="00277E7C" w:rsidRDefault="00CB0787" w:rsidP="00B17B6F">
      <w:pPr>
        <w:pStyle w:val="Heading8"/>
        <w:spacing w:before="240"/>
        <w:rPr>
          <w:color w:val="000000"/>
          <w:lang w:val="fr-FR"/>
        </w:rPr>
      </w:pPr>
      <w:r w:rsidRPr="00277E7C">
        <w:rPr>
          <w:color w:val="000000"/>
          <w:lang w:val="fr-FR"/>
        </w:rPr>
        <w:t>11.32A</w:t>
      </w:r>
    </w:p>
    <w:p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rsidR="00CB0787" w:rsidRPr="00277E7C" w:rsidRDefault="00CB0787" w:rsidP="00B17B6F">
      <w:pPr>
        <w:pStyle w:val="Heading8"/>
        <w:spacing w:before="240"/>
        <w:rPr>
          <w:color w:val="000000"/>
          <w:lang w:val="fr-FR"/>
        </w:rPr>
      </w:pPr>
      <w:r w:rsidRPr="00277E7C">
        <w:rPr>
          <w:color w:val="000000"/>
          <w:lang w:val="fr-FR"/>
        </w:rPr>
        <w:t>11.34</w:t>
      </w:r>
    </w:p>
    <w:p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le Comité a pris en considération les éléments suivants:</w:t>
      </w:r>
    </w:p>
    <w:p w:rsidR="00CB0787" w:rsidRPr="00277E7C" w:rsidRDefault="00CB0787" w:rsidP="00B17B6F">
      <w:pPr>
        <w:spacing w:before="80"/>
        <w:rPr>
          <w:lang w:val="fr-FR"/>
        </w:rPr>
      </w:pPr>
      <w:r w:rsidRPr="00277E7C">
        <w:rPr>
          <w:lang w:val="fr-FR"/>
        </w:rPr>
        <w:t>1.1.1</w:t>
      </w:r>
      <w:r w:rsidRPr="00277E7C">
        <w:rPr>
          <w:lang w:val="fr-FR"/>
        </w:rPr>
        <w:tab/>
        <w:t>Le Plan «initial»,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CB0787" w:rsidRPr="00277E7C" w:rsidRDefault="00CB0787" w:rsidP="00B17B6F">
      <w:pPr>
        <w:spacing w:before="80"/>
        <w:rPr>
          <w:lang w:val="fr-FR"/>
        </w:rPr>
      </w:pPr>
      <w:r w:rsidRPr="00277E7C">
        <w:rPr>
          <w:lang w:val="fr-FR"/>
        </w:rPr>
        <w:lastRenderedPageBreak/>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(Mob-87)</w:t>
      </w:r>
      <w:r w:rsidR="00EE1889" w:rsidRPr="00EE1889">
        <w:rPr>
          <w:bCs/>
          <w:lang w:val="fr-FR"/>
        </w:rPr>
        <w:t>*</w:t>
      </w:r>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0"/>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Etant donné ce qui précède, le Comité a décidé d'adopter les règles suivantes en ce  qui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CB0787" w:rsidRPr="00277E7C" w:rsidRDefault="00CB0787" w:rsidP="00D72F29">
      <w:pPr>
        <w:spacing w:before="80"/>
        <w:rPr>
          <w:color w:val="000000"/>
          <w:lang w:val="fr-FR"/>
        </w:rPr>
      </w:pPr>
      <w:r w:rsidRPr="00277E7C">
        <w:rPr>
          <w:color w:val="000000"/>
          <w:lang w:val="fr-FR"/>
        </w:rPr>
        <w:lastRenderedPageBreak/>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1"/>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rsidR="00CB0787" w:rsidRPr="00277E7C" w:rsidRDefault="00CB0787" w:rsidP="00E51D95">
      <w:pPr>
        <w:spacing w:before="80"/>
        <w:rPr>
          <w:lang w:val="fr-FR"/>
        </w:rPr>
      </w:pPr>
      <w:r w:rsidRPr="00277E7C">
        <w:rPr>
          <w:lang w:val="fr-FR"/>
        </w:rPr>
        <w:t>2.1</w:t>
      </w:r>
      <w:r w:rsidRPr="00277E7C">
        <w:rPr>
          <w:lang w:val="fr-FR"/>
        </w:rPr>
        <w:tab/>
        <w:t>Le Bureau prend les mesures suivantes lorsqu'il ressort de l'examen d'une fiche de notification que celle-ci n'est pas conforme à un Plan annexé à l'Accord régional:</w:t>
      </w:r>
    </w:p>
    <w:p w:rsidR="00CB0787" w:rsidRPr="00277E7C" w:rsidRDefault="00CB0787" w:rsidP="00E51D95">
      <w:pPr>
        <w:spacing w:before="80"/>
        <w:rPr>
          <w:lang w:val="fr-FR"/>
        </w:rPr>
      </w:pPr>
      <w:r w:rsidRPr="00277E7C">
        <w:rPr>
          <w:lang w:val="fr-FR"/>
        </w:rPr>
        <w:t>2.1.1</w:t>
      </w:r>
      <w:r w:rsidRPr="00277E7C">
        <w:rPr>
          <w:lang w:val="fr-FR"/>
        </w:rPr>
        <w:tab/>
        <w:t>Les assignations de fréquence dans les bandes régies par les Accords régionaux cités explicitement dans le Tableau d'attribution des bandes de fréquences sont traitées de la manière suivante:</w:t>
      </w:r>
    </w:p>
    <w:p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notificatrice;</w:t>
      </w:r>
    </w:p>
    <w:p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rsidR="00CB0787" w:rsidRPr="00277E7C" w:rsidRDefault="00CB0787" w:rsidP="008C6AA9">
      <w:pPr>
        <w:spacing w:before="160"/>
        <w:rPr>
          <w:lang w:val="fr-FR"/>
        </w:rPr>
      </w:pPr>
      <w:r w:rsidRPr="00277E7C">
        <w:rPr>
          <w:lang w:val="fr-FR"/>
        </w:rPr>
        <w:t>2.2</w:t>
      </w:r>
      <w:r w:rsidRPr="00277E7C">
        <w:rPr>
          <w:lang w:val="fr-FR"/>
        </w:rPr>
        <w:tab/>
        <w:t>Les assignations de fréquence dans les bandes régies par les Accords régionaux qui ne sont pas cités explicitement dans le Tableau d'attribution des bandes de fréquences sont traitées de la manière suivante:</w:t>
      </w:r>
    </w:p>
    <w:p w:rsidR="00CB0787" w:rsidRPr="00277E7C" w:rsidRDefault="00003A85" w:rsidP="008C6AA9">
      <w:pPr>
        <w:spacing w:before="160"/>
        <w:rPr>
          <w:lang w:val="fr-FR"/>
        </w:rPr>
      </w:pPr>
      <w:r w:rsidRPr="00277E7C">
        <w:rPr>
          <w:lang w:val="fr-FR"/>
        </w:rPr>
        <w:t>2.2.1</w:t>
      </w:r>
      <w:r w:rsidRPr="00277E7C">
        <w:rPr>
          <w:lang w:val="fr-FR"/>
        </w:rPr>
        <w:tab/>
        <w:t>En ce qui concerne les Accords qui prévoient la possibilité de mettre en service les assignations qui ne sont pas conformes au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CB0787" w:rsidRPr="00277E7C" w:rsidRDefault="00CB0787" w:rsidP="008C6AA9">
      <w:pPr>
        <w:spacing w:before="160"/>
        <w:rPr>
          <w:lang w:val="fr-FR"/>
        </w:rPr>
      </w:pPr>
      <w:r w:rsidRPr="00277E7C">
        <w:rPr>
          <w:lang w:val="fr-FR"/>
        </w:rPr>
        <w:lastRenderedPageBreak/>
        <w:t>2.2.2</w:t>
      </w:r>
      <w:r w:rsidRPr="00277E7C">
        <w:rPr>
          <w:lang w:val="fr-FR"/>
        </w:rPr>
        <w:tab/>
        <w:t>En ce qui concerne les Accords qui ne contiennent aucune indication sur la mise en service des assignations non conformes au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rsidR="00CB0787" w:rsidRPr="00277E7C" w:rsidRDefault="00CB0787" w:rsidP="00975364">
      <w:pPr>
        <w:pStyle w:val="Heading8"/>
        <w:rPr>
          <w:color w:val="000000"/>
          <w:lang w:val="fr-FR"/>
        </w:rPr>
      </w:pPr>
      <w:r w:rsidRPr="00277E7C">
        <w:rPr>
          <w:color w:val="000000"/>
          <w:lang w:val="fr-FR"/>
        </w:rPr>
        <w:t>11.36</w:t>
      </w:r>
    </w:p>
    <w:p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rsidR="00CB0787" w:rsidRPr="00277E7C" w:rsidRDefault="00CB0787" w:rsidP="00975364">
      <w:pPr>
        <w:pStyle w:val="Heading8"/>
        <w:rPr>
          <w:color w:val="000000"/>
          <w:lang w:val="fr-FR"/>
        </w:rPr>
      </w:pPr>
      <w:r w:rsidRPr="00277E7C">
        <w:rPr>
          <w:color w:val="000000"/>
          <w:lang w:val="fr-FR"/>
        </w:rPr>
        <w:t>11.37</w:t>
      </w:r>
    </w:p>
    <w:p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la coordination prescrites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rsidR="002641D0" w:rsidRDefault="002641D0">
      <w:pPr>
        <w:tabs>
          <w:tab w:val="clear" w:pos="1134"/>
          <w:tab w:val="clear" w:pos="1871"/>
          <w:tab w:val="clear" w:pos="2268"/>
        </w:tabs>
        <w:overflowPunct/>
        <w:autoSpaceDE/>
        <w:autoSpaceDN/>
        <w:adjustRightInd/>
        <w:spacing w:before="0"/>
        <w:jc w:val="left"/>
        <w:textAlignment w:val="auto"/>
        <w:rPr>
          <w:b/>
          <w:color w:val="000000"/>
          <w:lang w:val="fr-CH"/>
        </w:rPr>
      </w:pPr>
      <w:r>
        <w:rPr>
          <w:b/>
          <w:color w:val="000000"/>
          <w:lang w:val="fr-CH"/>
        </w:rPr>
        <w:br w:type="page"/>
      </w:r>
    </w:p>
    <w:p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lastRenderedPageBreak/>
        <w:t xml:space="preserve">11.41 </w:t>
      </w:r>
      <w:r w:rsidR="006E085F">
        <w:rPr>
          <w:b/>
          <w:lang w:val="fr-CH"/>
        </w:rPr>
        <w:t>et</w:t>
      </w:r>
      <w:r w:rsidRPr="006034D4">
        <w:rPr>
          <w:b/>
          <w:lang w:val="fr-CH"/>
        </w:rPr>
        <w:t xml:space="preserve"> 11.41.2</w:t>
      </w:r>
    </w:p>
    <w:p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rsidR="00CB0787" w:rsidRPr="00277E7C" w:rsidRDefault="00CB0787" w:rsidP="00804A35">
      <w:pPr>
        <w:pStyle w:val="Heading8"/>
        <w:spacing w:before="80" w:line="260" w:lineRule="exact"/>
        <w:rPr>
          <w:color w:val="000000"/>
          <w:lang w:val="fr-FR"/>
        </w:rPr>
      </w:pPr>
      <w:r w:rsidRPr="00277E7C">
        <w:rPr>
          <w:color w:val="000000"/>
          <w:lang w:val="fr-FR"/>
        </w:rPr>
        <w:t>11.43A</w:t>
      </w:r>
    </w:p>
    <w:p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Les caractéristiques d'un réseau spatial peuvent être modifiées au cours de la procédure de coordination;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3),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p>
    <w:p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En ce qui concerne les procédures applicables aux cas de modifications d'assi</w:t>
      </w:r>
      <w:r w:rsidR="00975364" w:rsidRPr="008C6AA9">
        <w:rPr>
          <w:color w:val="000000"/>
          <w:spacing w:val="-4"/>
          <w:lang w:val="fr-FR"/>
        </w:rPr>
        <w:softHyphen/>
      </w:r>
      <w:r w:rsidRPr="008C6AA9">
        <w:rPr>
          <w:color w:val="000000"/>
          <w:spacing w:val="-4"/>
          <w:lang w:val="fr-FR"/>
        </w:rPr>
        <w:t>gnations à des réseaux à satellite inscrites dans le Fichier de référence, la CAMR</w:t>
      </w:r>
      <w:r w:rsidR="00975364" w:rsidRPr="008C6AA9">
        <w:rPr>
          <w:color w:val="000000"/>
          <w:spacing w:val="-4"/>
          <w:lang w:val="fr-FR"/>
        </w:rPr>
        <w:t xml:space="preserve"> </w:t>
      </w:r>
      <w:r w:rsidRPr="008C6AA9">
        <w:rPr>
          <w:color w:val="000000"/>
          <w:spacing w:val="-4"/>
          <w:lang w:val="fr-FR"/>
        </w:rPr>
        <w:t>Orb</w:t>
      </w:r>
      <w:r w:rsidRPr="008C6AA9">
        <w:rPr>
          <w:color w:val="000000"/>
          <w:spacing w:val="-4"/>
          <w:lang w:val="fr-FR"/>
        </w:rPr>
        <w:noBreakHyphen/>
        <w:t>88 a</w:t>
      </w:r>
      <w:r w:rsidR="008C6AA9" w:rsidRPr="008C6AA9">
        <w:rPr>
          <w:color w:val="000000"/>
          <w:spacing w:val="-4"/>
          <w:lang w:val="fr-FR"/>
        </w:rPr>
        <w:t xml:space="preserve"> </w:t>
      </w:r>
      <w:r w:rsidRPr="008C6AA9">
        <w:rPr>
          <w:color w:val="000000"/>
          <w:spacing w:val="-4"/>
          <w:lang w:val="fr-FR"/>
        </w:rPr>
        <w:t>décidé que, dans le cas de réseaux à satellite géostationnaire, une modification des caracté</w:t>
      </w:r>
      <w:r w:rsidRPr="008C6AA9">
        <w:rPr>
          <w:color w:val="000000"/>
          <w:spacing w:val="-4"/>
          <w:lang w:val="fr-FR"/>
        </w:rPr>
        <w:softHyphen/>
        <w:t xml:space="preserve">ristiques fondamentales d'une assignation faite en application du numéro </w:t>
      </w:r>
      <w:r w:rsidRPr="008C6AA9">
        <w:rPr>
          <w:rStyle w:val="Artref0"/>
          <w:b/>
          <w:color w:val="000000"/>
          <w:spacing w:val="-4"/>
          <w:lang w:val="fr-FR"/>
        </w:rPr>
        <w:t>11.43A</w:t>
      </w:r>
      <w:r w:rsidRPr="008C6AA9">
        <w:rPr>
          <w:color w:val="000000"/>
          <w:spacing w:val="-4"/>
          <w:lang w:val="fr-FR"/>
        </w:rPr>
        <w:t xml:space="preserve"> (ancien numéro </w:t>
      </w:r>
      <w:r w:rsidRPr="008C6AA9">
        <w:rPr>
          <w:rStyle w:val="Artref0"/>
          <w:b/>
          <w:color w:val="000000"/>
          <w:spacing w:val="-4"/>
          <w:lang w:val="fr-FR"/>
        </w:rPr>
        <w:t>1548</w:t>
      </w:r>
      <w:r w:rsidRPr="008C6AA9">
        <w:rPr>
          <w:b/>
          <w:color w:val="000000"/>
          <w:spacing w:val="-4"/>
          <w:lang w:val="fr-FR"/>
        </w:rPr>
        <w:t xml:space="preserve"> </w:t>
      </w:r>
      <w:r w:rsidRPr="008C6AA9">
        <w:rPr>
          <w:color w:val="000000"/>
          <w:spacing w:val="-4"/>
          <w:lang w:val="fr-FR"/>
        </w:rPr>
        <w:t>du RR) ne devrait être soumise qu'à la procédure de coordination (Section II de l'Article </w:t>
      </w:r>
      <w:r w:rsidRPr="008C6AA9">
        <w:rPr>
          <w:rStyle w:val="Artref0"/>
          <w:b/>
          <w:color w:val="000000"/>
          <w:spacing w:val="-4"/>
          <w:lang w:val="fr-FR"/>
        </w:rPr>
        <w:t>9</w:t>
      </w:r>
      <w:r w:rsidRPr="008C6AA9">
        <w:rPr>
          <w:color w:val="000000"/>
          <w:spacing w:val="-4"/>
          <w:lang w:val="fr-FR"/>
        </w:rPr>
        <w:t xml:space="preserve">). 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rsidR="00CB0787" w:rsidRPr="008C6AA9" w:rsidRDefault="00CB0787" w:rsidP="00804A35">
      <w:pPr>
        <w:spacing w:before="40" w:line="260" w:lineRule="exact"/>
        <w:rPr>
          <w:color w:val="000000"/>
          <w:spacing w:val="-4"/>
          <w:lang w:val="fr-FR"/>
        </w:rPr>
      </w:pPr>
      <w:r w:rsidRPr="008C6AA9">
        <w:rPr>
          <w:color w:val="000000"/>
          <w:spacing w:val="-4"/>
          <w:lang w:val="fr-FR"/>
        </w:rPr>
        <w:t xml:space="preserve">L'examen prévu au numéro </w:t>
      </w:r>
      <w:r w:rsidRPr="008C6AA9">
        <w:rPr>
          <w:rStyle w:val="Artref0"/>
          <w:b/>
          <w:color w:val="000000"/>
          <w:spacing w:val="-4"/>
          <w:lang w:val="fr-FR"/>
        </w:rPr>
        <w:t>11.43A</w:t>
      </w:r>
      <w:r w:rsidRPr="008C6AA9">
        <w:rPr>
          <w:color w:val="000000"/>
          <w:spacing w:val="-4"/>
          <w:lang w:val="fr-FR"/>
        </w:rPr>
        <w:t xml:space="preserve"> vise à déterminer si l'obligation de coordination reste inchangée ou, le cas échéant, si la probabilité de brouillage préjudiciable n'a pas été aug</w:t>
      </w:r>
      <w:r w:rsidRPr="008C6AA9">
        <w:rPr>
          <w:color w:val="000000"/>
          <w:spacing w:val="-4"/>
          <w:lang w:val="fr-FR"/>
        </w:rPr>
        <w:softHyphen/>
        <w:t xml:space="preserve">mentée (voir également les Règles de procédure relatives aux numéros </w:t>
      </w:r>
      <w:r w:rsidRPr="008C6AA9">
        <w:rPr>
          <w:rStyle w:val="Artref0"/>
          <w:b/>
          <w:color w:val="000000"/>
          <w:spacing w:val="-4"/>
          <w:lang w:val="fr-FR"/>
        </w:rPr>
        <w:t>11.28</w:t>
      </w:r>
      <w:r w:rsidRPr="008C6AA9">
        <w:rPr>
          <w:color w:val="000000"/>
          <w:spacing w:val="-4"/>
          <w:lang w:val="fr-FR"/>
        </w:rPr>
        <w:t xml:space="preserve"> et </w:t>
      </w:r>
      <w:r w:rsidRPr="008C6AA9">
        <w:rPr>
          <w:rStyle w:val="Artref0"/>
          <w:b/>
          <w:color w:val="000000"/>
          <w:spacing w:val="-4"/>
          <w:lang w:val="fr-FR"/>
        </w:rPr>
        <w:t>11.32</w:t>
      </w:r>
      <w:r w:rsidRPr="008C6AA9">
        <w:rPr>
          <w:color w:val="000000"/>
          <w:spacing w:val="-4"/>
          <w:lang w:val="fr-FR"/>
        </w:rPr>
        <w:t xml:space="preserve">). En pareils cas, on applique les dispositions du numéro </w:t>
      </w:r>
      <w:r w:rsidRPr="008C6AA9">
        <w:rPr>
          <w:rStyle w:val="Artref0"/>
          <w:b/>
          <w:color w:val="000000"/>
          <w:spacing w:val="-4"/>
          <w:lang w:val="fr-FR"/>
        </w:rPr>
        <w:t>11.43B</w:t>
      </w:r>
      <w:r w:rsidRPr="008C6AA9">
        <w:rPr>
          <w:color w:val="000000"/>
          <w:spacing w:val="-4"/>
          <w:lang w:val="fr-FR"/>
        </w:rPr>
        <w:t xml:space="preserve">, afin que le statut (Conclusions) et la date de réception de l'assignation restent inchangés. Si, en raison des modifications, la comparaison entre les niveaux de brouillage (par exemple </w:t>
      </w:r>
      <w:r w:rsidRPr="008C6AA9">
        <w:rPr>
          <w:rFonts w:ascii="Symbol" w:hAnsi="Symbol"/>
          <w:color w:val="000000"/>
          <w:spacing w:val="-4"/>
          <w:lang w:val="fr-FR"/>
        </w:rPr>
        <w:sym w:font="Symbol" w:char="F044"/>
      </w:r>
      <w:r w:rsidRPr="008C6AA9">
        <w:rPr>
          <w:i/>
          <w:color w:val="000000"/>
          <w:spacing w:val="-4"/>
          <w:lang w:val="fr-FR"/>
        </w:rPr>
        <w:t>T</w:t>
      </w:r>
      <w:r w:rsidRPr="008C6AA9">
        <w:rPr>
          <w:color w:val="000000"/>
          <w:spacing w:val="-4"/>
          <w:lang w:val="fr-FR"/>
        </w:rPr>
        <w:t>/</w:t>
      </w:r>
      <w:r w:rsidRPr="008C6AA9">
        <w:rPr>
          <w:i/>
          <w:color w:val="000000"/>
          <w:spacing w:val="-4"/>
          <w:lang w:val="fr-FR"/>
        </w:rPr>
        <w:t>T</w:t>
      </w:r>
      <w:r w:rsidR="00975364" w:rsidRPr="008C6AA9">
        <w:rPr>
          <w:rFonts w:ascii="Tms Rmn" w:hAnsi="Tms Rmn"/>
          <w:iCs/>
          <w:color w:val="000000"/>
          <w:spacing w:val="-4"/>
          <w:sz w:val="12"/>
          <w:lang w:val="fr-FR"/>
        </w:rPr>
        <w:t> </w:t>
      </w:r>
      <w:r w:rsidRPr="008C6AA9">
        <w:rPr>
          <w:color w:val="000000"/>
          <w:spacing w:val="-4"/>
          <w:lang w:val="fr-FR"/>
        </w:rPr>
        <w:t>) résultant de l'examen des caractéristiques initiales et de celui des caractéristiques modifiées fait apparaître la nécessité d'une nouvelle coordination, une conclusion défavorable est formulée et la fiche de notifi</w:t>
      </w:r>
      <w:r w:rsidR="00B04273" w:rsidRPr="008C6AA9">
        <w:rPr>
          <w:color w:val="000000"/>
          <w:spacing w:val="-4"/>
          <w:lang w:val="fr-FR"/>
        </w:rPr>
        <w:softHyphen/>
      </w:r>
      <w:r w:rsidRPr="008C6AA9">
        <w:rPr>
          <w:color w:val="000000"/>
          <w:spacing w:val="-4"/>
          <w:lang w:val="fr-FR"/>
        </w:rPr>
        <w:t xml:space="preserve">cation est retournée à l'administration notificatrice. Celle-ci sera alors invitée à appliquer la Section II de l'Article </w:t>
      </w:r>
      <w:r w:rsidRPr="008C6AA9">
        <w:rPr>
          <w:rStyle w:val="Artref0"/>
          <w:b/>
          <w:color w:val="000000"/>
          <w:spacing w:val="-4"/>
          <w:lang w:val="fr-FR"/>
        </w:rPr>
        <w:t>9</w:t>
      </w:r>
      <w:r w:rsidRPr="008C6AA9">
        <w:rPr>
          <w:color w:val="000000"/>
          <w:spacing w:val="-4"/>
          <w:lang w:val="fr-FR"/>
        </w:rPr>
        <w:t xml:space="preserve">. Les conclusions relativement au numéro </w:t>
      </w:r>
      <w:r w:rsidRPr="008C6AA9">
        <w:rPr>
          <w:rStyle w:val="Artref0"/>
          <w:b/>
          <w:color w:val="000000"/>
          <w:spacing w:val="-4"/>
          <w:lang w:val="fr-FR"/>
        </w:rPr>
        <w:t>11.32</w:t>
      </w:r>
      <w:r w:rsidRPr="008C6AA9">
        <w:rPr>
          <w:color w:val="000000"/>
          <w:spacing w:val="-4"/>
          <w:lang w:val="fr-FR"/>
        </w:rPr>
        <w:t xml:space="preserve"> sont formulées sur la base des accords de coordination conclus pour satisfaire les nouvelles conditions régissant la coordination. En l'occurrence, lorsque les dispositions des numéros </w:t>
      </w:r>
      <w:r w:rsidRPr="008C6AA9">
        <w:rPr>
          <w:rStyle w:val="Artref0"/>
          <w:b/>
          <w:color w:val="000000"/>
          <w:spacing w:val="-4"/>
          <w:lang w:val="fr-FR"/>
        </w:rPr>
        <w:t>11.32A</w:t>
      </w:r>
      <w:r w:rsidRPr="008C6AA9">
        <w:rPr>
          <w:color w:val="000000"/>
          <w:spacing w:val="-4"/>
          <w:lang w:val="fr-FR"/>
        </w:rPr>
        <w:t xml:space="preserve"> et </w:t>
      </w:r>
      <w:r w:rsidRPr="008C6AA9">
        <w:rPr>
          <w:rStyle w:val="Artref0"/>
          <w:b/>
          <w:color w:val="000000"/>
          <w:spacing w:val="-4"/>
          <w:lang w:val="fr-FR"/>
        </w:rPr>
        <w:t>11.33</w:t>
      </w:r>
      <w:r w:rsidRPr="008C6AA9">
        <w:rPr>
          <w:color w:val="000000"/>
          <w:spacing w:val="-4"/>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8C6AA9">
        <w:rPr>
          <w:rStyle w:val="Artref0"/>
          <w:b/>
          <w:color w:val="000000"/>
          <w:spacing w:val="-4"/>
          <w:lang w:val="fr-FR"/>
        </w:rPr>
        <w:t>11.38</w:t>
      </w:r>
      <w:r w:rsidRPr="008C6AA9">
        <w:rPr>
          <w:color w:val="000000"/>
          <w:spacing w:val="-4"/>
          <w:lang w:val="fr-FR"/>
        </w:rPr>
        <w:t>. Voir également les Règles de procédure relatives au numéro </w:t>
      </w:r>
      <w:r w:rsidRPr="008C6AA9">
        <w:rPr>
          <w:rStyle w:val="Artref0"/>
          <w:b/>
          <w:color w:val="000000"/>
          <w:spacing w:val="-4"/>
          <w:lang w:val="fr-FR"/>
        </w:rPr>
        <w:t>11.43B</w:t>
      </w:r>
      <w:r w:rsidRPr="008C6AA9">
        <w:rPr>
          <w:color w:val="000000"/>
          <w:spacing w:val="-4"/>
          <w:lang w:val="fr-FR"/>
        </w:rPr>
        <w:t>.</w:t>
      </w:r>
    </w:p>
    <w:p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9D59F0" w:rsidRPr="009D59F0" w:rsidRDefault="009D59F0" w:rsidP="00430025">
      <w:pPr>
        <w:spacing w:before="40" w:line="260" w:lineRule="exact"/>
        <w:rPr>
          <w:color w:val="000000"/>
          <w:lang w:val="fr-FR"/>
        </w:rPr>
      </w:pPr>
      <w:r>
        <w:rPr>
          <w:lang w:val="fr-FR"/>
        </w:rPr>
        <w:lastRenderedPageBreak/>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rsidR="009D59F0" w:rsidRPr="009D59F0" w:rsidRDefault="009D59F0" w:rsidP="00430025">
      <w:pPr>
        <w:spacing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rsidR="00CB0787" w:rsidRPr="00277E7C" w:rsidRDefault="009D59F0" w:rsidP="0043002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rsidR="00CB0787" w:rsidRPr="00277E7C" w:rsidRDefault="009D59F0" w:rsidP="0043002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rsidR="00CB0787" w:rsidRPr="00277E7C" w:rsidRDefault="00CB0787" w:rsidP="002C02D5">
      <w:pPr>
        <w:pStyle w:val="Heading8"/>
        <w:spacing w:line="250" w:lineRule="exact"/>
        <w:rPr>
          <w:color w:val="000000"/>
          <w:lang w:val="fr-FR"/>
        </w:rPr>
      </w:pPr>
      <w:r w:rsidRPr="00277E7C">
        <w:rPr>
          <w:color w:val="000000"/>
          <w:lang w:val="fr-FR"/>
        </w:rPr>
        <w:t>11.43B</w:t>
      </w:r>
    </w:p>
    <w:p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rsidR="00CB0787" w:rsidRPr="00277E7C" w:rsidRDefault="00CB0787" w:rsidP="002C02D5">
      <w:pPr>
        <w:spacing w:before="120" w:line="250" w:lineRule="exact"/>
        <w:rPr>
          <w:lang w:val="fr-FR"/>
        </w:rPr>
      </w:pPr>
      <w:r w:rsidRPr="00277E7C">
        <w:rPr>
          <w:lang w:val="fr-FR"/>
        </w:rPr>
        <w:t>1.1</w:t>
      </w:r>
      <w:r w:rsidRPr="00277E7C">
        <w:rPr>
          <w:lang w:val="fr-FR"/>
        </w:rPr>
        <w:tab/>
        <w:t xml:space="preserve">Dans le cas de l'examen de réseaux spatiaux relativement au numéro </w:t>
      </w:r>
      <w:r w:rsidRPr="00277E7C">
        <w:rPr>
          <w:rStyle w:val="Artref0"/>
          <w:b/>
          <w:color w:val="000000"/>
          <w:lang w:val="fr-FR"/>
        </w:rPr>
        <w:t>11.32</w:t>
      </w:r>
      <w:r w:rsidRPr="00277E7C">
        <w:rPr>
          <w:lang w:val="fr-FR"/>
        </w:rPr>
        <w:t xml:space="preserve"> ou </w:t>
      </w:r>
      <w:r w:rsidRPr="00277E7C">
        <w:rPr>
          <w:rStyle w:val="Artref0"/>
          <w:b/>
          <w:color w:val="000000"/>
          <w:lang w:val="fr-FR"/>
        </w:rPr>
        <w:t>11.32A</w:t>
      </w:r>
      <w:r w:rsidRPr="00277E7C">
        <w:rPr>
          <w:lang w:val="fr-FR"/>
        </w:rPr>
        <w:t xml:space="preserve">, les observations au titre du numéro </w:t>
      </w:r>
      <w:r w:rsidRPr="00277E7C">
        <w:rPr>
          <w:rStyle w:val="Artref0"/>
          <w:b/>
          <w:color w:val="000000"/>
          <w:lang w:val="fr-FR"/>
        </w:rPr>
        <w:t>11.43A</w:t>
      </w:r>
      <w:r w:rsidRPr="00277E7C">
        <w:rPr>
          <w:lang w:val="fr-FR"/>
        </w:rPr>
        <w:t xml:space="preserve"> indiquent les cas qui devraient être considérés non pas comme des modifications, mais comme une première notification (avec une nouvelle date de réception). Pour ce faire, il convient de s'assurer que les § 6 </w:t>
      </w:r>
      <w:r w:rsidRPr="00277E7C">
        <w:rPr>
          <w:i/>
          <w:lang w:val="fr-FR"/>
        </w:rPr>
        <w:t>a)</w:t>
      </w:r>
      <w:r w:rsidRPr="00277E7C">
        <w:rPr>
          <w:lang w:val="fr-FR"/>
        </w:rPr>
        <w:t xml:space="preserve"> à 6 </w:t>
      </w:r>
      <w:r w:rsidRPr="00277E7C">
        <w:rPr>
          <w:i/>
          <w:lang w:val="fr-FR"/>
        </w:rPr>
        <w:t>c)</w:t>
      </w:r>
      <w:r w:rsidRPr="00277E7C">
        <w:rPr>
          <w:lang w:val="fr-FR"/>
        </w:rPr>
        <w:t xml:space="preserve"> de l'Appendice </w:t>
      </w:r>
      <w:r w:rsidRPr="00277E7C">
        <w:rPr>
          <w:rStyle w:val="Appref"/>
          <w:b/>
          <w:color w:val="000000"/>
          <w:lang w:val="fr-FR"/>
        </w:rPr>
        <w:t>5</w:t>
      </w:r>
      <w:r w:rsidRPr="00277E7C">
        <w:rPr>
          <w:lang w:val="fr-FR"/>
        </w:rPr>
        <w:t xml:space="preserve"> ont bien été appliqués. Dans les cas où il n'existe aucune méthode de calcul ni aucun critère permettant de vérifier que ces dispositions ont bien été appliquées (par exemple nécessité d'effectuer la coordination dans le cas des numéros </w:t>
      </w:r>
      <w:r w:rsidRPr="00277E7C">
        <w:rPr>
          <w:rStyle w:val="Artref0"/>
          <w:b/>
          <w:color w:val="000000"/>
          <w:lang w:val="fr-FR"/>
        </w:rPr>
        <w:t>9.12</w:t>
      </w:r>
      <w:r w:rsidRPr="00277E7C">
        <w:rPr>
          <w:lang w:val="fr-FR"/>
        </w:rPr>
        <w:t xml:space="preserve"> et </w:t>
      </w:r>
      <w:r w:rsidRPr="00277E7C">
        <w:rPr>
          <w:rStyle w:val="Artref0"/>
          <w:b/>
          <w:color w:val="000000"/>
          <w:lang w:val="fr-FR"/>
        </w:rPr>
        <w:t>9.13</w:t>
      </w:r>
      <w:r w:rsidRPr="00277E7C">
        <w:rPr>
          <w:lang w:val="fr-FR"/>
        </w:rPr>
        <w:t>), le Bureau consi</w:t>
      </w:r>
      <w:r w:rsidRPr="00277E7C">
        <w:rPr>
          <w:lang w:val="fr-FR"/>
        </w:rPr>
        <w:softHyphen/>
        <w:t>dère ces modifications comme de nouvelles notifications d'assignations. Le numéro </w:t>
      </w:r>
      <w:r w:rsidRPr="00277E7C">
        <w:rPr>
          <w:rStyle w:val="Artref0"/>
          <w:b/>
          <w:color w:val="000000"/>
          <w:lang w:val="fr-FR"/>
        </w:rPr>
        <w:t>11.43B</w:t>
      </w:r>
      <w:r w:rsidRPr="00277E7C">
        <w:rPr>
          <w:lang w:val="fr-FR"/>
        </w:rPr>
        <w:t xml:space="preserve"> fait état d'une augmentation de la probabilité de brouillage préjudiciable. La probabilité de brouillage préjudiciable (</w:t>
      </w:r>
      <w:r w:rsidRPr="00277E7C">
        <w:rPr>
          <w:i/>
          <w:lang w:val="fr-FR"/>
        </w:rPr>
        <w:t>C</w:t>
      </w:r>
      <w:r w:rsidRPr="00277E7C">
        <w:rPr>
          <w:lang w:val="fr-FR"/>
        </w:rPr>
        <w:t>/</w:t>
      </w:r>
      <w:r w:rsidRPr="00277E7C">
        <w:rPr>
          <w:i/>
          <w:lang w:val="fr-FR"/>
        </w:rPr>
        <w:t>I</w:t>
      </w:r>
      <w:r w:rsidRPr="00277E7C">
        <w:rPr>
          <w:rFonts w:ascii="Tms Rmn" w:hAnsi="Tms Rmn"/>
          <w:iCs/>
          <w:sz w:val="12"/>
          <w:lang w:val="fr-FR"/>
        </w:rPr>
        <w:t> </w:t>
      </w:r>
      <w:r w:rsidRPr="00277E7C">
        <w:rPr>
          <w:lang w:val="fr-FR"/>
        </w:rPr>
        <w:t xml:space="preserve">) est calculée uniquement dans le cadre de l'examen relativement aux numéros </w:t>
      </w:r>
      <w:r w:rsidRPr="00277E7C">
        <w:rPr>
          <w:rStyle w:val="Artref0"/>
          <w:b/>
          <w:color w:val="000000"/>
          <w:lang w:val="fr-FR"/>
        </w:rPr>
        <w:t>11.32A</w:t>
      </w:r>
      <w:r w:rsidRPr="00277E7C">
        <w:rPr>
          <w:lang w:val="fr-FR"/>
        </w:rPr>
        <w:t xml:space="preserve"> et </w:t>
      </w:r>
      <w:r w:rsidRPr="00277E7C">
        <w:rPr>
          <w:rStyle w:val="Artref0"/>
          <w:b/>
          <w:color w:val="000000"/>
          <w:lang w:val="fr-FR"/>
        </w:rPr>
        <w:t>11.33</w:t>
      </w:r>
      <w:r w:rsidRPr="00277E7C">
        <w:rPr>
          <w:lang w:val="fr-FR"/>
        </w:rPr>
        <w:t xml:space="preserve">. Pour procéder à l'examen prévu au numéro </w:t>
      </w:r>
      <w:r w:rsidRPr="00277E7C">
        <w:rPr>
          <w:rStyle w:val="Artref0"/>
          <w:b/>
          <w:color w:val="000000"/>
          <w:lang w:val="fr-FR"/>
        </w:rPr>
        <w:t>11.32</w:t>
      </w:r>
      <w:r w:rsidRPr="00277E7C">
        <w:rPr>
          <w:lang w:val="fr-FR"/>
        </w:rPr>
        <w:t>, on utilise la valeur de seuil/condition prescrite à l'Appendice </w:t>
      </w:r>
      <w:r w:rsidRPr="00277E7C">
        <w:rPr>
          <w:rStyle w:val="Appref"/>
          <w:b/>
          <w:color w:val="000000"/>
          <w:lang w:val="fr-FR"/>
        </w:rPr>
        <w:t>5</w:t>
      </w:r>
      <w:r w:rsidRPr="00277E7C">
        <w:rPr>
          <w:lang w:val="fr-FR"/>
        </w:rPr>
        <w:t>.</w:t>
      </w:r>
    </w:p>
    <w:p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CB0787" w:rsidRPr="00277E7C" w:rsidRDefault="00CB0787" w:rsidP="002C02D5">
      <w:pPr>
        <w:spacing w:before="120" w:line="250" w:lineRule="exact"/>
        <w:rPr>
          <w:color w:val="000000"/>
          <w:lang w:val="fr-FR"/>
        </w:rPr>
      </w:pPr>
      <w:r w:rsidRPr="00277E7C">
        <w:rPr>
          <w:color w:val="000000"/>
          <w:lang w:val="fr-FR"/>
        </w:rPr>
        <w:lastRenderedPageBreak/>
        <w:t>2</w:t>
      </w:r>
      <w:r w:rsidRPr="00277E7C">
        <w:rPr>
          <w:color w:val="000000"/>
          <w:lang w:val="fr-FR"/>
        </w:rPr>
        <w:tab/>
        <w:t>Cette disposition fait mention de la «date primitivement inscrite dans le Fichier de référence».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rsidR="00CB0787" w:rsidRPr="00277E7C" w:rsidRDefault="00CB0787" w:rsidP="002C02D5">
      <w:pPr>
        <w:pStyle w:val="Heading8"/>
        <w:spacing w:line="250" w:lineRule="exact"/>
        <w:rPr>
          <w:color w:val="000000"/>
          <w:lang w:val="fr-FR"/>
        </w:rPr>
      </w:pPr>
      <w:r w:rsidRPr="00277E7C">
        <w:rPr>
          <w:color w:val="000000"/>
          <w:lang w:val="fr-FR"/>
        </w:rPr>
        <w:t>11.43C</w:t>
      </w:r>
    </w:p>
    <w:p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rsidR="00CB0787" w:rsidRPr="00277E7C" w:rsidRDefault="00CB0787" w:rsidP="00430025">
      <w:pPr>
        <w:pStyle w:val="Heading8"/>
        <w:spacing w:before="0" w:line="250" w:lineRule="exact"/>
        <w:rPr>
          <w:color w:val="000000"/>
          <w:lang w:val="fr-FR"/>
        </w:rPr>
      </w:pPr>
      <w:r w:rsidRPr="00277E7C">
        <w:rPr>
          <w:color w:val="000000"/>
          <w:lang w:val="fr-FR"/>
        </w:rPr>
        <w:t>11.44</w:t>
      </w:r>
    </w:p>
    <w:p w:rsidR="00D2141E" w:rsidRPr="00D2141E" w:rsidRDefault="00D2141E" w:rsidP="00F855A3">
      <w:pPr>
        <w:spacing w:before="60" w:line="250" w:lineRule="exact"/>
        <w:rPr>
          <w:lang w:val="fr-FR"/>
        </w:rPr>
      </w:pPr>
      <w:r w:rsidRPr="00D2141E">
        <w:rPr>
          <w:lang w:val="fr-FR"/>
        </w:rPr>
        <w:t>1</w:t>
      </w:r>
      <w:r w:rsidRPr="00D2141E">
        <w:rPr>
          <w:lang w:val="fr-FR"/>
        </w:rPr>
        <w:tab/>
        <w:t>Les renseignements concernant la date de mise en service sont normalement fournis selon les modalités suivantes:</w:t>
      </w:r>
    </w:p>
    <w:p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 xml:space="preserve">, </w:t>
      </w:r>
      <w:r w:rsidRPr="00F855A3">
        <w:rPr>
          <w:color w:val="000000"/>
          <w:spacing w:val="-8"/>
          <w:lang w:val="fr-FR"/>
        </w:rPr>
        <w:t> </w:t>
      </w:r>
      <w:r w:rsidRPr="00F855A3">
        <w:rPr>
          <w:rStyle w:val="Artref0"/>
          <w:b/>
          <w:color w:val="000000"/>
          <w:spacing w:val="-8"/>
          <w:lang w:val="fr-FR"/>
        </w:rPr>
        <w:t xml:space="preserve">11.47 </w:t>
      </w:r>
      <w:r w:rsidRPr="00F855A3">
        <w:rPr>
          <w:rStyle w:val="Artref0"/>
          <w:bCs/>
          <w:color w:val="000000"/>
          <w:spacing w:val="-8"/>
          <w:lang w:val="fr-FR"/>
        </w:rPr>
        <w:t xml:space="preserve">et </w:t>
      </w:r>
      <w:r w:rsidRPr="00F855A3">
        <w:rPr>
          <w:rStyle w:val="Artref0"/>
          <w:b/>
          <w:color w:val="000000"/>
          <w:spacing w:val="-8"/>
          <w:lang w:val="fr-FR"/>
        </w:rPr>
        <w:t>11.44B</w:t>
      </w:r>
      <w:r w:rsidRPr="00F855A3">
        <w:rPr>
          <w:color w:val="000000"/>
          <w:spacing w:val="-8"/>
          <w:lang w:val="fr-FR"/>
        </w:rPr>
        <w:t>.</w:t>
      </w:r>
    </w:p>
    <w:p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Pr>
          <w:color w:val="000000"/>
          <w:lang w:val="fr-CH"/>
        </w:rPr>
        <w:t xml:space="preserve"> </w:t>
      </w:r>
      <w:r w:rsidRPr="00434ACA">
        <w:rPr>
          <w:color w:val="000000"/>
          <w:lang w:val="fr-CH"/>
        </w:rPr>
        <w:t>numéro</w:t>
      </w:r>
      <w:r>
        <w:rPr>
          <w:color w:val="000000"/>
          <w:lang w:val="fr-CH"/>
        </w:rPr>
        <w:t xml:space="preserve"> </w:t>
      </w:r>
      <w:r w:rsidRPr="007A014A">
        <w:rPr>
          <w:b/>
          <w:bCs/>
          <w:color w:val="000000"/>
          <w:lang w:val="fr-CH"/>
        </w:rPr>
        <w:t>11.44B</w:t>
      </w:r>
      <w:r w:rsidRPr="00CE24FD">
        <w:rPr>
          <w:color w:val="000000"/>
          <w:lang w:val="fr-CH"/>
        </w:rPr>
        <w:t>.</w:t>
      </w:r>
      <w:r w:rsidRPr="007A014A">
        <w:rPr>
          <w:color w:val="000000"/>
          <w:lang w:val="fr-CH"/>
        </w:rPr>
        <w:t>)</w:t>
      </w:r>
    </w:p>
    <w:p w:rsidR="0061020A" w:rsidRPr="0061020A" w:rsidRDefault="0061020A" w:rsidP="0061020A">
      <w:pPr>
        <w:spacing w:before="60" w:line="250" w:lineRule="exact"/>
        <w:rPr>
          <w:color w:val="000000"/>
          <w:lang w:val="fr-FR"/>
        </w:rPr>
      </w:pPr>
      <w:r w:rsidRPr="0061020A">
        <w:rPr>
          <w:color w:val="000000"/>
          <w:lang w:val="fr-FR"/>
        </w:rPr>
        <w:t>2</w:t>
      </w:r>
      <w:r w:rsidRPr="0061020A">
        <w:rPr>
          <w:color w:val="000000"/>
          <w:lang w:val="fr-FR"/>
        </w:rPr>
        <w:tab/>
        <w:t>Le Comité a examiné les renseignements qui doivent être fournis pour la mise en service d'une assignation de fréquence à des stations spatiales à bord d'un système à satellites non géostationnaires du SFS ou du SRS avant l'adoption des dispositions réglementaires par une future conférence mondiale des radiocommunications et a conclu ce qui suit:</w:t>
      </w:r>
    </w:p>
    <w:p w:rsidR="00200D1F" w:rsidRPr="00200D1F" w:rsidRDefault="0061020A" w:rsidP="00430025">
      <w:pPr>
        <w:spacing w:before="60" w:line="250" w:lineRule="exact"/>
        <w:rPr>
          <w:color w:val="000000"/>
          <w:lang w:val="fr-CH"/>
        </w:rPr>
      </w:pPr>
      <w:r w:rsidRPr="0061020A">
        <w:rPr>
          <w:color w:val="000000"/>
          <w:lang w:val="fr-FR"/>
        </w:rPr>
        <w:t xml:space="preserve">Pour qu'une assignation de fréquence à une station spatiale d'un système à satellites non géostationnaires soit considérée comme ayant été mise en service, l'administration notificatrice doit informer le Bureau qu'au moins une station spatiale ayant la capacité confirmée d'émettre ou de recevoir sur cette fréquence assignée a été déployée pendant une période continue de 90 jours sur au moins l'un des plans orbitaux notifiés du système à satellites non géostationnaires, quel que soit le nombre notifié de plans orbitaux et de satellites par plan orbital dans le système. L'administration notificatrice fournit cette information au Bureau dans un délai de trente jours à compter de la fin de la période de 90 jours. Une assignation de fréquence à une station spatiale d'un système à satellites non géostationnaires avec une date notifiée de mise en service antérieure de plus de 120 jours à la date de réception des renseignements de notification est également considérée comme ayant été mise en service si l'administration notificatrice confirme, lorsqu'elle soumet les renseignements de notification concernant cette assignation, qu'au moins une station spatiale ayant la capacité d'émettre ou de recevoir sur cette fréquence assignée a été déployée sur l'un des plans orbitaux notifiés du système à satellites non géostationnaires et maintenue pendant une période continue entre la date notifiée de mise en service et la date de réception des renseignements de notification concernant cette assignation de fréquence. La date de déploiement du premier satellite sur son orbite prévue doit se situer dans le délai de sept ans prévu pour la mise en service des assignations de fréquence à une station spatiale conformément au numéro </w:t>
      </w:r>
      <w:r w:rsidRPr="0061020A">
        <w:rPr>
          <w:b/>
          <w:bCs/>
          <w:color w:val="000000"/>
          <w:lang w:val="fr-FR"/>
        </w:rPr>
        <w:t>11.44</w:t>
      </w:r>
      <w:r w:rsidRPr="0061020A">
        <w:rPr>
          <w:color w:val="000000"/>
          <w:lang w:val="fr-FR"/>
        </w:rPr>
        <w:t>.</w:t>
      </w:r>
      <w:r>
        <w:rPr>
          <w:color w:val="000000"/>
          <w:lang w:val="fr-FR"/>
        </w:rPr>
        <w:t xml:space="preserve">  </w:t>
      </w:r>
    </w:p>
    <w:p w:rsidR="002641D0" w:rsidRDefault="002641D0">
      <w:pPr>
        <w:tabs>
          <w:tab w:val="clear" w:pos="1134"/>
          <w:tab w:val="clear" w:pos="1871"/>
          <w:tab w:val="clear" w:pos="2268"/>
        </w:tabs>
        <w:overflowPunct/>
        <w:autoSpaceDE/>
        <w:autoSpaceDN/>
        <w:adjustRightInd/>
        <w:spacing w:before="0"/>
        <w:jc w:val="left"/>
        <w:textAlignment w:val="auto"/>
        <w:rPr>
          <w:b/>
          <w:bCs/>
          <w:color w:val="000000"/>
          <w:szCs w:val="24"/>
          <w:lang w:val="fr-FR"/>
        </w:rPr>
      </w:pPr>
      <w:r>
        <w:rPr>
          <w:bCs/>
          <w:color w:val="000000"/>
          <w:szCs w:val="24"/>
          <w:lang w:val="fr-FR"/>
        </w:rPr>
        <w:br w:type="page"/>
      </w:r>
    </w:p>
    <w:p w:rsidR="006D2E7F" w:rsidRPr="006D2E7F" w:rsidRDefault="006D2E7F" w:rsidP="00430025">
      <w:pPr>
        <w:pStyle w:val="Heading8"/>
        <w:spacing w:line="250" w:lineRule="exact"/>
        <w:rPr>
          <w:bCs/>
          <w:color w:val="000000"/>
          <w:szCs w:val="24"/>
          <w:lang w:val="fr-FR"/>
        </w:rPr>
      </w:pPr>
      <w:r w:rsidRPr="006D2E7F">
        <w:rPr>
          <w:bCs/>
          <w:color w:val="000000"/>
          <w:szCs w:val="24"/>
          <w:lang w:val="fr-FR"/>
        </w:rPr>
        <w:lastRenderedPageBreak/>
        <w:t>11.44B</w:t>
      </w:r>
    </w:p>
    <w:p w:rsidR="006D2E7F" w:rsidRPr="007805AC" w:rsidRDefault="006D2E7F" w:rsidP="00F855A3">
      <w:pPr>
        <w:spacing w:line="250" w:lineRule="exact"/>
        <w:rPr>
          <w:lang w:val="fr-CH"/>
        </w:rPr>
      </w:pPr>
      <w:r w:rsidRPr="007A014A">
        <w:rPr>
          <w:lang w:val="fr-CH"/>
        </w:rPr>
        <w:t>1</w:t>
      </w:r>
      <w:r w:rsidRPr="007A014A">
        <w:rPr>
          <w:lang w:val="fr-CH"/>
        </w:rPr>
        <w:tab/>
      </w:r>
      <w:r>
        <w:rPr>
          <w:lang w:val="fr-CH"/>
        </w:rPr>
        <w:t xml:space="preserve">Cette disposition concerne la mise en service d'une assignation de fréquence à une station spatiale sur l'orbite des satellites géostationnaires. Pour qu'une telle assignation de fréquence soit considérée comme ayant été mise en service, l'administration notificatrice doit informer le Bureau, dans un délai de 30 jours à compter du délai de 90 jours dans lequel une station spatiale </w:t>
      </w:r>
      <w:r w:rsidRPr="006D2E7F">
        <w:rPr>
          <w:lang w:val="fr-FR"/>
        </w:rPr>
        <w:t>sur l'orbite des satellites géostationnaires ayant la capacité d'émettre ou de recevoir sur une fréquence assignée, a été déployée et maintenue pendant une période ininterrompue à la position orbitale notifiée</w:t>
      </w:r>
      <w:r>
        <w:rPr>
          <w:lang w:val="fr-CH"/>
        </w:rPr>
        <w:t>.</w:t>
      </w:r>
    </w:p>
    <w:p w:rsidR="0061020A" w:rsidRPr="0061020A" w:rsidRDefault="006D2E7F" w:rsidP="00430025">
      <w:pPr>
        <w:spacing w:line="250" w:lineRule="exact"/>
        <w:rPr>
          <w:lang w:val="fr-FR"/>
        </w:rPr>
      </w:pPr>
      <w:r>
        <w:rPr>
          <w:lang w:val="fr-CH"/>
        </w:rPr>
        <w:t>2</w:t>
      </w:r>
      <w:r>
        <w:rPr>
          <w:lang w:val="fr-CH"/>
        </w:rPr>
        <w:tab/>
      </w:r>
      <w:r w:rsidR="0061020A" w:rsidRPr="0061020A">
        <w:rPr>
          <w:lang w:val="fr-FR"/>
        </w:rPr>
        <w:t xml:space="preserve">Le Comité a étudié de manière approfondie le lien entre les diverses dispositions relatives à la mise en service d'assignations de fréquence concernant un réseau à satellite OSG conformément aux dispositions des numéros </w:t>
      </w:r>
      <w:r w:rsidR="0061020A" w:rsidRPr="0061020A">
        <w:rPr>
          <w:b/>
          <w:bCs/>
          <w:lang w:val="fr-FR"/>
        </w:rPr>
        <w:t>11.43A</w:t>
      </w:r>
      <w:r w:rsidR="0061020A" w:rsidRPr="0061020A">
        <w:rPr>
          <w:lang w:val="fr-FR"/>
        </w:rPr>
        <w:t xml:space="preserve">, </w:t>
      </w:r>
      <w:r w:rsidR="0061020A" w:rsidRPr="0061020A">
        <w:rPr>
          <w:b/>
          <w:bCs/>
          <w:lang w:val="fr-FR"/>
        </w:rPr>
        <w:t>11.44</w:t>
      </w:r>
      <w:r w:rsidR="0061020A" w:rsidRPr="0061020A">
        <w:rPr>
          <w:lang w:val="fr-FR"/>
        </w:rPr>
        <w:t>,</w:t>
      </w:r>
      <w:r w:rsidR="0061020A" w:rsidRPr="0061020A">
        <w:rPr>
          <w:b/>
          <w:bCs/>
          <w:lang w:val="fr-FR"/>
        </w:rPr>
        <w:t xml:space="preserve"> 11.44.2</w:t>
      </w:r>
      <w:r w:rsidR="0061020A" w:rsidRPr="0061020A">
        <w:rPr>
          <w:lang w:val="fr-FR"/>
        </w:rPr>
        <w:t>,</w:t>
      </w:r>
      <w:r w:rsidR="0061020A" w:rsidRPr="0061020A">
        <w:rPr>
          <w:b/>
          <w:bCs/>
          <w:lang w:val="fr-FR"/>
        </w:rPr>
        <w:t xml:space="preserve"> 11.44.3</w:t>
      </w:r>
      <w:r w:rsidR="0061020A" w:rsidRPr="0061020A">
        <w:rPr>
          <w:lang w:val="fr-FR"/>
        </w:rPr>
        <w:t xml:space="preserve">, </w:t>
      </w:r>
      <w:r w:rsidR="0061020A" w:rsidRPr="0061020A">
        <w:rPr>
          <w:b/>
          <w:bCs/>
          <w:lang w:val="fr-FR"/>
        </w:rPr>
        <w:t>11.44B</w:t>
      </w:r>
      <w:r w:rsidR="0061020A" w:rsidRPr="0061020A">
        <w:rPr>
          <w:lang w:val="fr-FR"/>
        </w:rPr>
        <w:t xml:space="preserve">, </w:t>
      </w:r>
      <w:r w:rsidR="0061020A" w:rsidRPr="0061020A">
        <w:rPr>
          <w:b/>
          <w:bCs/>
          <w:lang w:val="fr-FR"/>
        </w:rPr>
        <w:t>11.44B.1</w:t>
      </w:r>
      <w:r w:rsidR="0061020A" w:rsidRPr="0061020A">
        <w:rPr>
          <w:lang w:val="fr-FR"/>
        </w:rPr>
        <w:t xml:space="preserve">, </w:t>
      </w:r>
      <w:r w:rsidR="0061020A" w:rsidRPr="0061020A">
        <w:rPr>
          <w:b/>
          <w:bCs/>
          <w:lang w:val="fr-FR"/>
        </w:rPr>
        <w:t>11.44B.2</w:t>
      </w:r>
      <w:r w:rsidR="0061020A" w:rsidRPr="0061020A">
        <w:rPr>
          <w:lang w:val="fr-FR"/>
        </w:rPr>
        <w:t xml:space="preserve"> et </w:t>
      </w:r>
      <w:r w:rsidR="0061020A" w:rsidRPr="0061020A">
        <w:rPr>
          <w:b/>
          <w:bCs/>
          <w:lang w:val="fr-FR"/>
        </w:rPr>
        <w:t>11.47</w:t>
      </w:r>
      <w:r w:rsidR="0061020A" w:rsidRPr="0061020A">
        <w:rPr>
          <w:lang w:val="fr-FR"/>
        </w:rPr>
        <w:t xml:space="preserve"> et a conclu que le Bureau appliquerait la procédure suivante</w:t>
      </w:r>
      <w:r w:rsidR="00520B7A">
        <w:rPr>
          <w:lang w:val="fr-FR"/>
        </w:rPr>
        <w:t>.</w:t>
      </w:r>
    </w:p>
    <w:p w:rsidR="006D2E7F" w:rsidRPr="006D2E7F" w:rsidRDefault="0061020A" w:rsidP="00430025">
      <w:pPr>
        <w:spacing w:before="120" w:line="250" w:lineRule="exact"/>
        <w:rPr>
          <w:lang w:val="fr-FR"/>
        </w:rPr>
      </w:pPr>
      <w:r w:rsidRPr="0061020A">
        <w:rPr>
          <w:lang w:val="fr-FR"/>
        </w:rPr>
        <w:t>3</w:t>
      </w:r>
      <w:r w:rsidRPr="0061020A">
        <w:rPr>
          <w:lang w:val="fr-FR"/>
        </w:rPr>
        <w:tab/>
      </w:r>
      <w:r w:rsidRPr="009B7C80">
        <w:rPr>
          <w:spacing w:val="-2"/>
          <w:lang w:val="fr-FR"/>
        </w:rPr>
        <w:t xml:space="preserve">Le numéro </w:t>
      </w:r>
      <w:r w:rsidRPr="009B7C80">
        <w:rPr>
          <w:b/>
          <w:bCs/>
          <w:spacing w:val="-2"/>
          <w:lang w:val="fr-FR"/>
        </w:rPr>
        <w:t>11.44</w:t>
      </w:r>
      <w:r w:rsidR="00B61F96">
        <w:rPr>
          <w:rStyle w:val="FootnoteReference"/>
          <w:spacing w:val="-2"/>
          <w:lang w:val="fr-FR"/>
        </w:rPr>
        <w:footnoteReference w:customMarkFollows="1" w:id="12"/>
        <w:t>10</w:t>
      </w:r>
      <w:r w:rsidRPr="009B7C80">
        <w:rPr>
          <w:spacing w:val="-2"/>
          <w:lang w:val="fr-FR"/>
        </w:rPr>
        <w:t xml:space="preserve"> fixe le délai réglementaire de mise en service des assignations de f</w:t>
      </w:r>
      <w:r w:rsidR="0031780E">
        <w:rPr>
          <w:spacing w:val="-2"/>
          <w:lang w:val="fr-FR"/>
        </w:rPr>
        <w:t>réquence à une station spatiale</w:t>
      </w:r>
      <w:r w:rsidRPr="009B7C80">
        <w:rPr>
          <w:spacing w:val="-2"/>
          <w:lang w:val="fr-FR"/>
        </w:rPr>
        <w:t xml:space="preserve"> et dispose que le Bureau doit annuler les assignations de fréquence qui ne sont pas mises en service dans le délai réglementaire requis. Les numéros </w:t>
      </w:r>
      <w:r w:rsidRPr="009B7C80">
        <w:rPr>
          <w:b/>
          <w:bCs/>
          <w:spacing w:val="-2"/>
          <w:lang w:val="fr-FR"/>
        </w:rPr>
        <w:t>11.44B</w:t>
      </w:r>
      <w:r w:rsidRPr="009B7C80">
        <w:rPr>
          <w:spacing w:val="-2"/>
          <w:lang w:val="fr-FR"/>
        </w:rPr>
        <w:t xml:space="preserve"> et </w:t>
      </w:r>
      <w:r w:rsidRPr="009B7C80">
        <w:rPr>
          <w:b/>
          <w:bCs/>
          <w:spacing w:val="-2"/>
          <w:lang w:val="fr-FR"/>
        </w:rPr>
        <w:t>11.44B.2</w:t>
      </w:r>
      <w:r w:rsidRPr="009B7C80">
        <w:rPr>
          <w:spacing w:val="-2"/>
          <w:lang w:val="fr-FR"/>
        </w:rPr>
        <w:t xml:space="preserve"> ont établi les conditions dans lesquelles une assignation de fréquence à une station spatiale sur l'orbite des satellites géostationnaires est considérée comme ayant été mise en service. Le Bureau enregistrera la date de début de la période de 90 jours définie au numéro </w:t>
      </w:r>
      <w:r w:rsidRPr="009B7C80">
        <w:rPr>
          <w:b/>
          <w:bCs/>
          <w:spacing w:val="-2"/>
          <w:lang w:val="fr-FR"/>
        </w:rPr>
        <w:t>11.44B</w:t>
      </w:r>
      <w:r w:rsidRPr="009B7C80">
        <w:rPr>
          <w:spacing w:val="-2"/>
          <w:lang w:val="fr-FR"/>
        </w:rPr>
        <w:t xml:space="preserve">, ou la date communiquée par l'administration conformément au numéro </w:t>
      </w:r>
      <w:r w:rsidRPr="009B7C80">
        <w:rPr>
          <w:b/>
          <w:bCs/>
          <w:spacing w:val="-2"/>
          <w:lang w:val="fr-FR"/>
        </w:rPr>
        <w:t>11.44B.2</w:t>
      </w:r>
      <w:r w:rsidRPr="009B7C80">
        <w:rPr>
          <w:spacing w:val="-2"/>
          <w:lang w:val="fr-FR"/>
        </w:rPr>
        <w:t xml:space="preserve">, comme étant la date notifiée de mise en service (voir le numéro </w:t>
      </w:r>
      <w:r w:rsidRPr="009B7C80">
        <w:rPr>
          <w:b/>
          <w:bCs/>
          <w:spacing w:val="-2"/>
          <w:lang w:val="fr-FR"/>
        </w:rPr>
        <w:t>11.44.2</w:t>
      </w:r>
      <w:r w:rsidRPr="009B7C80">
        <w:rPr>
          <w:spacing w:val="-2"/>
          <w:lang w:val="fr-FR"/>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9B7C80">
        <w:rPr>
          <w:b/>
          <w:bCs/>
          <w:spacing w:val="-2"/>
          <w:lang w:val="fr-FR"/>
        </w:rPr>
        <w:t>11.44B</w:t>
      </w:r>
      <w:r w:rsidRPr="009B7C80">
        <w:rPr>
          <w:spacing w:val="-2"/>
          <w:lang w:val="fr-FR"/>
        </w:rPr>
        <w:t xml:space="preserve"> et </w:t>
      </w:r>
      <w:r w:rsidRPr="009B7C80">
        <w:rPr>
          <w:b/>
          <w:bCs/>
          <w:spacing w:val="-2"/>
          <w:lang w:val="fr-FR"/>
        </w:rPr>
        <w:t>11.44B.2</w:t>
      </w:r>
      <w:r w:rsidRPr="009B7C80">
        <w:rPr>
          <w:spacing w:val="-2"/>
          <w:lang w:val="fr-FR"/>
        </w:rPr>
        <w:t xml:space="preserve">, le Bureau annule les assignations de fréquence inscrites à titre provisoire dans le Fichier de référence, conformément au numéro </w:t>
      </w:r>
      <w:r w:rsidRPr="009B7C80">
        <w:rPr>
          <w:b/>
          <w:bCs/>
          <w:spacing w:val="-2"/>
          <w:lang w:val="fr-FR"/>
        </w:rPr>
        <w:t>11.44</w:t>
      </w:r>
      <w:r w:rsidR="00B61F96">
        <w:rPr>
          <w:rStyle w:val="FootnoteReference"/>
          <w:spacing w:val="-2"/>
          <w:lang w:val="fr-FR"/>
        </w:rPr>
        <w:footnoteReference w:customMarkFollows="1" w:id="13"/>
        <w:t>11</w:t>
      </w:r>
      <w:r w:rsidRPr="009B7C80">
        <w:rPr>
          <w:spacing w:val="-2"/>
          <w:lang w:val="fr-FR"/>
        </w:rPr>
        <w:t xml:space="preserve"> et/ou supprime les sections spéciales correspondantes conformément au numéro </w:t>
      </w:r>
      <w:r w:rsidRPr="009B7C80">
        <w:rPr>
          <w:b/>
          <w:bCs/>
          <w:spacing w:val="-2"/>
          <w:lang w:val="fr-FR"/>
        </w:rPr>
        <w:t>11.48</w:t>
      </w:r>
      <w:r w:rsidR="00B61F96">
        <w:rPr>
          <w:rStyle w:val="FootnoteReference"/>
          <w:spacing w:val="-2"/>
          <w:lang w:val="fr-FR"/>
        </w:rPr>
        <w:footnoteReference w:customMarkFollows="1" w:id="14"/>
        <w:t>12</w:t>
      </w:r>
      <w:r w:rsidRPr="009B7C80">
        <w:rPr>
          <w:spacing w:val="-2"/>
          <w:lang w:val="fr-FR"/>
        </w:rPr>
        <w:t xml:space="preserve">, selon le cas. </w:t>
      </w:r>
      <w:r>
        <w:rPr>
          <w:lang w:val="fr-FR"/>
        </w:rPr>
        <w:t xml:space="preserve"> </w:t>
      </w:r>
    </w:p>
    <w:p w:rsidR="00F855A3" w:rsidRDefault="006D2E7F" w:rsidP="009B7C80">
      <w:pPr>
        <w:spacing w:before="120" w:line="250" w:lineRule="exact"/>
        <w:rPr>
          <w:color w:val="000000"/>
          <w:lang w:val="fr-FR"/>
        </w:rPr>
      </w:pPr>
      <w:r>
        <w:rPr>
          <w:lang w:val="fr-CH"/>
        </w:rPr>
        <w:t>4</w:t>
      </w:r>
      <w:r>
        <w:rPr>
          <w:lang w:val="fr-CH"/>
        </w:rPr>
        <w:tab/>
      </w:r>
      <w:r w:rsidRPr="009B7C80">
        <w:rPr>
          <w:spacing w:val="-2"/>
          <w:lang w:val="fr-CH"/>
        </w:rPr>
        <w:t xml:space="preserve">Les assignations de fréquence pour lesquelles une administration a soumis des renseignements de notification en vue de leur inscription dans le Fichier de référence, sans avoir soumis les renseignements obligatoires à fournir au titre du numéro </w:t>
      </w:r>
      <w:r w:rsidRPr="009B7C80">
        <w:rPr>
          <w:b/>
          <w:spacing w:val="-2"/>
          <w:lang w:val="fr-CH"/>
        </w:rPr>
        <w:t>11.44B</w:t>
      </w:r>
      <w:r w:rsidRPr="009B7C80">
        <w:rPr>
          <w:spacing w:val="-2"/>
          <w:lang w:val="fr-CH"/>
        </w:rPr>
        <w:t>, seront inscrites provisoirement dans le Fichier de référence. Par la suite, à l'expiration du délai prévu au numéro </w:t>
      </w:r>
      <w:r w:rsidRPr="009B7C80">
        <w:rPr>
          <w:b/>
          <w:spacing w:val="-2"/>
          <w:lang w:val="fr-CH"/>
        </w:rPr>
        <w:t>11.44</w:t>
      </w:r>
      <w:r w:rsidRPr="009B7C80">
        <w:rPr>
          <w:spacing w:val="-2"/>
          <w:lang w:val="fr-CH"/>
        </w:rPr>
        <w:t>, le Bureau agit conformément aux dispositions du numéro </w:t>
      </w:r>
      <w:r w:rsidRPr="009B7C80">
        <w:rPr>
          <w:b/>
          <w:spacing w:val="-2"/>
          <w:lang w:val="fr-CH"/>
        </w:rPr>
        <w:t>11.47</w:t>
      </w:r>
      <w:r w:rsidRPr="009B7C80">
        <w:rPr>
          <w:spacing w:val="-2"/>
          <w:lang w:val="fr-CH"/>
        </w:rPr>
        <w:t xml:space="preserve"> et/ou </w:t>
      </w:r>
      <w:r w:rsidRPr="009B7C80">
        <w:rPr>
          <w:b/>
          <w:spacing w:val="-2"/>
          <w:lang w:val="fr-CH"/>
        </w:rPr>
        <w:t>11.44B</w:t>
      </w:r>
      <w:r w:rsidRPr="009B7C80">
        <w:rPr>
          <w:spacing w:val="-2"/>
          <w:lang w:val="fr-CH"/>
        </w:rPr>
        <w:t>.</w:t>
      </w:r>
      <w:r w:rsidR="00F855A3" w:rsidRPr="00F855A3">
        <w:rPr>
          <w:color w:val="000000"/>
          <w:lang w:val="fr-FR"/>
        </w:rPr>
        <w:t xml:space="preserve"> </w:t>
      </w:r>
    </w:p>
    <w:p w:rsidR="002641D0" w:rsidRDefault="002641D0">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61020A" w:rsidRPr="00277E7C" w:rsidRDefault="0061020A" w:rsidP="009B7C80">
      <w:pPr>
        <w:pStyle w:val="Heading8"/>
        <w:spacing w:before="120"/>
        <w:rPr>
          <w:color w:val="000000"/>
          <w:lang w:val="fr-FR"/>
        </w:rPr>
      </w:pPr>
      <w:r w:rsidRPr="00277E7C">
        <w:rPr>
          <w:color w:val="000000"/>
          <w:lang w:val="fr-FR"/>
        </w:rPr>
        <w:lastRenderedPageBreak/>
        <w:t>11.47</w:t>
      </w:r>
    </w:p>
    <w:p w:rsidR="0061020A" w:rsidRPr="006D2E7F" w:rsidRDefault="0061020A" w:rsidP="00430025">
      <w:pPr>
        <w:spacing w:before="12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rsidR="0061020A" w:rsidRPr="00277E7C" w:rsidRDefault="0061020A" w:rsidP="00430025">
      <w:pPr>
        <w:pStyle w:val="Heading8"/>
        <w:spacing w:before="120"/>
        <w:rPr>
          <w:color w:val="000000"/>
          <w:lang w:val="fr-FR"/>
        </w:rPr>
      </w:pPr>
      <w:r w:rsidRPr="00277E7C">
        <w:rPr>
          <w:color w:val="000000"/>
          <w:lang w:val="fr-FR"/>
        </w:rPr>
        <w:t>11.4</w:t>
      </w:r>
      <w:r>
        <w:rPr>
          <w:color w:val="000000"/>
          <w:lang w:val="fr-FR"/>
        </w:rPr>
        <w:t>8</w:t>
      </w:r>
    </w:p>
    <w:p w:rsidR="0061020A" w:rsidRPr="0061020A" w:rsidRDefault="0061020A" w:rsidP="00430025">
      <w:pPr>
        <w:spacing w:before="120" w:line="250" w:lineRule="exact"/>
        <w:rPr>
          <w:color w:val="000000"/>
          <w:lang w:val="fr-FR"/>
        </w:rPr>
      </w:pPr>
      <w:r w:rsidRPr="0061020A">
        <w:rPr>
          <w:b/>
          <w:bCs/>
          <w:color w:val="000000"/>
          <w:lang w:val="fr-FR"/>
        </w:rPr>
        <w:t>Note</w:t>
      </w:r>
      <w:r w:rsidRPr="0061020A">
        <w:rPr>
          <w:color w:val="000000"/>
          <w:lang w:val="fr-FR"/>
        </w:rPr>
        <w:t>: La CMR-15 a pris la décision suivante concernant l</w:t>
      </w:r>
      <w:r w:rsidR="00711CFC">
        <w:rPr>
          <w:color w:val="000000"/>
          <w:lang w:val="fr-FR"/>
        </w:rPr>
        <w:t>e</w:t>
      </w:r>
      <w:r w:rsidRPr="0061020A">
        <w:rPr>
          <w:color w:val="000000"/>
          <w:lang w:val="fr-FR"/>
        </w:rPr>
        <w:t xml:space="preserve"> Règle</w:t>
      </w:r>
      <w:r w:rsidR="00711CFC">
        <w:rPr>
          <w:color w:val="000000"/>
          <w:lang w:val="fr-FR"/>
        </w:rPr>
        <w:t>ment de radio</w:t>
      </w:r>
      <w:r w:rsidRPr="0061020A">
        <w:rPr>
          <w:color w:val="000000"/>
          <w:lang w:val="fr-FR"/>
        </w:rPr>
        <w:t xml:space="preserve"> relative au numéro </w:t>
      </w:r>
      <w:r w:rsidRPr="0061020A">
        <w:rPr>
          <w:b/>
          <w:bCs/>
          <w:color w:val="000000"/>
          <w:lang w:val="fr-FR"/>
        </w:rPr>
        <w:t>11.48</w:t>
      </w:r>
      <w:r w:rsidRPr="0061020A">
        <w:rPr>
          <w:color w:val="000000"/>
          <w:lang w:val="fr-FR"/>
        </w:rPr>
        <w:t xml:space="preserve"> lors de la 8ème séance plénière, paragraphes 1.39 à 1.42 du Document CMR15/505, dans le cadre de l'approbation du Document CMR15/416 en ce qui concerne le §</w:t>
      </w:r>
      <w:r w:rsidR="00430025">
        <w:rPr>
          <w:color w:val="000000"/>
          <w:lang w:val="fr-FR"/>
        </w:rPr>
        <w:t> </w:t>
      </w:r>
      <w:r w:rsidRPr="0061020A">
        <w:rPr>
          <w:color w:val="000000"/>
          <w:lang w:val="fr-FR"/>
        </w:rPr>
        <w:t>2.2.2:</w:t>
      </w:r>
    </w:p>
    <w:p w:rsidR="0061020A" w:rsidRPr="006D2E7F" w:rsidRDefault="0061020A" w:rsidP="0031324B">
      <w:pPr>
        <w:spacing w:before="120"/>
        <w:rPr>
          <w:color w:val="000000"/>
          <w:lang w:val="fr-FR"/>
        </w:rPr>
      </w:pPr>
      <w:r w:rsidRPr="0061020A">
        <w:rPr>
          <w:i/>
          <w:iCs/>
          <w:color w:val="000000"/>
          <w:lang w:val="fr-FR"/>
        </w:rPr>
        <w:t xml:space="preserve">«La CMR-15 a pris note de l'incohérence entre le numéro </w:t>
      </w:r>
      <w:r w:rsidRPr="0061020A">
        <w:rPr>
          <w:b/>
          <w:bCs/>
          <w:i/>
          <w:iCs/>
          <w:color w:val="000000"/>
          <w:lang w:val="fr-FR"/>
        </w:rPr>
        <w:t>11.48</w:t>
      </w:r>
      <w:r w:rsidRPr="0061020A">
        <w:rPr>
          <w:i/>
          <w:iCs/>
          <w:color w:val="000000"/>
          <w:lang w:val="fr-FR"/>
        </w:rPr>
        <w:t xml:space="preserve"> du RR et le § 8 de l'Annexe 1 de la Résolution </w:t>
      </w:r>
      <w:r w:rsidRPr="0061020A">
        <w:rPr>
          <w:b/>
          <w:bCs/>
          <w:i/>
          <w:iCs/>
          <w:color w:val="000000"/>
          <w:lang w:val="fr-FR"/>
        </w:rPr>
        <w:t>552 (CMR-12)</w:t>
      </w:r>
      <w:r w:rsidR="0031324B">
        <w:rPr>
          <w:rStyle w:val="FootnoteReference"/>
          <w:i/>
          <w:iCs/>
          <w:color w:val="000000"/>
          <w:lang w:val="fr-FR"/>
        </w:rPr>
        <w:footnoteReference w:customMarkFollows="1" w:id="15"/>
        <w:t>*</w:t>
      </w:r>
      <w:r w:rsidRPr="0061020A">
        <w:rPr>
          <w:i/>
          <w:iCs/>
          <w:color w:val="000000"/>
          <w:lang w:val="fr-FR"/>
        </w:rPr>
        <w:t xml:space="preserve"> et a confirmé que, selon son interprétation, les assignations de fréquence de réseaux à satellite fonctionnant dans la bande 21,4-22 GHz devaient être annulées par le Bureau dans un délai de 30 jours après la fin du délai de sept ans suivant la date de réception, par le Bureau, des renseignements complets pertinents conformément au numéro </w:t>
      </w:r>
      <w:r w:rsidRPr="0061020A">
        <w:rPr>
          <w:b/>
          <w:bCs/>
          <w:i/>
          <w:iCs/>
          <w:color w:val="000000"/>
          <w:lang w:val="fr-FR"/>
        </w:rPr>
        <w:t>9.1</w:t>
      </w:r>
      <w:r w:rsidRPr="0061020A">
        <w:rPr>
          <w:i/>
          <w:iCs/>
          <w:color w:val="000000"/>
          <w:lang w:val="fr-FR"/>
        </w:rPr>
        <w:t xml:space="preserve"> ou </w:t>
      </w:r>
      <w:r w:rsidRPr="0061020A">
        <w:rPr>
          <w:b/>
          <w:bCs/>
          <w:i/>
          <w:iCs/>
          <w:color w:val="000000"/>
          <w:lang w:val="fr-FR"/>
        </w:rPr>
        <w:t>9.2</w:t>
      </w:r>
      <w:r w:rsidRPr="0061020A">
        <w:rPr>
          <w:i/>
          <w:iCs/>
          <w:color w:val="000000"/>
          <w:lang w:val="fr-FR"/>
        </w:rPr>
        <w:t xml:space="preserve"> du RR, selon le cas, et après la fin du délai de trois ans suivant la date de suspension au titre du numéro </w:t>
      </w:r>
      <w:r w:rsidRPr="0061020A">
        <w:rPr>
          <w:b/>
          <w:bCs/>
          <w:i/>
          <w:iCs/>
          <w:color w:val="000000"/>
          <w:lang w:val="fr-FR"/>
        </w:rPr>
        <w:t>11.49</w:t>
      </w:r>
      <w:r w:rsidRPr="0061020A">
        <w:rPr>
          <w:i/>
          <w:iCs/>
          <w:color w:val="000000"/>
          <w:lang w:val="fr-FR"/>
        </w:rPr>
        <w:t> du RR</w:t>
      </w:r>
      <w:r w:rsidR="0031324B">
        <w:rPr>
          <w:rStyle w:val="FootnoteReference"/>
          <w:i/>
          <w:iCs/>
          <w:color w:val="000000"/>
          <w:lang w:val="fr-FR"/>
        </w:rPr>
        <w:footnoteReference w:customMarkFollows="1" w:id="16"/>
        <w:t>**</w:t>
      </w:r>
      <w:r w:rsidRPr="0061020A">
        <w:rPr>
          <w:i/>
          <w:iCs/>
          <w:color w:val="000000"/>
          <w:lang w:val="fr-FR"/>
        </w:rPr>
        <w:t>.»</w:t>
      </w:r>
    </w:p>
    <w:p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r w:rsidR="00265A72" w:rsidRPr="00265A72">
        <w:rPr>
          <w:bCs/>
          <w:color w:val="000000"/>
          <w:szCs w:val="24"/>
          <w:lang w:val="fr-FR"/>
        </w:rPr>
        <w:t>et</w:t>
      </w:r>
      <w:r w:rsidR="00265A72" w:rsidRPr="00265A72">
        <w:rPr>
          <w:bCs/>
          <w:color w:val="000000"/>
          <w:szCs w:val="24"/>
          <w:lang w:val="fr-FR"/>
        </w:rPr>
        <w:br/>
        <w:t>11.49.1</w:t>
      </w:r>
      <w:r w:rsidR="005C54F0">
        <w:rPr>
          <w:rStyle w:val="FootnoteReference"/>
          <w:color w:val="000000"/>
          <w:lang w:val="fr-FR"/>
        </w:rPr>
        <w:footnoteReference w:customMarkFollows="1" w:id="17"/>
        <w:t>13</w:t>
      </w:r>
    </w:p>
    <w:p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rsidR="00265A72" w:rsidRP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rsidR="00265A72" w:rsidRPr="00265A72" w:rsidRDefault="00265A72" w:rsidP="006A52D5">
      <w:pPr>
        <w:pStyle w:val="Heading1"/>
        <w:spacing w:before="360"/>
        <w:rPr>
          <w:lang w:val="fr-FR"/>
        </w:rPr>
      </w:pPr>
      <w:r w:rsidRPr="00265A72">
        <w:rPr>
          <w:lang w:val="fr-FR"/>
        </w:rPr>
        <w:lastRenderedPageBreak/>
        <w:t>2</w:t>
      </w:r>
      <w:r w:rsidRPr="00265A72">
        <w:rPr>
          <w:lang w:val="fr-FR"/>
        </w:rPr>
        <w:tab/>
        <w:t>Enregistrement d'une suspension d'utilisation</w:t>
      </w:r>
    </w:p>
    <w:p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rsidR="00265A72" w:rsidRPr="00265A72" w:rsidRDefault="00265A72" w:rsidP="00192AD2">
      <w:pPr>
        <w:spacing w:before="120"/>
        <w:rPr>
          <w:color w:val="000000"/>
          <w:lang w:val="fr-FR"/>
        </w:rPr>
      </w:pPr>
      <w:r w:rsidRPr="00265A72">
        <w:rPr>
          <w:color w:val="000000"/>
          <w:lang w:val="fr-FR"/>
        </w:rPr>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t>Consultation concernant la reprise d'utilisation d'une assignation</w:t>
      </w:r>
    </w:p>
    <w:p w:rsidR="000F3341" w:rsidRPr="000F3341" w:rsidRDefault="000F3341" w:rsidP="000F3341">
      <w:pPr>
        <w:spacing w:before="120"/>
        <w:rPr>
          <w:iCs/>
          <w:color w:val="000000"/>
          <w:lang w:val="fr-FR"/>
        </w:rPr>
      </w:pPr>
      <w:r w:rsidRPr="000F3341">
        <w:rPr>
          <w:iCs/>
          <w:color w:val="000000"/>
          <w:lang w:val="fr-FR"/>
        </w:rPr>
        <w:t>A l'expiration de la période de suspension de l'utilisation d'une assignation de fréquence, l'administration notificatrice est consultée quant à la date de reprise d'utilisation. Selon les résultats de la consultation, le Bureau procédera comme suit:</w:t>
      </w:r>
    </w:p>
    <w:p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t xml:space="preserve">Lorsque l'administration informe que l'utilisation a été reprise,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0F3341">
        <w:rPr>
          <w:b/>
          <w:bCs/>
          <w:iCs/>
          <w:color w:val="000000"/>
          <w:lang w:val="fr-FR"/>
        </w:rPr>
        <w:t>11.49</w:t>
      </w:r>
      <w:r w:rsidRPr="000F3341">
        <w:rPr>
          <w:iCs/>
          <w:color w:val="000000"/>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0F3341">
        <w:rPr>
          <w:b/>
          <w:bCs/>
          <w:iCs/>
          <w:color w:val="000000"/>
          <w:lang w:val="fr-FR"/>
        </w:rPr>
        <w:t>11.49.1</w:t>
      </w:r>
      <w:r w:rsidRPr="000F3341">
        <w:rPr>
          <w:iCs/>
          <w:color w:val="000000"/>
          <w:lang w:val="fr-FR"/>
        </w:rPr>
        <w:t xml:space="preserve">. Voir également la Résolution </w:t>
      </w:r>
      <w:r w:rsidRPr="000F3341">
        <w:rPr>
          <w:b/>
          <w:bCs/>
          <w:iCs/>
          <w:color w:val="000000"/>
          <w:lang w:val="fr-FR"/>
        </w:rPr>
        <w:t>40 (CMR-15)</w:t>
      </w:r>
      <w:r w:rsidRPr="000F3341">
        <w:rPr>
          <w:iCs/>
          <w:color w:val="000000"/>
          <w:lang w:val="fr-FR"/>
        </w:rPr>
        <w:t>.</w:t>
      </w:r>
    </w:p>
    <w:p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rsidR="002641D0" w:rsidRDefault="002641D0">
      <w:pPr>
        <w:tabs>
          <w:tab w:val="clear" w:pos="1134"/>
          <w:tab w:val="clear" w:pos="1871"/>
          <w:tab w:val="clear" w:pos="2268"/>
        </w:tabs>
        <w:overflowPunct/>
        <w:autoSpaceDE/>
        <w:autoSpaceDN/>
        <w:adjustRightInd/>
        <w:spacing w:before="0"/>
        <w:jc w:val="left"/>
        <w:textAlignment w:val="auto"/>
        <w:rPr>
          <w:b/>
          <w:bCs/>
          <w:lang w:val="fr-CH"/>
        </w:rPr>
      </w:pPr>
      <w:r>
        <w:rPr>
          <w:b/>
          <w:bCs/>
          <w:lang w:val="fr-CH"/>
        </w:rPr>
        <w:br w:type="page"/>
      </w:r>
    </w:p>
    <w:p w:rsidR="006A52D5" w:rsidRPr="006A52D5" w:rsidRDefault="006A52D5" w:rsidP="006A52D5">
      <w:pPr>
        <w:spacing w:before="120"/>
        <w:rPr>
          <w:lang w:val="fr-CH"/>
        </w:rPr>
      </w:pPr>
      <w:r w:rsidRPr="006A52D5">
        <w:rPr>
          <w:b/>
          <w:bCs/>
          <w:lang w:val="fr-CH"/>
        </w:rPr>
        <w:lastRenderedPageBreak/>
        <w:t>Note</w:t>
      </w:r>
      <w:r w:rsidRPr="006A52D5">
        <w:rPr>
          <w:lang w:val="fr-CH"/>
        </w:rPr>
        <w:t>: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CMR15/453:</w:t>
      </w:r>
    </w:p>
    <w:p w:rsidR="006A52D5" w:rsidRPr="006A52D5" w:rsidRDefault="006A52D5" w:rsidP="00732677">
      <w:pPr>
        <w:spacing w:before="120"/>
        <w:rPr>
          <w:i/>
          <w:iCs/>
          <w:lang w:val="fr-CH"/>
        </w:rPr>
      </w:pPr>
      <w:r w:rsidRPr="006A52D5">
        <w:rPr>
          <w:i/>
          <w:iCs/>
          <w:lang w:val="fr-CH"/>
        </w:rPr>
        <w:t>«La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t>11.</w:t>
      </w:r>
      <w:r>
        <w:rPr>
          <w:bCs/>
          <w:color w:val="000000"/>
          <w:szCs w:val="24"/>
          <w:lang w:val="fr-FR"/>
        </w:rPr>
        <w:t>50</w:t>
      </w:r>
    </w:p>
    <w:p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 en s'attachant tout particulièrement aux …»,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il conviendrait d'appliquer les principes fondamentaux ci-après, sauf si la Conférence en décide autrement:</w:t>
      </w:r>
    </w:p>
    <w:p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rsidR="002641D0" w:rsidRDefault="002641D0">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val="fr-CH"/>
        </w:rPr>
      </w:pPr>
      <w:r>
        <w:rPr>
          <w:rFonts w:asciiTheme="majorBidi" w:hAnsiTheme="majorBidi" w:cstheme="majorBidi"/>
          <w:lang w:val="fr-CH"/>
        </w:rPr>
        <w:br w:type="page"/>
      </w:r>
    </w:p>
    <w:p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lastRenderedPageBreak/>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rsidR="00932942" w:rsidRDefault="00FC33BC" w:rsidP="00932942">
      <w:pPr>
        <w:spacing w:before="40"/>
        <w:rPr>
          <w:lang w:val="fr-FR"/>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w:t>
      </w:r>
      <w:r w:rsidR="00932942">
        <w:rPr>
          <w:lang w:val="fr-FR"/>
        </w:rPr>
        <w:br w:type="page"/>
      </w:r>
    </w:p>
    <w:p w:rsidR="00DF6DA5" w:rsidRDefault="00944BB7" w:rsidP="00106B7C">
      <w:pPr>
        <w:spacing w:before="40"/>
        <w:rPr>
          <w:rFonts w:asciiTheme="majorBidi" w:hAnsiTheme="majorBidi" w:cstheme="majorBidi"/>
          <w:lang w:val="fr-CH"/>
        </w:rPr>
      </w:pPr>
      <w:r w:rsidRPr="00944BB7">
        <w:rPr>
          <w:rFonts w:asciiTheme="majorBidi" w:hAnsiTheme="majorBidi" w:cstheme="majorBidi"/>
          <w:lang w:val="fr-FR"/>
        </w:rPr>
        <w:lastRenderedPageBreak/>
        <w:t>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00FC33BC" w:rsidRPr="00FC33BC">
        <w:rPr>
          <w:rFonts w:asciiTheme="majorBidi" w:hAnsiTheme="majorBidi" w:cstheme="majorBidi"/>
          <w:lang w:val="fr-CH"/>
        </w:rPr>
        <w:t>.</w:t>
      </w:r>
    </w:p>
    <w:p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rsidR="00FC33BC" w:rsidRDefault="00FC33BC" w:rsidP="00667361">
      <w:pPr>
        <w:rPr>
          <w:color w:val="000000"/>
          <w:lang w:val="fr-FR"/>
        </w:rPr>
      </w:pPr>
    </w:p>
    <w:p w:rsidR="00667361" w:rsidRPr="00277E7C" w:rsidRDefault="00667361" w:rsidP="00667361">
      <w:pPr>
        <w:jc w:val="center"/>
        <w:rPr>
          <w:lang w:val="fr-FR"/>
        </w:rPr>
      </w:pPr>
      <w:r w:rsidRPr="00277E7C">
        <w:rPr>
          <w:lang w:val="fr-FR"/>
        </w:rPr>
        <w:t>______________</w:t>
      </w:r>
      <w:r w:rsidR="00D07B24" w:rsidRPr="00277E7C">
        <w:rPr>
          <w:lang w:val="fr-FR"/>
        </w:rPr>
        <w:t>______</w:t>
      </w:r>
    </w:p>
    <w:p w:rsidR="00D20D54" w:rsidRPr="00277E7C" w:rsidRDefault="00D20D54" w:rsidP="00667361">
      <w:pPr>
        <w:rPr>
          <w:color w:val="000000"/>
          <w:lang w:val="fr-FR"/>
        </w:rPr>
      </w:pPr>
    </w:p>
    <w:p w:rsidR="00CB0787" w:rsidRPr="00277E7C" w:rsidRDefault="00CB0787">
      <w:pPr>
        <w:rPr>
          <w:lang w:val="fr-FR"/>
        </w:rPr>
        <w:sectPr w:rsidR="00CB0787" w:rsidRPr="00277E7C" w:rsidSect="001F0904">
          <w:headerReference w:type="even" r:id="rId14"/>
          <w:headerReference w:type="default" r:id="rId15"/>
          <w:footnotePr>
            <w:pos w:val="beneathText"/>
          </w:footnotePr>
          <w:pgSz w:w="11907" w:h="16840" w:code="9"/>
          <w:pgMar w:top="1701" w:right="851" w:bottom="1134" w:left="1985" w:header="720" w:footer="482" w:gutter="0"/>
          <w:pgNumType w:start="5"/>
          <w:cols w:space="720"/>
          <w:vAlign w:val="both"/>
          <w:docGrid w:linePitch="326"/>
        </w:sectPr>
      </w:pPr>
    </w:p>
    <w:p w:rsidR="00CB0787" w:rsidRPr="00277E7C" w:rsidRDefault="00CB0787" w:rsidP="000F3341">
      <w:pPr>
        <w:rPr>
          <w:lang w:val="fr-FR"/>
        </w:rPr>
      </w:pPr>
    </w:p>
    <w:sectPr w:rsidR="00CB0787" w:rsidRPr="00277E7C" w:rsidSect="009D1D46">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544" w:rsidRDefault="005B2544">
      <w:r>
        <w:separator/>
      </w:r>
    </w:p>
  </w:endnote>
  <w:endnote w:type="continuationSeparator" w:id="0">
    <w:p w:rsidR="005B2544" w:rsidRDefault="005B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Bold">
    <w:altName w:val="Arial Unicode MS"/>
    <w:panose1 w:val="00000000000000000000"/>
    <w:charset w:val="00"/>
    <w:family w:val="roman"/>
    <w:notTrueType/>
    <w:pitch w:val="default"/>
    <w:sig w:usb0="00000000"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544" w:rsidRDefault="005B2544">
      <w:r>
        <w:rPr>
          <w:b/>
        </w:rPr>
        <w:t>_______________</w:t>
      </w:r>
    </w:p>
  </w:footnote>
  <w:footnote w:type="continuationSeparator" w:id="0">
    <w:p w:rsidR="005B2544" w:rsidRDefault="005B2544">
      <w:r>
        <w:continuationSeparator/>
      </w:r>
    </w:p>
  </w:footnote>
  <w:footnote w:id="1">
    <w:p w:rsidR="005B2544" w:rsidRDefault="005B2544"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rsidR="005B2544" w:rsidRDefault="005B2544"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rsidR="005B2544" w:rsidRDefault="005B2544"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rsidR="005B2544" w:rsidRDefault="005B2544"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rsidR="005B2544" w:rsidRDefault="005B2544" w:rsidP="00A97591">
      <w:pPr>
        <w:pStyle w:val="FootnoteText"/>
        <w:rPr>
          <w:lang w:val="fr-CH"/>
        </w:rPr>
      </w:pPr>
      <w:r>
        <w:rPr>
          <w:rStyle w:val="FootnoteReference"/>
          <w:lang w:val="fr-CH"/>
        </w:rPr>
        <w:t>5</w:t>
      </w:r>
      <w:r>
        <w:rPr>
          <w:lang w:val="fr-CH"/>
        </w:rPr>
        <w:tab/>
      </w:r>
      <w:r>
        <w:rPr>
          <w:color w:val="000000"/>
          <w:lang w:val="fr-CH"/>
        </w:rPr>
        <w:t>En ce qui concerne l'application de cette disposition aux assignations du SRS soumises au titre de la Réso</w:t>
      </w:r>
      <w:r>
        <w:rPr>
          <w:color w:val="000000"/>
          <w:lang w:val="fr-CH"/>
        </w:rPr>
        <w:softHyphen/>
        <w:t>lution </w:t>
      </w:r>
      <w:r>
        <w:rPr>
          <w:b/>
          <w:bCs/>
          <w:color w:val="000000"/>
          <w:lang w:val="fr-CH"/>
        </w:rPr>
        <w:t>33</w:t>
      </w:r>
      <w:r>
        <w:rPr>
          <w:color w:val="000000"/>
          <w:lang w:val="fr-CH"/>
        </w:rPr>
        <w:t xml:space="preserve"> </w:t>
      </w:r>
      <w:r>
        <w:rPr>
          <w:b/>
          <w:color w:val="000000"/>
          <w:lang w:val="fr-CH"/>
        </w:rPr>
        <w:t>(Rév.CMR-</w:t>
      </w:r>
      <w:r w:rsidR="00A97591">
        <w:rPr>
          <w:b/>
          <w:color w:val="000000"/>
          <w:lang w:val="fr-CH"/>
        </w:rPr>
        <w:t>15</w:t>
      </w:r>
      <w:r>
        <w:rPr>
          <w:b/>
          <w:color w:val="000000"/>
          <w:lang w:val="fr-CH"/>
        </w:rPr>
        <w:t>)</w:t>
      </w:r>
      <w:r>
        <w:rPr>
          <w:color w:val="000000"/>
          <w:lang w:val="fr-CH"/>
        </w:rPr>
        <w:t>, voir les commentaires concernant la Règle de procédure relative au numéro </w:t>
      </w:r>
      <w:r>
        <w:rPr>
          <w:rStyle w:val="Artref0"/>
          <w:b/>
          <w:bCs/>
          <w:color w:val="000000"/>
          <w:lang w:val="fr-CH"/>
        </w:rPr>
        <w:t>23.13</w:t>
      </w:r>
      <w:r>
        <w:rPr>
          <w:color w:val="000000"/>
          <w:lang w:val="fr-CH"/>
        </w:rPr>
        <w:t>.</w:t>
      </w:r>
    </w:p>
  </w:footnote>
  <w:footnote w:id="6">
    <w:p w:rsidR="005B2544" w:rsidRDefault="005B2544"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rsidR="005B2544" w:rsidRDefault="005B2544" w:rsidP="000E7C11">
      <w:pPr>
        <w:pStyle w:val="FootnoteText"/>
        <w:rPr>
          <w:lang w:val="fr-CH"/>
        </w:rPr>
      </w:pPr>
      <w:r>
        <w:rPr>
          <w:rStyle w:val="FootnoteReference"/>
          <w:lang w:val="fr-CH"/>
        </w:rPr>
        <w:t>7</w:t>
      </w:r>
      <w:r>
        <w:rPr>
          <w:lang w:val="fr-CH"/>
        </w:rPr>
        <w:tab/>
      </w:r>
      <w:r>
        <w:rPr>
          <w:color w:val="000000"/>
          <w:lang w:val="fr-CH"/>
        </w:rPr>
        <w:t xml:space="preserve">Voir les Règles de procédure relatives au numéro </w:t>
      </w:r>
      <w:r>
        <w:rPr>
          <w:rStyle w:val="Artref0"/>
          <w:b/>
          <w:bCs/>
          <w:color w:val="000000"/>
          <w:lang w:val="fr-CH"/>
        </w:rPr>
        <w:t>21.11</w:t>
      </w:r>
      <w:r>
        <w:rPr>
          <w:color w:val="000000"/>
          <w:lang w:val="fr-CH"/>
        </w:rPr>
        <w:t>.</w:t>
      </w:r>
    </w:p>
  </w:footnote>
  <w:footnote w:id="8">
    <w:p w:rsidR="005B2544" w:rsidRDefault="005B2544" w:rsidP="000E7C11">
      <w:pPr>
        <w:pStyle w:val="FootnoteText"/>
        <w:rPr>
          <w:lang w:val="fr-CH"/>
        </w:rPr>
      </w:pPr>
      <w:r>
        <w:rPr>
          <w:rStyle w:val="FootnoteReference"/>
          <w:lang w:val="fr-CH"/>
        </w:rPr>
        <w:t>8</w:t>
      </w:r>
      <w:r>
        <w:rPr>
          <w:lang w:val="fr-CH"/>
        </w:rPr>
        <w:tab/>
      </w:r>
      <w:r>
        <w:rPr>
          <w:color w:val="000000"/>
          <w:lang w:val="fr-CH"/>
        </w:rPr>
        <w:t xml:space="preserve">Voir les Règles de procédure relatives au numéro </w:t>
      </w:r>
      <w:r>
        <w:rPr>
          <w:rStyle w:val="Artref0"/>
          <w:b/>
          <w:bCs/>
          <w:color w:val="000000"/>
          <w:lang w:val="fr-CH"/>
        </w:rPr>
        <w:t>21.14</w:t>
      </w:r>
      <w:r>
        <w:rPr>
          <w:b/>
          <w:bCs/>
          <w:color w:val="000000"/>
          <w:lang w:val="fr-CH"/>
        </w:rPr>
        <w:t>.</w:t>
      </w:r>
    </w:p>
  </w:footnote>
  <w:footnote w:id="9">
    <w:p w:rsidR="005B2544" w:rsidRDefault="005B2544" w:rsidP="000E7C11">
      <w:pPr>
        <w:pStyle w:val="FootnoteText"/>
        <w:rPr>
          <w:lang w:val="fr-CH"/>
        </w:rPr>
      </w:pPr>
      <w:r>
        <w:rPr>
          <w:rStyle w:val="FootnoteReference"/>
          <w:lang w:val="fr-CH"/>
        </w:rPr>
        <w:t>9</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un </w:t>
      </w:r>
      <w:r>
        <w:rPr>
          <w:rFonts w:ascii="Tms Rmn" w:hAnsi="Tms Rmn"/>
          <w:color w:val="000000"/>
          <w:sz w:val="12"/>
          <w:lang w:val="fr-CH"/>
        </w:rPr>
        <w:t> </w:t>
      </w:r>
      <w:r>
        <w:rPr>
          <w:color w:val="000000"/>
          <w:lang w:val="fr-CH"/>
        </w:rPr>
        <w:t>délai de trois ans à compter de la date de notification, le Bureau doit tenir compte d'une observation reçue trois mois après la date de publication.</w:t>
      </w:r>
    </w:p>
  </w:footnote>
  <w:footnote w:id="10">
    <w:p w:rsidR="005B2544" w:rsidRPr="00B866B3" w:rsidRDefault="005B2544"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1">
    <w:p w:rsidR="00D72F29" w:rsidRPr="00D72F29" w:rsidRDefault="00D72F29"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2">
    <w:p w:rsidR="005B2544" w:rsidRPr="0061020A" w:rsidRDefault="005B2544" w:rsidP="0061020A">
      <w:pPr>
        <w:pStyle w:val="FootnoteText"/>
        <w:rPr>
          <w:lang w:val="fr-CH"/>
        </w:rPr>
      </w:pPr>
      <w:r w:rsidRPr="003654A4">
        <w:rPr>
          <w:rStyle w:val="FootnoteReference"/>
          <w:lang w:val="fr-CH"/>
        </w:rPr>
        <w:t>10</w:t>
      </w:r>
      <w:r w:rsidRPr="0061020A">
        <w:rPr>
          <w:lang w:val="fr-CH"/>
        </w:rPr>
        <w:t xml:space="preserve"> </w:t>
      </w:r>
      <w:r w:rsidRPr="0061020A">
        <w:rPr>
          <w:sz w:val="18"/>
          <w:szCs w:val="14"/>
          <w:lang w:val="fr-CH"/>
        </w:rPr>
        <w:tab/>
      </w:r>
      <w:r w:rsidRPr="0061020A">
        <w:rPr>
          <w:lang w:val="fr-CH"/>
        </w:rPr>
        <w:t>Applicable également au § 4.1.3 ou 4.1.3</w:t>
      </w:r>
      <w:r w:rsidRPr="0061020A">
        <w:rPr>
          <w:i/>
          <w:iCs/>
          <w:lang w:val="fr-CH"/>
        </w:rPr>
        <w:t>bis</w:t>
      </w:r>
      <w:r w:rsidRPr="0061020A">
        <w:rPr>
          <w:lang w:val="fr-CH"/>
        </w:rPr>
        <w:t xml:space="preserve"> ou 4.2.6 ou 4.2.6</w:t>
      </w:r>
      <w:r w:rsidRPr="0061020A">
        <w:rPr>
          <w:i/>
          <w:iCs/>
          <w:lang w:val="fr-CH"/>
        </w:rPr>
        <w:t>bis</w:t>
      </w:r>
      <w:r w:rsidRPr="0061020A">
        <w:rPr>
          <w:lang w:val="fr-CH"/>
        </w:rPr>
        <w:t xml:space="preserve"> de l'Article </w:t>
      </w:r>
      <w:r w:rsidRPr="0061020A">
        <w:rPr>
          <w:b/>
          <w:bCs/>
          <w:lang w:val="fr-CH"/>
        </w:rPr>
        <w:t>4</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aux § 6.1 ou 6.31</w:t>
      </w:r>
      <w:r w:rsidRPr="0061020A">
        <w:rPr>
          <w:i/>
          <w:iCs/>
          <w:lang w:val="fr-CH"/>
        </w:rPr>
        <w:t>bis</w:t>
      </w:r>
      <w:r w:rsidRPr="0061020A">
        <w:rPr>
          <w:lang w:val="fr-CH"/>
        </w:rPr>
        <w:t xml:space="preserve">, et 6.33 de l'Article </w:t>
      </w:r>
      <w:r w:rsidRPr="0061020A">
        <w:rPr>
          <w:b/>
          <w:bCs/>
          <w:lang w:val="fr-CH"/>
        </w:rPr>
        <w:t>6</w:t>
      </w:r>
      <w:r w:rsidRPr="0061020A">
        <w:rPr>
          <w:lang w:val="fr-CH"/>
        </w:rPr>
        <w:t xml:space="preserve"> de l'Appendice </w:t>
      </w:r>
      <w:r w:rsidRPr="0061020A">
        <w:rPr>
          <w:b/>
          <w:bCs/>
          <w:lang w:val="fr-CH"/>
        </w:rPr>
        <w:t>30B</w:t>
      </w:r>
      <w:r w:rsidRPr="0061020A">
        <w:rPr>
          <w:lang w:val="fr-CH"/>
        </w:rPr>
        <w:t>.</w:t>
      </w:r>
    </w:p>
  </w:footnote>
  <w:footnote w:id="13">
    <w:p w:rsidR="005B2544" w:rsidRPr="0061020A" w:rsidRDefault="005B2544" w:rsidP="0061020A">
      <w:pPr>
        <w:pStyle w:val="FootnoteText"/>
        <w:rPr>
          <w:lang w:val="fr-CH"/>
        </w:rPr>
      </w:pPr>
      <w:r w:rsidRPr="003654A4">
        <w:rPr>
          <w:rStyle w:val="FootnoteReference"/>
          <w:lang w:val="fr-CH"/>
        </w:rPr>
        <w:t>11</w:t>
      </w:r>
      <w:r w:rsidRPr="0061020A">
        <w:rPr>
          <w:lang w:val="fr-CH"/>
        </w:rPr>
        <w:t xml:space="preserve"> </w:t>
      </w:r>
      <w:r w:rsidRPr="0061020A">
        <w:rPr>
          <w:lang w:val="fr-CH"/>
        </w:rPr>
        <w:tab/>
        <w:t xml:space="preserve">Applicable également au § 5.3.1 de l'Article </w:t>
      </w:r>
      <w:r w:rsidRPr="0061020A">
        <w:rPr>
          <w:b/>
          <w:bCs/>
          <w:lang w:val="fr-CH"/>
        </w:rPr>
        <w:t>5</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 § 8.16 de l'Article </w:t>
      </w:r>
      <w:r w:rsidRPr="0061020A">
        <w:rPr>
          <w:b/>
          <w:bCs/>
          <w:lang w:val="fr-CH"/>
        </w:rPr>
        <w:t>8</w:t>
      </w:r>
      <w:r w:rsidRPr="0061020A">
        <w:rPr>
          <w:lang w:val="fr-CH"/>
        </w:rPr>
        <w:t xml:space="preserve"> de l'Appendice </w:t>
      </w:r>
      <w:r w:rsidRPr="0061020A">
        <w:rPr>
          <w:b/>
          <w:bCs/>
          <w:lang w:val="fr-CH"/>
        </w:rPr>
        <w:t>30B</w:t>
      </w:r>
      <w:r w:rsidRPr="0061020A">
        <w:rPr>
          <w:lang w:val="fr-CH"/>
        </w:rPr>
        <w:t>.</w:t>
      </w:r>
    </w:p>
  </w:footnote>
  <w:footnote w:id="14">
    <w:p w:rsidR="005B2544" w:rsidRPr="0061020A" w:rsidRDefault="005B2544" w:rsidP="0061020A">
      <w:pPr>
        <w:pStyle w:val="FootnoteText"/>
        <w:rPr>
          <w:lang w:val="fr-CH"/>
        </w:rPr>
      </w:pPr>
      <w:r w:rsidRPr="003654A4">
        <w:rPr>
          <w:rStyle w:val="FootnoteReference"/>
          <w:lang w:val="fr-CH"/>
        </w:rPr>
        <w:t>12</w:t>
      </w:r>
      <w:r w:rsidRPr="0061020A">
        <w:rPr>
          <w:lang w:val="fr-CH"/>
        </w:rPr>
        <w:t xml:space="preserve"> </w:t>
      </w:r>
      <w:r w:rsidRPr="0061020A">
        <w:rPr>
          <w:lang w:val="fr-CH"/>
        </w:rPr>
        <w:tab/>
        <w:t>Applicable également au § 4.1.3 ou 4.1.3</w:t>
      </w:r>
      <w:r w:rsidRPr="0061020A">
        <w:rPr>
          <w:i/>
          <w:iCs/>
          <w:lang w:val="fr-CH"/>
        </w:rPr>
        <w:t>bis</w:t>
      </w:r>
      <w:r w:rsidRPr="0061020A">
        <w:rPr>
          <w:lang w:val="fr-CH"/>
        </w:rPr>
        <w:t xml:space="preserve"> ou 4.2.6 ou 4.2.6</w:t>
      </w:r>
      <w:r w:rsidRPr="0061020A">
        <w:rPr>
          <w:i/>
          <w:iCs/>
          <w:lang w:val="fr-CH"/>
        </w:rPr>
        <w:t>bis</w:t>
      </w:r>
      <w:r w:rsidRPr="0061020A">
        <w:rPr>
          <w:lang w:val="fr-CH"/>
        </w:rPr>
        <w:t xml:space="preserve"> de l'Article </w:t>
      </w:r>
      <w:r w:rsidRPr="0061020A">
        <w:rPr>
          <w:b/>
          <w:bCs/>
          <w:lang w:val="fr-CH"/>
        </w:rPr>
        <w:t>4</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 § 6.33 de l'Article </w:t>
      </w:r>
      <w:r w:rsidRPr="0061020A">
        <w:rPr>
          <w:b/>
          <w:bCs/>
          <w:lang w:val="fr-CH"/>
        </w:rPr>
        <w:t>6</w:t>
      </w:r>
      <w:r w:rsidRPr="0061020A">
        <w:rPr>
          <w:lang w:val="fr-CH"/>
        </w:rPr>
        <w:t xml:space="preserve"> de l'Appendice </w:t>
      </w:r>
      <w:r w:rsidRPr="0061020A">
        <w:rPr>
          <w:b/>
          <w:bCs/>
          <w:lang w:val="fr-CH"/>
        </w:rPr>
        <w:t>30B</w:t>
      </w:r>
      <w:r w:rsidRPr="0061020A">
        <w:rPr>
          <w:lang w:val="fr-CH"/>
        </w:rPr>
        <w:t>.</w:t>
      </w:r>
    </w:p>
  </w:footnote>
  <w:footnote w:id="15">
    <w:p w:rsidR="0031324B" w:rsidRPr="0061020A" w:rsidRDefault="0031324B" w:rsidP="0031324B">
      <w:pPr>
        <w:pStyle w:val="FootnoteText"/>
        <w:rPr>
          <w:rStyle w:val="FootnoteReference"/>
          <w:sz w:val="24"/>
          <w:lang w:val="fr-CH"/>
        </w:rPr>
      </w:pPr>
      <w:r w:rsidRPr="0061020A">
        <w:rPr>
          <w:rStyle w:val="FootnoteReference"/>
          <w:lang w:val="fr-CH"/>
        </w:rPr>
        <w:t>*</w:t>
      </w:r>
      <w:r w:rsidRPr="0061020A">
        <w:rPr>
          <w:lang w:val="fr-CH"/>
        </w:rPr>
        <w:t xml:space="preserve"> </w:t>
      </w:r>
      <w:r w:rsidRPr="0061020A">
        <w:rPr>
          <w:rStyle w:val="FootnoteReference"/>
          <w:sz w:val="24"/>
          <w:lang w:val="fr-CH"/>
        </w:rPr>
        <w:tab/>
      </w:r>
      <w:r w:rsidRPr="00B61F96">
        <w:rPr>
          <w:i/>
          <w:iCs/>
          <w:lang w:val="fr-CH"/>
        </w:rPr>
        <w:t>Note du Secrétariat</w:t>
      </w:r>
      <w:r w:rsidRPr="00711CFC">
        <w:rPr>
          <w:lang w:val="fr-CH"/>
        </w:rPr>
        <w:t>:</w:t>
      </w:r>
      <w:r>
        <w:rPr>
          <w:lang w:val="fr-CH"/>
        </w:rPr>
        <w:t xml:space="preserve"> Cette Résolution a été révisée par la CMR-15.</w:t>
      </w:r>
    </w:p>
  </w:footnote>
  <w:footnote w:id="16">
    <w:p w:rsidR="0031324B" w:rsidRPr="0031324B" w:rsidRDefault="0031324B" w:rsidP="0031324B">
      <w:pPr>
        <w:pStyle w:val="FootnoteText"/>
        <w:rPr>
          <w:lang w:val="fr-CH"/>
        </w:rPr>
      </w:pPr>
      <w:r w:rsidRPr="0031324B">
        <w:rPr>
          <w:rStyle w:val="FootnoteReference"/>
          <w:lang w:val="fr-CH"/>
        </w:rPr>
        <w:t>**</w:t>
      </w:r>
      <w:r w:rsidRPr="0031324B">
        <w:rPr>
          <w:lang w:val="fr-CH"/>
        </w:rPr>
        <w:t xml:space="preserve"> </w:t>
      </w:r>
      <w:r w:rsidRPr="0031324B">
        <w:rPr>
          <w:lang w:val="fr-CH"/>
        </w:rPr>
        <w:tab/>
      </w:r>
      <w:r w:rsidRPr="00B61F96">
        <w:rPr>
          <w:i/>
          <w:iCs/>
          <w:lang w:val="fr-CH"/>
        </w:rPr>
        <w:t>Note du Secrétariat</w:t>
      </w:r>
      <w:r w:rsidRPr="00711CFC">
        <w:rPr>
          <w:lang w:val="fr-CH"/>
        </w:rPr>
        <w:t>: La CMR</w:t>
      </w:r>
      <w:r w:rsidRPr="00711CFC">
        <w:rPr>
          <w:lang w:val="fr-CH"/>
        </w:rPr>
        <w:noBreakHyphen/>
        <w:t>15 a également modifié les dispositions du numéro 11.49. En conséquence, le «délai de trois ans suivant la date de suspension» est interprété comme désignant la fin de la période maximale de suspension prévue au numéro 11.49.</w:t>
      </w:r>
    </w:p>
  </w:footnote>
  <w:footnote w:id="17">
    <w:p w:rsidR="005B2544" w:rsidRPr="000F3341" w:rsidRDefault="005B2544" w:rsidP="00520B7A">
      <w:pPr>
        <w:pStyle w:val="FootnoteText"/>
        <w:rPr>
          <w:lang w:val="fr-CH"/>
        </w:rPr>
      </w:pPr>
      <w:r w:rsidRPr="003654A4">
        <w:rPr>
          <w:rStyle w:val="FootnoteReference"/>
          <w:lang w:val="fr-CH"/>
        </w:rPr>
        <w:t>13</w:t>
      </w:r>
      <w:r w:rsidRPr="000F3341">
        <w:rPr>
          <w:lang w:val="fr-CH"/>
        </w:rPr>
        <w:t xml:space="preserve"> </w:t>
      </w:r>
      <w:r w:rsidRPr="000F3341">
        <w:rPr>
          <w:lang w:val="fr-CH"/>
        </w:rPr>
        <w:tab/>
        <w:t xml:space="preserve">Applicable également aux § 5.2.10 et 5.2.11 de l'Article </w:t>
      </w:r>
      <w:r w:rsidRPr="000F3341">
        <w:rPr>
          <w:b/>
          <w:bCs/>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sidR="00520B7A">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70007" w:rsidTr="00B274E5">
      <w:trPr>
        <w:cantSplit/>
      </w:trPr>
      <w:tc>
        <w:tcPr>
          <w:tcW w:w="1701" w:type="dxa"/>
          <w:tcBorders>
            <w:top w:val="single" w:sz="6" w:space="0" w:color="auto"/>
            <w:left w:val="single" w:sz="6" w:space="0" w:color="auto"/>
            <w:bottom w:val="single" w:sz="6" w:space="0" w:color="auto"/>
            <w:right w:val="single" w:sz="6" w:space="0" w:color="auto"/>
          </w:tcBorders>
        </w:tcPr>
        <w:p w:rsidR="00770007" w:rsidRDefault="0077000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70007" w:rsidRDefault="00365252" w:rsidP="00770007">
          <w:pPr>
            <w:pStyle w:val="HeaderRegProc"/>
            <w:rPr>
              <w:lang w:val="fr-CH"/>
            </w:rPr>
          </w:pPr>
          <w:fldSimple w:instr=" DOCPROPERTY &quot;Header&quot; \* MERGEFORMAT ">
            <w:r w:rsidR="005849C8" w:rsidRPr="005849C8">
              <w:rPr>
                <w:lang w:val="fr-CH"/>
              </w:rPr>
              <w:t>AR</w:t>
            </w:r>
          </w:fldSimple>
          <w:r w:rsidR="00770007">
            <w:t>11</w:t>
          </w:r>
        </w:p>
      </w:tc>
      <w:tc>
        <w:tcPr>
          <w:tcW w:w="1701" w:type="dxa"/>
          <w:tcBorders>
            <w:top w:val="single" w:sz="6" w:space="0" w:color="auto"/>
            <w:left w:val="single" w:sz="6" w:space="0" w:color="auto"/>
            <w:bottom w:val="single" w:sz="6" w:space="0" w:color="auto"/>
            <w:right w:val="single" w:sz="6" w:space="0" w:color="auto"/>
          </w:tcBorders>
        </w:tcPr>
        <w:p w:rsidR="00770007" w:rsidRDefault="0077000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5849C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70007" w:rsidRDefault="00770007" w:rsidP="00770007">
          <w:pPr>
            <w:pStyle w:val="HeaderRegProc"/>
            <w:rPr>
              <w:lang w:val="fr-CH"/>
            </w:rPr>
          </w:pPr>
          <w:r>
            <w:rPr>
              <w:lang w:val="fr-CH"/>
            </w:rPr>
            <w:t>rev.</w:t>
          </w:r>
          <w:r>
            <w:t>-</w:t>
          </w:r>
        </w:p>
      </w:tc>
    </w:tr>
  </w:tbl>
  <w:p w:rsidR="00770007" w:rsidRDefault="007700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C272E"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rsidR="00FC272E" w:rsidRDefault="00FC272E"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FC272E" w:rsidRDefault="00365252" w:rsidP="00FC272E">
          <w:pPr>
            <w:pStyle w:val="HeaderRegProc"/>
            <w:jc w:val="left"/>
            <w:rPr>
              <w:color w:val="000000"/>
              <w:lang w:val="fr-CH"/>
            </w:rPr>
          </w:pPr>
          <w:fldSimple w:instr=" DOCPROPERTY &quot;Header&quot; \* MERGEFORMAT ">
            <w:r w:rsidR="005849C8" w:rsidRPr="005849C8">
              <w:rPr>
                <w:color w:val="000000"/>
                <w:lang w:val="fr-CH"/>
              </w:rPr>
              <w:t>AR</w:t>
            </w:r>
          </w:fldSimple>
          <w:r w:rsidR="00FC272E">
            <w:rPr>
              <w:color w:val="000000"/>
            </w:rPr>
            <w:fldChar w:fldCharType="begin"/>
          </w:r>
          <w:r w:rsidR="00FC272E">
            <w:rPr>
              <w:color w:val="000000"/>
              <w:lang w:val="fr-CH"/>
            </w:rPr>
            <w:instrText>styleref href2</w:instrText>
          </w:r>
          <w:r w:rsidR="00FC272E">
            <w:rPr>
              <w:color w:val="000000"/>
            </w:rPr>
            <w:fldChar w:fldCharType="separate"/>
          </w:r>
          <w:r w:rsidR="005849C8">
            <w:rPr>
              <w:noProof/>
              <w:color w:val="000000"/>
            </w:rPr>
            <w:t>11</w:t>
          </w:r>
          <w:r w:rsidR="00FC272E">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C272E" w:rsidRDefault="00FC272E" w:rsidP="00FC272E">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849C8">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C272E" w:rsidRDefault="00FC272E" w:rsidP="00FC272E">
          <w:pPr>
            <w:pStyle w:val="HeaderRegProc"/>
            <w:jc w:val="left"/>
            <w:rPr>
              <w:color w:val="000000"/>
              <w:lang w:val="fr-CH"/>
            </w:rPr>
          </w:pPr>
          <w:r>
            <w:rPr>
              <w:color w:val="000000"/>
              <w:lang w:val="fr-CH"/>
            </w:rPr>
            <w:t>rév.-</w:t>
          </w:r>
        </w:p>
      </w:tc>
    </w:tr>
  </w:tbl>
  <w:p w:rsidR="00FC272E" w:rsidRDefault="00FC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2544">
      <w:trPr>
        <w:cantSplit/>
        <w:jc w:val="right"/>
      </w:trPr>
      <w:tc>
        <w:tcPr>
          <w:tcW w:w="1701" w:type="dxa"/>
          <w:tcBorders>
            <w:top w:val="single" w:sz="6" w:space="0" w:color="auto"/>
            <w:left w:val="single" w:sz="6" w:space="0" w:color="auto"/>
            <w:bottom w:val="single" w:sz="6" w:space="0" w:color="auto"/>
            <w:right w:val="single" w:sz="6" w:space="0" w:color="auto"/>
          </w:tcBorders>
        </w:tcPr>
        <w:p w:rsidR="005B2544" w:rsidRDefault="005B254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5B2544" w:rsidRDefault="00365252">
          <w:pPr>
            <w:pStyle w:val="HeaderRegProc"/>
            <w:jc w:val="left"/>
            <w:rPr>
              <w:color w:val="000000"/>
              <w:lang w:val="fr-CH"/>
            </w:rPr>
          </w:pPr>
          <w:fldSimple w:instr=" DOCPROPERTY &quot;Header&quot; \* MERGEFORMAT ">
            <w:r w:rsidR="005849C8" w:rsidRPr="005849C8">
              <w:rPr>
                <w:color w:val="000000"/>
                <w:lang w:val="fr-CH"/>
              </w:rPr>
              <w:t>AR</w:t>
            </w:r>
          </w:fldSimple>
          <w:r w:rsidR="005B2544">
            <w:rPr>
              <w:color w:val="000000"/>
            </w:rPr>
            <w:fldChar w:fldCharType="begin"/>
          </w:r>
          <w:r w:rsidR="005B2544">
            <w:rPr>
              <w:color w:val="000000"/>
              <w:lang w:val="fr-CH"/>
            </w:rPr>
            <w:instrText>styleref href2</w:instrText>
          </w:r>
          <w:r w:rsidR="005B2544">
            <w:rPr>
              <w:color w:val="000000"/>
            </w:rPr>
            <w:fldChar w:fldCharType="separate"/>
          </w:r>
          <w:r w:rsidR="005849C8">
            <w:rPr>
              <w:noProof/>
              <w:color w:val="000000"/>
            </w:rPr>
            <w:t>11</w:t>
          </w:r>
          <w:r w:rsidR="005B254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5B2544" w:rsidRDefault="005B2544" w:rsidP="00DF6DA5">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849C8">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B2544" w:rsidRDefault="005B2544" w:rsidP="000B2AA2">
          <w:pPr>
            <w:pStyle w:val="HeaderRegProc"/>
            <w:jc w:val="left"/>
            <w:rPr>
              <w:color w:val="000000"/>
              <w:lang w:val="fr-CH"/>
            </w:rPr>
          </w:pPr>
          <w:r>
            <w:rPr>
              <w:color w:val="000000"/>
              <w:lang w:val="fr-CH"/>
            </w:rPr>
            <w:t>rév.</w:t>
          </w:r>
          <w:r w:rsidR="000B2AA2">
            <w:rPr>
              <w:color w:val="000000"/>
              <w:lang w:val="fr-CH"/>
            </w:rPr>
            <w:t>-</w:t>
          </w:r>
        </w:p>
      </w:tc>
    </w:tr>
  </w:tbl>
  <w:p w:rsidR="005B2544" w:rsidRDefault="005B2544">
    <w:pPr>
      <w:pStyle w:val="Header"/>
      <w:jc w:val="left"/>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F0904" w:rsidTr="00B274E5">
      <w:trPr>
        <w:cantSplit/>
      </w:trPr>
      <w:tc>
        <w:tcPr>
          <w:tcW w:w="1701" w:type="dxa"/>
          <w:tcBorders>
            <w:top w:val="single" w:sz="6" w:space="0" w:color="auto"/>
            <w:left w:val="single" w:sz="6" w:space="0" w:color="auto"/>
            <w:bottom w:val="single" w:sz="6" w:space="0" w:color="auto"/>
            <w:right w:val="single" w:sz="6" w:space="0" w:color="auto"/>
          </w:tcBorders>
        </w:tcPr>
        <w:p w:rsidR="001F0904" w:rsidRDefault="001F0904"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770007">
          <w:pPr>
            <w:pStyle w:val="HeaderRegProc"/>
            <w:rPr>
              <w:lang w:val="fr-CH"/>
            </w:rPr>
          </w:pPr>
          <w:fldSimple w:instr=" DOCPROPERTY &quot;Header&quot; \* MERGEFORMAT ">
            <w:r w:rsidR="005849C8" w:rsidRPr="005849C8">
              <w:rPr>
                <w:lang w:val="fr-CH"/>
              </w:rPr>
              <w:t>AR</w:t>
            </w:r>
          </w:fldSimple>
          <w:r>
            <w:t>11</w:t>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1F0904">
          <w:pPr>
            <w:pStyle w:val="HeaderRegProc"/>
            <w:rPr>
              <w:lang w:val="fr-CH"/>
            </w:rPr>
          </w:pPr>
          <w:r>
            <w:rPr>
              <w:lang w:val="fr-CH"/>
            </w:rPr>
            <w:t>rev.</w:t>
          </w:r>
          <w:r>
            <w:t>1</w:t>
          </w:r>
        </w:p>
      </w:tc>
    </w:tr>
  </w:tbl>
  <w:p w:rsidR="001F0904" w:rsidRDefault="001F09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F0904"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1F0904" w:rsidRDefault="001F0904"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FC272E">
          <w:pPr>
            <w:pStyle w:val="HeaderRegProc"/>
            <w:jc w:val="left"/>
            <w:rPr>
              <w:color w:val="000000"/>
              <w:lang w:val="fr-CH"/>
            </w:rPr>
          </w:pPr>
          <w:fldSimple w:instr=" DOCPROPERTY &quot;Header&quot; \* MERGEFORMAT ">
            <w:r w:rsidR="005849C8" w:rsidRPr="005849C8">
              <w:rPr>
                <w:color w:val="000000"/>
                <w:lang w:val="fr-CH"/>
              </w:rPr>
              <w:t>AR</w:t>
            </w:r>
          </w:fldSimple>
          <w:r>
            <w:rPr>
              <w:color w:val="000000"/>
            </w:rPr>
            <w:fldChar w:fldCharType="begin"/>
          </w:r>
          <w:r>
            <w:rPr>
              <w:color w:val="000000"/>
              <w:lang w:val="fr-CH"/>
            </w:rPr>
            <w:instrText>styleref href2</w:instrText>
          </w:r>
          <w:r>
            <w:rPr>
              <w:color w:val="000000"/>
            </w:rPr>
            <w:fldChar w:fldCharType="separate"/>
          </w:r>
          <w:r w:rsidR="005849C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1F0904">
          <w:pPr>
            <w:pStyle w:val="HeaderRegProc"/>
            <w:jc w:val="left"/>
            <w:rPr>
              <w:color w:val="000000"/>
              <w:lang w:val="fr-CH"/>
            </w:rPr>
          </w:pPr>
          <w:r>
            <w:rPr>
              <w:color w:val="000000"/>
              <w:lang w:val="fr-CH"/>
            </w:rPr>
            <w:t>rév.</w:t>
          </w:r>
        </w:p>
      </w:tc>
    </w:tr>
  </w:tbl>
  <w:p w:rsidR="001F0904" w:rsidRDefault="001F090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F0904" w:rsidTr="001F0904">
      <w:trPr>
        <w:cantSplit/>
      </w:trPr>
      <w:tc>
        <w:tcPr>
          <w:tcW w:w="1701" w:type="dxa"/>
          <w:tcBorders>
            <w:top w:val="single" w:sz="6" w:space="0" w:color="auto"/>
            <w:left w:val="single" w:sz="6" w:space="0" w:color="auto"/>
            <w:bottom w:val="single" w:sz="6" w:space="0" w:color="auto"/>
            <w:right w:val="single" w:sz="6" w:space="0" w:color="auto"/>
          </w:tcBorders>
        </w:tcPr>
        <w:p w:rsidR="001F0904" w:rsidRDefault="001F090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1F0904" w:rsidRDefault="001F0904">
          <w:pPr>
            <w:pStyle w:val="HeaderRegProc"/>
            <w:jc w:val="left"/>
            <w:rPr>
              <w:color w:val="000000"/>
              <w:lang w:val="fr-CH"/>
            </w:rPr>
          </w:pPr>
          <w:fldSimple w:instr=" DOCPROPERTY &quot;Header&quot; \* MERGEFORMAT ">
            <w:r w:rsidR="005849C8" w:rsidRPr="005849C8">
              <w:rPr>
                <w:color w:val="000000"/>
                <w:lang w:val="fr-CH"/>
              </w:rPr>
              <w:t>AR</w:t>
            </w:r>
          </w:fldSimple>
          <w:r>
            <w:rPr>
              <w:color w:val="000000"/>
            </w:rPr>
            <w:fldChar w:fldCharType="begin"/>
          </w:r>
          <w:r>
            <w:rPr>
              <w:color w:val="000000"/>
              <w:lang w:val="fr-CH"/>
            </w:rPr>
            <w:instrText>styleref href2</w:instrText>
          </w:r>
          <w:r>
            <w:rPr>
              <w:color w:val="000000"/>
            </w:rPr>
            <w:fldChar w:fldCharType="separate"/>
          </w:r>
          <w:r w:rsidR="005849C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DF6DA5">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849C8">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0B2AA2">
          <w:pPr>
            <w:pStyle w:val="HeaderRegProc"/>
            <w:jc w:val="left"/>
            <w:rPr>
              <w:color w:val="000000"/>
              <w:lang w:val="fr-CH"/>
            </w:rPr>
          </w:pPr>
          <w:r>
            <w:rPr>
              <w:color w:val="000000"/>
              <w:lang w:val="fr-CH"/>
            </w:rPr>
            <w:t>rév.</w:t>
          </w:r>
          <w:r w:rsidR="00C8044A">
            <w:rPr>
              <w:color w:val="000000"/>
              <w:lang w:val="fr-CH"/>
            </w:rPr>
            <w:t>1</w:t>
          </w:r>
        </w:p>
      </w:tc>
    </w:tr>
  </w:tbl>
  <w:p w:rsidR="001F0904" w:rsidRDefault="001F0904">
    <w:pPr>
      <w:pStyle w:val="Header"/>
      <w:jc w:val="left"/>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F0904" w:rsidTr="00B274E5">
      <w:trPr>
        <w:cantSplit/>
      </w:trPr>
      <w:tc>
        <w:tcPr>
          <w:tcW w:w="1701" w:type="dxa"/>
          <w:tcBorders>
            <w:top w:val="single" w:sz="6" w:space="0" w:color="auto"/>
            <w:left w:val="single" w:sz="6" w:space="0" w:color="auto"/>
            <w:bottom w:val="single" w:sz="6" w:space="0" w:color="auto"/>
            <w:right w:val="single" w:sz="6" w:space="0" w:color="auto"/>
          </w:tcBorders>
        </w:tcPr>
        <w:p w:rsidR="001F0904" w:rsidRDefault="001F0904"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770007">
          <w:pPr>
            <w:pStyle w:val="HeaderRegProc"/>
            <w:rPr>
              <w:lang w:val="fr-CH"/>
            </w:rPr>
          </w:pPr>
          <w:fldSimple w:instr=" DOCPROPERTY &quot;Header&quot; \* MERGEFORMAT ">
            <w:r w:rsidR="005849C8" w:rsidRPr="005849C8">
              <w:rPr>
                <w:lang w:val="fr-CH"/>
              </w:rPr>
              <w:t>AR</w:t>
            </w:r>
          </w:fldSimple>
          <w:r>
            <w:t>11</w:t>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5849C8">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1F0904">
          <w:pPr>
            <w:pStyle w:val="HeaderRegProc"/>
            <w:rPr>
              <w:lang w:val="fr-CH"/>
            </w:rPr>
          </w:pPr>
          <w:r>
            <w:rPr>
              <w:lang w:val="fr-CH"/>
            </w:rPr>
            <w:t>rev.</w:t>
          </w:r>
          <w:r w:rsidR="00C8044A">
            <w:t>-</w:t>
          </w:r>
        </w:p>
      </w:tc>
    </w:tr>
  </w:tbl>
  <w:p w:rsidR="001F0904" w:rsidRDefault="001F090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F0904"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1F0904" w:rsidRDefault="001F0904"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FC272E">
          <w:pPr>
            <w:pStyle w:val="HeaderRegProc"/>
            <w:jc w:val="left"/>
            <w:rPr>
              <w:color w:val="000000"/>
              <w:lang w:val="fr-CH"/>
            </w:rPr>
          </w:pPr>
          <w:fldSimple w:instr=" DOCPROPERTY &quot;Header&quot; \* MERGEFORMAT ">
            <w:r w:rsidR="005849C8" w:rsidRPr="005849C8">
              <w:rPr>
                <w:color w:val="000000"/>
                <w:lang w:val="fr-CH"/>
              </w:rPr>
              <w:t>AR</w:t>
            </w:r>
          </w:fldSimple>
          <w:r>
            <w:rPr>
              <w:color w:val="000000"/>
            </w:rPr>
            <w:fldChar w:fldCharType="begin"/>
          </w:r>
          <w:r>
            <w:rPr>
              <w:color w:val="000000"/>
              <w:lang w:val="fr-CH"/>
            </w:rPr>
            <w:instrText>styleref href2</w:instrText>
          </w:r>
          <w:r>
            <w:rPr>
              <w:color w:val="000000"/>
            </w:rPr>
            <w:fldChar w:fldCharType="separate"/>
          </w:r>
          <w:r w:rsidR="005849C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849C8">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0904" w:rsidRDefault="001F0904" w:rsidP="001F0904">
          <w:pPr>
            <w:pStyle w:val="HeaderRegProc"/>
            <w:jc w:val="left"/>
            <w:rPr>
              <w:color w:val="000000"/>
              <w:lang w:val="fr-CH"/>
            </w:rPr>
          </w:pPr>
          <w:r>
            <w:rPr>
              <w:color w:val="000000"/>
              <w:lang w:val="fr-CH"/>
            </w:rPr>
            <w:t>rév.</w:t>
          </w:r>
        </w:p>
      </w:tc>
    </w:tr>
  </w:tbl>
  <w:p w:rsidR="001F0904" w:rsidRDefault="001F090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544" w:rsidRDefault="005B2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D4CC2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6092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B8F7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3C3B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D41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38E6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0F3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3C09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30BE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1C107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3009"/>
  </w:hdrShapeDefaults>
  <w:footnotePr>
    <w:pos w:val="beneathText"/>
    <w:footnote w:id="-1"/>
    <w:footnote w:id="0"/>
  </w:footnotePr>
  <w:endnotePr>
    <w:endnote w:id="-1"/>
    <w:endnote w:id="0"/>
  </w:endnotePr>
  <w:compat>
    <w:compatSetting w:name="compatibilityMode" w:uri="http://schemas.microsoft.com/office/word" w:val="12"/>
  </w:compat>
  <w:rsids>
    <w:rsidRoot w:val="000472D5"/>
    <w:rsid w:val="00003A85"/>
    <w:rsid w:val="00014F87"/>
    <w:rsid w:val="00045A37"/>
    <w:rsid w:val="000472D5"/>
    <w:rsid w:val="00064159"/>
    <w:rsid w:val="000B2AA2"/>
    <w:rsid w:val="000C6D0C"/>
    <w:rsid w:val="000E7C11"/>
    <w:rsid w:val="000F3341"/>
    <w:rsid w:val="00106B7C"/>
    <w:rsid w:val="00121A73"/>
    <w:rsid w:val="00123673"/>
    <w:rsid w:val="00150800"/>
    <w:rsid w:val="00155CBF"/>
    <w:rsid w:val="0016027F"/>
    <w:rsid w:val="0017649B"/>
    <w:rsid w:val="001853FF"/>
    <w:rsid w:val="00192AD2"/>
    <w:rsid w:val="001B1A90"/>
    <w:rsid w:val="001D590D"/>
    <w:rsid w:val="001F0904"/>
    <w:rsid w:val="00200D1F"/>
    <w:rsid w:val="00202EDD"/>
    <w:rsid w:val="00206BD5"/>
    <w:rsid w:val="00251F52"/>
    <w:rsid w:val="002641D0"/>
    <w:rsid w:val="00265A72"/>
    <w:rsid w:val="00277E7C"/>
    <w:rsid w:val="00291A70"/>
    <w:rsid w:val="00297398"/>
    <w:rsid w:val="002B3ADF"/>
    <w:rsid w:val="002C02D5"/>
    <w:rsid w:val="002E1F0B"/>
    <w:rsid w:val="002E2687"/>
    <w:rsid w:val="0031324B"/>
    <w:rsid w:val="0031780E"/>
    <w:rsid w:val="00345F4D"/>
    <w:rsid w:val="003573D2"/>
    <w:rsid w:val="0036249D"/>
    <w:rsid w:val="00365252"/>
    <w:rsid w:val="003654A4"/>
    <w:rsid w:val="003663BF"/>
    <w:rsid w:val="00373685"/>
    <w:rsid w:val="003A5954"/>
    <w:rsid w:val="00430025"/>
    <w:rsid w:val="0046069E"/>
    <w:rsid w:val="004E564E"/>
    <w:rsid w:val="00520B7A"/>
    <w:rsid w:val="005251DE"/>
    <w:rsid w:val="005277FA"/>
    <w:rsid w:val="00543FCF"/>
    <w:rsid w:val="0055144A"/>
    <w:rsid w:val="005849C8"/>
    <w:rsid w:val="005A3609"/>
    <w:rsid w:val="005B2544"/>
    <w:rsid w:val="005B26C5"/>
    <w:rsid w:val="005C54F0"/>
    <w:rsid w:val="005D588A"/>
    <w:rsid w:val="005F2D50"/>
    <w:rsid w:val="006034D4"/>
    <w:rsid w:val="0061020A"/>
    <w:rsid w:val="00667361"/>
    <w:rsid w:val="006A52D5"/>
    <w:rsid w:val="006D2E7F"/>
    <w:rsid w:val="006E085F"/>
    <w:rsid w:val="00711CFC"/>
    <w:rsid w:val="00732677"/>
    <w:rsid w:val="00770007"/>
    <w:rsid w:val="00781C27"/>
    <w:rsid w:val="00785248"/>
    <w:rsid w:val="007B37F7"/>
    <w:rsid w:val="007B3E0F"/>
    <w:rsid w:val="007D4369"/>
    <w:rsid w:val="007E768D"/>
    <w:rsid w:val="007F55C2"/>
    <w:rsid w:val="00804A35"/>
    <w:rsid w:val="0082529A"/>
    <w:rsid w:val="00843FB7"/>
    <w:rsid w:val="008516AA"/>
    <w:rsid w:val="00873941"/>
    <w:rsid w:val="00876A05"/>
    <w:rsid w:val="00892AB5"/>
    <w:rsid w:val="008A48E1"/>
    <w:rsid w:val="008C4C13"/>
    <w:rsid w:val="008C6AA9"/>
    <w:rsid w:val="008D05B2"/>
    <w:rsid w:val="008E52A2"/>
    <w:rsid w:val="00910402"/>
    <w:rsid w:val="00910E82"/>
    <w:rsid w:val="00923A16"/>
    <w:rsid w:val="0092605C"/>
    <w:rsid w:val="00932942"/>
    <w:rsid w:val="00934C44"/>
    <w:rsid w:val="00944BB7"/>
    <w:rsid w:val="00975364"/>
    <w:rsid w:val="009828CF"/>
    <w:rsid w:val="00997C32"/>
    <w:rsid w:val="009B7C80"/>
    <w:rsid w:val="009D1D46"/>
    <w:rsid w:val="009D59F0"/>
    <w:rsid w:val="00A06297"/>
    <w:rsid w:val="00A97591"/>
    <w:rsid w:val="00AD67C4"/>
    <w:rsid w:val="00AF441F"/>
    <w:rsid w:val="00B04273"/>
    <w:rsid w:val="00B066BD"/>
    <w:rsid w:val="00B17B6F"/>
    <w:rsid w:val="00B44C27"/>
    <w:rsid w:val="00B4752D"/>
    <w:rsid w:val="00B61F96"/>
    <w:rsid w:val="00B73A8D"/>
    <w:rsid w:val="00B866B3"/>
    <w:rsid w:val="00BB6285"/>
    <w:rsid w:val="00BF2633"/>
    <w:rsid w:val="00C21977"/>
    <w:rsid w:val="00C37705"/>
    <w:rsid w:val="00C465E0"/>
    <w:rsid w:val="00C67B40"/>
    <w:rsid w:val="00C8044A"/>
    <w:rsid w:val="00C847FA"/>
    <w:rsid w:val="00C84AFA"/>
    <w:rsid w:val="00CB0787"/>
    <w:rsid w:val="00CC1169"/>
    <w:rsid w:val="00CC7B36"/>
    <w:rsid w:val="00CE1C5E"/>
    <w:rsid w:val="00CE4657"/>
    <w:rsid w:val="00D07B24"/>
    <w:rsid w:val="00D20D54"/>
    <w:rsid w:val="00D2141E"/>
    <w:rsid w:val="00D24864"/>
    <w:rsid w:val="00D24F31"/>
    <w:rsid w:val="00D25157"/>
    <w:rsid w:val="00D72F29"/>
    <w:rsid w:val="00D86018"/>
    <w:rsid w:val="00D94BB4"/>
    <w:rsid w:val="00DC7B3A"/>
    <w:rsid w:val="00DD0B7A"/>
    <w:rsid w:val="00DF6DA5"/>
    <w:rsid w:val="00E2436B"/>
    <w:rsid w:val="00E358BE"/>
    <w:rsid w:val="00E51D95"/>
    <w:rsid w:val="00EC5D5A"/>
    <w:rsid w:val="00EE1889"/>
    <w:rsid w:val="00EE2E03"/>
    <w:rsid w:val="00F53741"/>
    <w:rsid w:val="00F57FBB"/>
    <w:rsid w:val="00F855A3"/>
    <w:rsid w:val="00F919DB"/>
    <w:rsid w:val="00F92A52"/>
    <w:rsid w:val="00FC272E"/>
    <w:rsid w:val="00FC33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B691F7D"/>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185B2-82F5-480A-93AA-266A6A5C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404</TotalTime>
  <Pages>33</Pages>
  <Words>13059</Words>
  <Characters>74442</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 </dc:subject>
  <dc:creator>Composition des Publications</dc:creator>
  <cp:keywords>Folios: 1 -24 (bl.)</cp:keywords>
  <dc:description>Edition 2009:   3.3.2009/DD (dict. ok)_x000d_
Corr. 1ère interne:  13.03.2009/DD</dc:description>
  <cp:lastModifiedBy>Gachet, Christelle</cp:lastModifiedBy>
  <cp:revision>87</cp:revision>
  <cp:lastPrinted>2017-11-14T10:36:00Z</cp:lastPrinted>
  <dcterms:created xsi:type="dcterms:W3CDTF">2012-08-08T15:34:00Z</dcterms:created>
  <dcterms:modified xsi:type="dcterms:W3CDTF">2017-11-14T10:38:00Z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