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F8F" w:rsidRPr="00000F16" w:rsidRDefault="00441F8F" w:rsidP="001D340B">
      <w:pPr>
        <w:pStyle w:val="Heading1"/>
        <w:spacing w:before="300"/>
        <w:jc w:val="center"/>
        <w:rPr>
          <w:lang w:val="es-ES_tradnl"/>
        </w:rPr>
      </w:pPr>
      <w:bookmarkStart w:id="0" w:name="_GoBack"/>
      <w:bookmarkEnd w:id="0"/>
      <w:r w:rsidRPr="00000F16">
        <w:rPr>
          <w:lang w:val="es-ES_tradnl"/>
        </w:rPr>
        <w:t xml:space="preserve">PARTE  </w:t>
      </w:r>
      <w:r w:rsidRPr="00000F16">
        <w:rPr>
          <w:rStyle w:val="href"/>
          <w:lang w:val="es-ES_tradnl"/>
        </w:rPr>
        <w:t>B</w:t>
      </w:r>
    </w:p>
    <w:p w:rsidR="00441F8F" w:rsidRPr="00000F16" w:rsidRDefault="00441F8F">
      <w:pPr>
        <w:pStyle w:val="Heading2"/>
        <w:ind w:left="0" w:firstLine="0"/>
        <w:jc w:val="center"/>
        <w:rPr>
          <w:lang w:val="es-ES_tradnl"/>
        </w:rPr>
      </w:pPr>
      <w:r w:rsidRPr="00000F16">
        <w:rPr>
          <w:lang w:val="es-ES_tradnl"/>
        </w:rPr>
        <w:t xml:space="preserve">SECCIÓN  </w:t>
      </w:r>
      <w:r w:rsidRPr="00000F16">
        <w:rPr>
          <w:rStyle w:val="href2"/>
          <w:lang w:val="es-ES_tradnl"/>
        </w:rPr>
        <w:t>B5</w:t>
      </w:r>
    </w:p>
    <w:p w:rsidR="00441F8F" w:rsidRPr="00000F16" w:rsidRDefault="00441F8F" w:rsidP="001D340B">
      <w:pPr>
        <w:pStyle w:val="Heading1"/>
        <w:ind w:left="0" w:firstLine="0"/>
        <w:jc w:val="center"/>
        <w:rPr>
          <w:lang w:val="es-ES_tradnl"/>
        </w:rPr>
      </w:pPr>
      <w:r w:rsidRPr="00000F16">
        <w:rPr>
          <w:lang w:val="es-ES_tradnl"/>
        </w:rPr>
        <w:t>Reglas relativas a los criterios para aplicar las disposiciones</w:t>
      </w:r>
      <w:r w:rsidRPr="00000F16">
        <w:rPr>
          <w:lang w:val="es-ES_tradnl"/>
        </w:rPr>
        <w:br/>
        <w:t xml:space="preserve">del número </w:t>
      </w:r>
      <w:r w:rsidRPr="00000F16">
        <w:rPr>
          <w:rStyle w:val="Artref"/>
          <w:color w:val="000000"/>
          <w:lang w:val="es-ES_tradnl"/>
        </w:rPr>
        <w:t>9.36</w:t>
      </w:r>
      <w:r w:rsidRPr="00000F16">
        <w:rPr>
          <w:lang w:val="es-ES_tradnl"/>
        </w:rPr>
        <w:t xml:space="preserve"> a una asignación de frecuencia en</w:t>
      </w:r>
      <w:r w:rsidRPr="00000F16">
        <w:rPr>
          <w:lang w:val="es-ES_tradnl"/>
        </w:rPr>
        <w:br/>
        <w:t xml:space="preserve">las bandas que se rigen por el número </w:t>
      </w:r>
      <w:r w:rsidRPr="00000F16">
        <w:rPr>
          <w:rStyle w:val="Artref"/>
          <w:color w:val="000000"/>
          <w:lang w:val="es-ES_tradnl"/>
        </w:rPr>
        <w:t>5.92</w:t>
      </w:r>
    </w:p>
    <w:p w:rsidR="00441F8F" w:rsidRPr="00000F16" w:rsidRDefault="00441F8F" w:rsidP="00D33BA4">
      <w:pPr>
        <w:pStyle w:val="Normalaftertitle"/>
        <w:spacing w:before="600"/>
        <w:rPr>
          <w:lang w:val="es-ES_tradnl"/>
        </w:rPr>
      </w:pPr>
      <w:r w:rsidRPr="00000F16">
        <w:rPr>
          <w:rStyle w:val="href"/>
          <w:lang w:val="es-ES_tradnl"/>
        </w:rPr>
        <w:t>1</w:t>
      </w:r>
      <w:r w:rsidRPr="00000F16">
        <w:rPr>
          <w:lang w:val="es-ES_tradnl"/>
        </w:rPr>
        <w:tab/>
        <w:t>La identificación de las administraciones con las cuales puede requerirse coordinación se basa en las características de la asignación sometida al procedimiento del número </w:t>
      </w:r>
      <w:r w:rsidRPr="00000F16">
        <w:rPr>
          <w:rStyle w:val="Artref"/>
          <w:b/>
          <w:bCs/>
          <w:color w:val="000000"/>
          <w:lang w:val="es-ES_tradnl"/>
        </w:rPr>
        <w:t>9.21</w:t>
      </w:r>
      <w:r w:rsidRPr="00000F16">
        <w:rPr>
          <w:lang w:val="es-ES_tradnl"/>
        </w:rPr>
        <w:t xml:space="preserve"> y en hipótesis de peor caso en cuanto a las características de la propagación y otros parámetros técnicos. Estas hipótesis de peor caso se desarrollaron sobre la base de la metodología de cálculo que figura en la Sección B4 de las Reglas de Procedimiento.</w:t>
      </w:r>
    </w:p>
    <w:p w:rsidR="00441F8F" w:rsidRPr="00000F16" w:rsidRDefault="00441F8F" w:rsidP="00000F16">
      <w:pPr>
        <w:rPr>
          <w:lang w:val="es-ES_tradnl"/>
        </w:rPr>
      </w:pPr>
      <w:r w:rsidRPr="00000F16">
        <w:rPr>
          <w:lang w:val="es-ES_tradnl"/>
        </w:rPr>
        <w:t>2</w:t>
      </w:r>
      <w:r w:rsidRPr="00000F16">
        <w:rPr>
          <w:lang w:val="es-ES_tradnl"/>
        </w:rPr>
        <w:tab/>
        <w:t xml:space="preserve">Las disposiciones del número </w:t>
      </w:r>
      <w:r w:rsidRPr="00000F16">
        <w:rPr>
          <w:rStyle w:val="Artref"/>
          <w:b/>
          <w:bCs/>
          <w:color w:val="000000"/>
          <w:lang w:val="es-ES_tradnl"/>
        </w:rPr>
        <w:t>5.92</w:t>
      </w:r>
      <w:r w:rsidRPr="00000F16">
        <w:rPr>
          <w:lang w:val="es-ES_tradnl"/>
        </w:rPr>
        <w:t xml:space="preserve"> tratan sobre la aplicación del procedimiento del número</w:t>
      </w:r>
      <w:r w:rsidR="00000F16" w:rsidRPr="00000F16">
        <w:rPr>
          <w:lang w:val="es-ES_tradnl"/>
        </w:rPr>
        <w:t xml:space="preserve"> </w:t>
      </w:r>
      <w:r w:rsidRPr="00000F16">
        <w:rPr>
          <w:rStyle w:val="Artref"/>
          <w:b/>
          <w:bCs/>
          <w:color w:val="000000"/>
          <w:lang w:val="es-ES_tradnl"/>
        </w:rPr>
        <w:t>9.21</w:t>
      </w:r>
      <w:r w:rsidRPr="00000F16">
        <w:rPr>
          <w:lang w:val="es-ES_tradnl"/>
        </w:rPr>
        <w:t xml:space="preserve"> para los sistemas de radiodeterminación cuya «potencia media radiada» máxima se limita a</w:t>
      </w:r>
      <w:r w:rsidR="00000F16" w:rsidRPr="00000F16">
        <w:rPr>
          <w:lang w:val="es-ES_tradnl"/>
        </w:rPr>
        <w:t xml:space="preserve"> </w:t>
      </w:r>
      <w:r w:rsidRPr="00000F16">
        <w:rPr>
          <w:lang w:val="es-ES_tradnl"/>
        </w:rPr>
        <w:t>50 W. Como el término «potencia media radiada» no se define en el Reglamento de Radiocomunicaciones, la Oficina aplica esta disposición a la potencia media entregada a la línea de transmisión de la antena (punto</w:t>
      </w:r>
      <w:r w:rsidR="00000F16" w:rsidRPr="00000F16">
        <w:rPr>
          <w:lang w:val="es-ES_tradnl"/>
        </w:rPr>
        <w:t> </w:t>
      </w:r>
      <w:r w:rsidRPr="00000F16">
        <w:rPr>
          <w:lang w:val="es-ES_tradnl"/>
        </w:rPr>
        <w:t>8A del Apéndice</w:t>
      </w:r>
      <w:r w:rsidR="00000F16" w:rsidRPr="00000F16">
        <w:rPr>
          <w:lang w:val="es-ES_tradnl"/>
        </w:rPr>
        <w:t> </w:t>
      </w:r>
      <w:r w:rsidRPr="00000F16">
        <w:rPr>
          <w:rStyle w:val="Appref"/>
          <w:b/>
          <w:bCs/>
          <w:color w:val="000000"/>
          <w:lang w:val="es-ES_tradnl"/>
        </w:rPr>
        <w:t>4</w:t>
      </w:r>
      <w:r w:rsidRPr="00000F16">
        <w:rPr>
          <w:lang w:val="es-ES_tradnl"/>
        </w:rPr>
        <w:t>).</w:t>
      </w:r>
    </w:p>
    <w:p w:rsidR="00441F8F" w:rsidRPr="00000F16" w:rsidRDefault="00441F8F">
      <w:pPr>
        <w:rPr>
          <w:lang w:val="es-ES_tradnl"/>
        </w:rPr>
      </w:pPr>
      <w:r w:rsidRPr="00000F16">
        <w:rPr>
          <w:lang w:val="es-ES_tradnl"/>
        </w:rPr>
        <w:t>3</w:t>
      </w:r>
      <w:r w:rsidRPr="00000F16">
        <w:rPr>
          <w:lang w:val="es-ES_tradnl"/>
        </w:rPr>
        <w:tab/>
        <w:t>Para identificar las administraciones cuyo acuerdo puede ser necesario se aplican los siguientes criterios:</w:t>
      </w:r>
    </w:p>
    <w:p w:rsidR="00441F8F" w:rsidRPr="00000F16" w:rsidRDefault="00441F8F" w:rsidP="00000F16">
      <w:pPr>
        <w:pStyle w:val="enumlev1"/>
        <w:ind w:left="0" w:firstLine="0"/>
        <w:rPr>
          <w:lang w:val="es-ES_tradnl"/>
        </w:rPr>
      </w:pPr>
      <w:r w:rsidRPr="00000F16">
        <w:rPr>
          <w:lang w:val="es-ES_tradnl"/>
        </w:rPr>
        <w:t>3.1</w:t>
      </w:r>
      <w:r w:rsidRPr="00000F16">
        <w:rPr>
          <w:lang w:val="es-ES_tradnl"/>
        </w:rPr>
        <w:tab/>
        <w:t xml:space="preserve">Se aplica el </w:t>
      </w:r>
      <w:r w:rsidRPr="00000F16">
        <w:rPr>
          <w:i/>
          <w:lang w:val="es-ES_tradnl"/>
        </w:rPr>
        <w:t>concepto de distancia de coordinación</w:t>
      </w:r>
      <w:r w:rsidRPr="00000F16">
        <w:rPr>
          <w:lang w:val="es-ES_tradnl"/>
        </w:rPr>
        <w:t xml:space="preserve"> para la protección de los servicios atribuidos conforme al Artículo</w:t>
      </w:r>
      <w:r w:rsidR="00000F16" w:rsidRPr="00000F16">
        <w:rPr>
          <w:lang w:val="es-ES_tradnl"/>
        </w:rPr>
        <w:t> </w:t>
      </w:r>
      <w:r w:rsidRPr="00000F16">
        <w:rPr>
          <w:rStyle w:val="Artref"/>
          <w:b/>
          <w:bCs/>
          <w:color w:val="000000"/>
          <w:lang w:val="es-ES_tradnl"/>
        </w:rPr>
        <w:t>5</w:t>
      </w:r>
      <w:r w:rsidRPr="00000F16">
        <w:rPr>
          <w:lang w:val="es-ES_tradnl"/>
        </w:rPr>
        <w:t>.</w:t>
      </w:r>
    </w:p>
    <w:p w:rsidR="00441F8F" w:rsidRPr="00000F16" w:rsidRDefault="00441F8F" w:rsidP="00000F16">
      <w:pPr>
        <w:pStyle w:val="enumlev1"/>
        <w:ind w:left="0" w:firstLine="0"/>
        <w:rPr>
          <w:lang w:val="es-ES_tradnl"/>
        </w:rPr>
      </w:pPr>
      <w:r w:rsidRPr="00000F16">
        <w:rPr>
          <w:lang w:val="es-ES_tradnl"/>
        </w:rPr>
        <w:t>3.2</w:t>
      </w:r>
      <w:r w:rsidRPr="00000F16">
        <w:rPr>
          <w:lang w:val="es-ES_tradnl"/>
        </w:rPr>
        <w:tab/>
        <w:t xml:space="preserve">El </w:t>
      </w:r>
      <w:r w:rsidRPr="00000F16">
        <w:rPr>
          <w:i/>
          <w:lang w:val="es-ES_tradnl"/>
        </w:rPr>
        <w:t>examen caso por caso</w:t>
      </w:r>
      <w:r w:rsidRPr="00000F16">
        <w:rPr>
          <w:lang w:val="es-ES_tradnl"/>
        </w:rPr>
        <w:t xml:space="preserve"> se efectúa con respecto a las asignaciones para las que se concluyó o inició el procedimiento del número</w:t>
      </w:r>
      <w:r w:rsidR="00000F16" w:rsidRPr="00000F16">
        <w:rPr>
          <w:lang w:val="es-ES_tradnl"/>
        </w:rPr>
        <w:t> </w:t>
      </w:r>
      <w:r w:rsidRPr="00000F16">
        <w:rPr>
          <w:rStyle w:val="Artref"/>
          <w:b/>
          <w:bCs/>
          <w:color w:val="000000"/>
          <w:lang w:val="es-ES_tradnl"/>
        </w:rPr>
        <w:t>9.21</w:t>
      </w:r>
      <w:r w:rsidRPr="00000F16">
        <w:rPr>
          <w:lang w:val="es-ES_tradnl"/>
        </w:rPr>
        <w:t>.</w:t>
      </w:r>
    </w:p>
    <w:p w:rsidR="00441F8F" w:rsidRPr="00000F16" w:rsidRDefault="00441F8F" w:rsidP="00C822FB">
      <w:pPr>
        <w:rPr>
          <w:lang w:val="es-ES_tradnl"/>
        </w:rPr>
      </w:pPr>
      <w:r w:rsidRPr="00000F16">
        <w:rPr>
          <w:lang w:val="es-ES_tradnl"/>
        </w:rPr>
        <w:t>4</w:t>
      </w:r>
      <w:r w:rsidRPr="00000F16">
        <w:rPr>
          <w:lang w:val="es-ES_tradnl"/>
        </w:rPr>
        <w:tab/>
        <w:t>Para la aplicación del concepto de distancia de coordinación se desarrollaron los Cuadros adecuados (Cuadros 1 y 2) sobre la base de las Normas técnicas A-1 y A-2, tal como figuran en la metodología de cálculo (Sección B4 de las Reglas de Procedimiento), utilizando la telegrafía como tipo de transmisión de referencia, para funcionamiento nocturno. Se seleccionó este tipo de transmisión pues representa la condición de peor caso en el cálculo de las distancias de coordinación debido al pequeño valor de la intensidad de campo mínima que hay que proteger. El Cuadro 1 se refiere a la relación de protección de 17</w:t>
      </w:r>
      <w:r w:rsidR="00000F16" w:rsidRPr="00000F16">
        <w:rPr>
          <w:lang w:val="es-ES_tradnl"/>
        </w:rPr>
        <w:t xml:space="preserve"> </w:t>
      </w:r>
      <w:r w:rsidRPr="00000F16">
        <w:rPr>
          <w:lang w:val="es-ES_tradnl"/>
        </w:rPr>
        <w:t>dB que corresponde al «valor superior de la Norma técnica A-1» en relación con la relación de protección señal/</w:t>
      </w:r>
      <w:r w:rsidR="00000F16" w:rsidRPr="00000F16">
        <w:rPr>
          <w:lang w:val="es-ES_tradnl"/>
        </w:rPr>
        <w:t xml:space="preserve"> </w:t>
      </w:r>
      <w:r w:rsidRPr="00000F16">
        <w:rPr>
          <w:lang w:val="es-ES_tradnl"/>
        </w:rPr>
        <w:t>interferencia RF para la telegrafía con recepción automática y sin corrección de errores, en la banda de frecuencias 1</w:t>
      </w:r>
      <w:r w:rsidRPr="00000F16">
        <w:rPr>
          <w:rFonts w:ascii="Tms Rmn" w:hAnsi="Tms Rmn"/>
          <w:sz w:val="12"/>
          <w:lang w:val="es-ES_tradnl"/>
        </w:rPr>
        <w:t> </w:t>
      </w:r>
      <w:r w:rsidRPr="00000F16">
        <w:rPr>
          <w:lang w:val="es-ES_tradnl"/>
        </w:rPr>
        <w:t>606,5-4</w:t>
      </w:r>
      <w:r w:rsidRPr="00000F16">
        <w:rPr>
          <w:rFonts w:ascii="Tms Rmn" w:hAnsi="Tms Rmn"/>
          <w:sz w:val="12"/>
          <w:lang w:val="es-ES_tradnl"/>
        </w:rPr>
        <w:t> </w:t>
      </w:r>
      <w:r w:rsidRPr="00000F16">
        <w:rPr>
          <w:lang w:val="es-ES_tradnl"/>
        </w:rPr>
        <w:t>000 kHz; los países que caen fuera de la zona de coordinación determinada por estas distancias de coordinación seguramente no resultan afectados. El Cuadro</w:t>
      </w:r>
      <w:r w:rsidR="00000F16" w:rsidRPr="00000F16">
        <w:rPr>
          <w:lang w:val="es-ES_tradnl"/>
        </w:rPr>
        <w:t> </w:t>
      </w:r>
      <w:r w:rsidRPr="00000F16">
        <w:rPr>
          <w:lang w:val="es-ES_tradnl"/>
        </w:rPr>
        <w:t>2 se refiere a la relación de protección de 5 dB, que corresponde al «límite mínimo de la Norma técnica A</w:t>
      </w:r>
      <w:r w:rsidR="00000F16" w:rsidRPr="00000F16">
        <w:rPr>
          <w:lang w:val="es-ES_tradnl"/>
        </w:rPr>
        <w:noBreakHyphen/>
      </w:r>
      <w:r w:rsidRPr="00000F16">
        <w:rPr>
          <w:lang w:val="es-ES_tradnl"/>
        </w:rPr>
        <w:t>1» respecto a la relación de protección señal/interferencia en RF para la telegrafía con recepción auditiva en la banda de frecuencias 1</w:t>
      </w:r>
      <w:r w:rsidRPr="00000F16">
        <w:rPr>
          <w:rFonts w:ascii="Tms Rmn" w:hAnsi="Tms Rmn"/>
          <w:sz w:val="12"/>
          <w:lang w:val="es-ES_tradnl"/>
        </w:rPr>
        <w:t> </w:t>
      </w:r>
      <w:r w:rsidRPr="00000F16">
        <w:rPr>
          <w:lang w:val="es-ES_tradnl"/>
        </w:rPr>
        <w:t>606,5-4</w:t>
      </w:r>
      <w:r w:rsidRPr="00000F16">
        <w:rPr>
          <w:rFonts w:ascii="Tms Rmn" w:hAnsi="Tms Rmn"/>
          <w:sz w:val="12"/>
          <w:lang w:val="es-ES_tradnl"/>
        </w:rPr>
        <w:t> </w:t>
      </w:r>
      <w:r w:rsidRPr="00000F16">
        <w:rPr>
          <w:lang w:val="es-ES_tradnl"/>
        </w:rPr>
        <w:t>000 kHz; los países que están dentro de la zona de coordinación determinada por estas distancias de coordinación resultan sin duda afectados, si sus servicios utilizan la telegrafía. Los países situados entre los dos contornos de coordinación tienen una probabilidad ligeramente superior de interferencia perjudicial que la que se consideraría adecuada para el tipo de transmisión de referencia.</w:t>
      </w:r>
    </w:p>
    <w:p w:rsidR="00441F8F" w:rsidRPr="00000F16" w:rsidRDefault="00441F8F">
      <w:pPr>
        <w:rPr>
          <w:lang w:val="es-ES_tradnl"/>
        </w:rPr>
      </w:pPr>
      <w:r w:rsidRPr="00000F16">
        <w:rPr>
          <w:lang w:val="es-ES_tradnl"/>
        </w:rPr>
        <w:br w:type="page"/>
      </w:r>
      <w:r w:rsidRPr="00000F16">
        <w:rPr>
          <w:lang w:val="es-ES_tradnl"/>
        </w:rPr>
        <w:lastRenderedPageBreak/>
        <w:t>5</w:t>
      </w:r>
      <w:r w:rsidRPr="00000F16">
        <w:rPr>
          <w:lang w:val="es-ES_tradnl"/>
        </w:rPr>
        <w:tab/>
        <w:t>No obstante, respecto a las atribuciones al servicio de aficionados en estas bandas, la Oficina no está en condiciones de identificar los países cuyo servicio de aficionados podría resultar afectado y, en consecuencia, se incluye una de las notas siguientes en la Sección especial adecuada:</w:t>
      </w:r>
    </w:p>
    <w:p w:rsidR="00441F8F" w:rsidRPr="00000F16" w:rsidRDefault="00441F8F">
      <w:pPr>
        <w:pStyle w:val="enumlev1"/>
        <w:rPr>
          <w:lang w:val="es-ES_tradnl"/>
        </w:rPr>
      </w:pPr>
      <w:r w:rsidRPr="00000F16">
        <w:rPr>
          <w:lang w:val="es-ES_tradnl"/>
        </w:rPr>
        <w:t>–</w:t>
      </w:r>
      <w:r w:rsidRPr="00000F16">
        <w:rPr>
          <w:lang w:val="es-ES_tradnl"/>
        </w:rPr>
        <w:tab/>
        <w:t>«En algunos países de la Región 1, la banda 1</w:t>
      </w:r>
      <w:r w:rsidRPr="00000F16">
        <w:rPr>
          <w:rFonts w:ascii="Tms Rmn" w:hAnsi="Tms Rmn"/>
          <w:sz w:val="12"/>
          <w:lang w:val="es-ES_tradnl"/>
        </w:rPr>
        <w:t> </w:t>
      </w:r>
      <w:r w:rsidRPr="00000F16">
        <w:rPr>
          <w:lang w:val="es-ES_tradnl"/>
        </w:rPr>
        <w:t>715-1</w:t>
      </w:r>
      <w:r w:rsidRPr="00000F16">
        <w:rPr>
          <w:rFonts w:ascii="Tms Rmn" w:hAnsi="Tms Rmn"/>
          <w:sz w:val="12"/>
          <w:lang w:val="es-ES_tradnl"/>
        </w:rPr>
        <w:t> </w:t>
      </w:r>
      <w:r w:rsidRPr="00000F16">
        <w:rPr>
          <w:lang w:val="es-ES_tradnl"/>
        </w:rPr>
        <w:t>800 kHz, o parte de ella, se atribuye al servicio de aficionados. La Oficina no tiene forma de identificar los países cuyo servicio de aficionados pudiese resultar afectado.»</w:t>
      </w:r>
    </w:p>
    <w:p w:rsidR="00441F8F" w:rsidRPr="00000F16" w:rsidRDefault="00441F8F" w:rsidP="00000F16">
      <w:pPr>
        <w:pStyle w:val="enumlev1"/>
        <w:rPr>
          <w:lang w:val="es-ES_tradnl"/>
        </w:rPr>
      </w:pPr>
      <w:r w:rsidRPr="00000F16">
        <w:rPr>
          <w:lang w:val="es-ES_tradnl"/>
        </w:rPr>
        <w:t>–</w:t>
      </w:r>
      <w:r w:rsidRPr="00000F16">
        <w:rPr>
          <w:lang w:val="es-ES_tradnl"/>
        </w:rPr>
        <w:tab/>
        <w:t>«En las Regiones 2 y 3, excepto en los países mencionados en el número</w:t>
      </w:r>
      <w:r w:rsidR="00000F16" w:rsidRPr="00000F16">
        <w:rPr>
          <w:lang w:val="es-ES_tradnl"/>
        </w:rPr>
        <w:t xml:space="preserve"> </w:t>
      </w:r>
      <w:r w:rsidRPr="00000F16">
        <w:rPr>
          <w:rStyle w:val="Artref"/>
          <w:b/>
          <w:bCs/>
          <w:color w:val="000000"/>
          <w:lang w:val="es-ES_tradnl"/>
        </w:rPr>
        <w:t>5.102</w:t>
      </w:r>
      <w:r w:rsidRPr="00000F16">
        <w:rPr>
          <w:lang w:val="es-ES_tradnl"/>
        </w:rPr>
        <w:t xml:space="preserve"> y en algunos países de la Región 1, la banda 1 850-2</w:t>
      </w:r>
      <w:r w:rsidR="00000F16" w:rsidRPr="00000F16">
        <w:rPr>
          <w:rFonts w:ascii="Tms Rmn" w:hAnsi="Tms Rmn"/>
          <w:sz w:val="12"/>
          <w:lang w:val="es-ES_tradnl"/>
        </w:rPr>
        <w:t> </w:t>
      </w:r>
      <w:r w:rsidRPr="00000F16">
        <w:rPr>
          <w:lang w:val="es-ES_tradnl"/>
        </w:rPr>
        <w:t>000 kHz, o parte de ella, se atribuye al servicio de aficionados. La Oficina no tiene forma de identificar los países cuyo servicio de aficionados pudiese resultar afectado.»</w:t>
      </w:r>
    </w:p>
    <w:p w:rsidR="00441F8F" w:rsidRPr="00000F16" w:rsidRDefault="00441F8F">
      <w:pPr>
        <w:pStyle w:val="enumlev1"/>
        <w:rPr>
          <w:lang w:val="es-ES_tradnl"/>
        </w:rPr>
      </w:pPr>
      <w:r w:rsidRPr="00000F16">
        <w:rPr>
          <w:lang w:val="es-ES_tradnl"/>
        </w:rPr>
        <w:t>–</w:t>
      </w:r>
      <w:r w:rsidRPr="00000F16">
        <w:rPr>
          <w:lang w:val="es-ES_tradnl"/>
        </w:rPr>
        <w:tab/>
        <w:t>«En las Regiones 1, 2 y 3, la banda 3</w:t>
      </w:r>
      <w:r w:rsidRPr="00000F16">
        <w:rPr>
          <w:rFonts w:ascii="Tms Rmn" w:hAnsi="Tms Rmn"/>
          <w:sz w:val="12"/>
          <w:lang w:val="es-ES_tradnl"/>
        </w:rPr>
        <w:t> </w:t>
      </w:r>
      <w:r w:rsidRPr="00000F16">
        <w:rPr>
          <w:lang w:val="es-ES_tradnl"/>
        </w:rPr>
        <w:t>500-3</w:t>
      </w:r>
      <w:r w:rsidRPr="00000F16">
        <w:rPr>
          <w:rFonts w:ascii="Tms Rmn" w:hAnsi="Tms Rmn"/>
          <w:sz w:val="12"/>
          <w:lang w:val="es-ES_tradnl"/>
        </w:rPr>
        <w:t> </w:t>
      </w:r>
      <w:r w:rsidRPr="00000F16">
        <w:rPr>
          <w:lang w:val="es-ES_tradnl"/>
        </w:rPr>
        <w:t>750 kHz se atribuye al servicio de aficionados. La Oficina no tiene forma de identificar los países cuyo servicio de aficionados pudiese resultar afectado.»</w:t>
      </w:r>
    </w:p>
    <w:p w:rsidR="00441F8F" w:rsidRPr="00000F16" w:rsidRDefault="00441F8F" w:rsidP="00000F16">
      <w:pPr>
        <w:pStyle w:val="enumlev1"/>
        <w:rPr>
          <w:lang w:val="es-ES_tradnl"/>
        </w:rPr>
      </w:pPr>
      <w:r w:rsidRPr="00000F16">
        <w:rPr>
          <w:lang w:val="es-ES_tradnl"/>
        </w:rPr>
        <w:t>–</w:t>
      </w:r>
      <w:r w:rsidRPr="00000F16">
        <w:rPr>
          <w:lang w:val="es-ES_tradnl"/>
        </w:rPr>
        <w:tab/>
        <w:t>«En las Regiones 1, 2 y 3, excepto los países mencionados en el número</w:t>
      </w:r>
      <w:r w:rsidR="00000F16" w:rsidRPr="00000F16">
        <w:rPr>
          <w:lang w:val="es-ES_tradnl"/>
        </w:rPr>
        <w:t xml:space="preserve"> </w:t>
      </w:r>
      <w:r w:rsidRPr="00000F16">
        <w:rPr>
          <w:rStyle w:val="Artref"/>
          <w:b/>
          <w:bCs/>
          <w:color w:val="000000"/>
          <w:lang w:val="es-ES_tradnl"/>
        </w:rPr>
        <w:t>5.122</w:t>
      </w:r>
      <w:r w:rsidRPr="00000F16">
        <w:rPr>
          <w:lang w:val="es-ES_tradnl"/>
        </w:rPr>
        <w:t>, la banda 3</w:t>
      </w:r>
      <w:r w:rsidRPr="00000F16">
        <w:rPr>
          <w:rFonts w:ascii="Tms Rmn" w:hAnsi="Tms Rmn"/>
          <w:sz w:val="12"/>
          <w:lang w:val="es-ES_tradnl"/>
        </w:rPr>
        <w:t> </w:t>
      </w:r>
      <w:r w:rsidRPr="00000F16">
        <w:rPr>
          <w:lang w:val="es-ES_tradnl"/>
        </w:rPr>
        <w:t>750-3</w:t>
      </w:r>
      <w:r w:rsidRPr="00000F16">
        <w:rPr>
          <w:rFonts w:ascii="Tms Rmn" w:hAnsi="Tms Rmn"/>
          <w:sz w:val="12"/>
          <w:lang w:val="es-ES_tradnl"/>
        </w:rPr>
        <w:t> </w:t>
      </w:r>
      <w:r w:rsidRPr="00000F16">
        <w:rPr>
          <w:lang w:val="es-ES_tradnl"/>
        </w:rPr>
        <w:t>800 kHz se atribuye al servicio de aficionados. La Oficina no tiene forma de identificar los países cuyo servicio de aficionados pudiese resultar afectado.»</w:t>
      </w:r>
    </w:p>
    <w:p w:rsidR="00441F8F" w:rsidRPr="00000F16" w:rsidRDefault="00441F8F">
      <w:pPr>
        <w:rPr>
          <w:lang w:val="es-ES_tradnl"/>
        </w:rPr>
      </w:pPr>
    </w:p>
    <w:p w:rsidR="00441F8F" w:rsidRPr="00000F16" w:rsidRDefault="00441F8F">
      <w:pPr>
        <w:pStyle w:val="Table"/>
        <w:rPr>
          <w:lang w:val="es-ES_tradnl"/>
        </w:rPr>
      </w:pPr>
      <w:r w:rsidRPr="00000F16">
        <w:rPr>
          <w:lang w:val="es-ES_tradnl"/>
        </w:rPr>
        <w:t>CUADRO  1</w:t>
      </w:r>
    </w:p>
    <w:p w:rsidR="00441F8F" w:rsidRPr="00000F16" w:rsidRDefault="00441F8F">
      <w:pPr>
        <w:pStyle w:val="TableTitle"/>
        <w:rPr>
          <w:lang w:val="es-ES_tradnl"/>
        </w:rPr>
      </w:pPr>
      <w:r w:rsidRPr="00000F16">
        <w:rPr>
          <w:lang w:val="es-ES_tradnl"/>
        </w:rPr>
        <w:t>Distancia de coordinación para asegurar la relación de protección de 17 dB</w:t>
      </w:r>
      <w:r w:rsidRPr="00000F16">
        <w:rPr>
          <w:lang w:val="es-ES_tradnl"/>
        </w:rPr>
        <w:br/>
        <w:t>(transmisión protegida: telegrafía, recepción automática)</w:t>
      </w:r>
    </w:p>
    <w:tbl>
      <w:tblPr>
        <w:tblW w:w="0" w:type="auto"/>
        <w:jc w:val="center"/>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441F8F" w:rsidRPr="00000F16">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441F8F" w:rsidRPr="00000F16" w:rsidRDefault="00441F8F" w:rsidP="00C822FB">
            <w:pPr>
              <w:pStyle w:val="TableHead"/>
              <w:framePr w:hSpace="181" w:wrap="notBeside" w:vAnchor="text" w:hAnchor="text" w:xAlign="center" w:y="1"/>
              <w:rPr>
                <w:b w:val="0"/>
                <w:bCs/>
                <w:lang w:val="es-ES_tradnl"/>
              </w:rPr>
            </w:pPr>
            <w:r w:rsidRPr="00000F16">
              <w:rPr>
                <w:b w:val="0"/>
                <w:bCs/>
                <w:lang w:val="es-ES_tradnl"/>
              </w:rPr>
              <w:t>Grado de ruido</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50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60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70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80</w:t>
            </w:r>
          </w:p>
        </w:tc>
      </w:tr>
      <w:tr w:rsidR="00441F8F" w:rsidRPr="00000F16">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Intensidad de campo mínima</w:t>
            </w:r>
            <w:r w:rsidRPr="00000F16">
              <w:rPr>
                <w:lang w:val="es-ES_tradnl"/>
              </w:rPr>
              <w:br/>
              <w:t xml:space="preserve">(dB con relación a 1 </w:t>
            </w:r>
            <w:r w:rsidRPr="00000F16">
              <w:rPr>
                <w:lang w:val="es-ES_tradnl"/>
              </w:rPr>
              <w:fldChar w:fldCharType="begin"/>
            </w:r>
            <w:r w:rsidRPr="00000F16">
              <w:rPr>
                <w:lang w:val="es-ES_tradnl"/>
              </w:rPr>
              <w:instrText>SYMBOL 109 \f "Symbol"</w:instrText>
            </w:r>
            <w:r w:rsidRPr="00000F16">
              <w:rPr>
                <w:lang w:val="es-ES_tradnl"/>
              </w:rPr>
              <w:fldChar w:fldCharType="end"/>
            </w:r>
            <w:r w:rsidRPr="00000F16">
              <w:rPr>
                <w:lang w:val="es-ES_tradnl"/>
              </w:rPr>
              <w:t>V/m)</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4</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13</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22</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30</w:t>
            </w:r>
          </w:p>
        </w:tc>
      </w:tr>
      <w:tr w:rsidR="00441F8F" w:rsidRPr="00000F16">
        <w:tblPrEx>
          <w:tblCellMar>
            <w:top w:w="0" w:type="dxa"/>
            <w:bottom w:w="0" w:type="dxa"/>
          </w:tblCellMar>
        </w:tblPrEx>
        <w:trPr>
          <w:cantSplit/>
          <w:jc w:val="center"/>
        </w:trPr>
        <w:tc>
          <w:tcPr>
            <w:tcW w:w="3016" w:type="dxa"/>
            <w:gridSpan w:val="2"/>
            <w:tcBorders>
              <w:top w:val="single" w:sz="6" w:space="0" w:color="auto"/>
              <w:bottom w:val="single" w:sz="6" w:space="0" w:color="auto"/>
            </w:tcBorders>
          </w:tcPr>
          <w:p w:rsidR="00441F8F" w:rsidRPr="00000F16" w:rsidRDefault="00441F8F">
            <w:pPr>
              <w:pStyle w:val="TableText"/>
              <w:framePr w:hSpace="181" w:wrap="notBeside" w:vAnchor="text" w:hAnchor="text" w:xAlign="center" w:y="1"/>
              <w:rPr>
                <w:lang w:val="es-ES_tradnl"/>
              </w:rPr>
            </w:pPr>
          </w:p>
        </w:tc>
        <w:tc>
          <w:tcPr>
            <w:tcW w:w="1508" w:type="dxa"/>
            <w:tcBorders>
              <w:top w:val="single" w:sz="6" w:space="0" w:color="auto"/>
              <w:bottom w:val="single" w:sz="6" w:space="0" w:color="auto"/>
            </w:tcBorders>
          </w:tcPr>
          <w:p w:rsidR="00441F8F" w:rsidRPr="00000F16" w:rsidRDefault="00441F8F">
            <w:pPr>
              <w:pStyle w:val="TableText"/>
              <w:framePr w:hSpace="181" w:wrap="notBeside" w:vAnchor="text" w:hAnchor="text" w:xAlign="center" w:y="1"/>
              <w:rPr>
                <w:lang w:val="es-ES_tradnl"/>
              </w:rPr>
            </w:pPr>
          </w:p>
        </w:tc>
        <w:tc>
          <w:tcPr>
            <w:tcW w:w="1508" w:type="dxa"/>
            <w:tcBorders>
              <w:top w:val="single" w:sz="6" w:space="0" w:color="auto"/>
              <w:bottom w:val="single" w:sz="6" w:space="0" w:color="auto"/>
            </w:tcBorders>
          </w:tcPr>
          <w:p w:rsidR="00441F8F" w:rsidRPr="00000F16" w:rsidRDefault="00441F8F">
            <w:pPr>
              <w:pStyle w:val="TableText"/>
              <w:framePr w:hSpace="181" w:wrap="notBeside" w:vAnchor="text" w:hAnchor="text" w:xAlign="center" w:y="1"/>
              <w:rPr>
                <w:lang w:val="es-ES_tradnl"/>
              </w:rPr>
            </w:pPr>
          </w:p>
        </w:tc>
        <w:tc>
          <w:tcPr>
            <w:tcW w:w="1508" w:type="dxa"/>
            <w:tcBorders>
              <w:top w:val="single" w:sz="6" w:space="0" w:color="auto"/>
              <w:bottom w:val="single" w:sz="6" w:space="0" w:color="auto"/>
            </w:tcBorders>
          </w:tcPr>
          <w:p w:rsidR="00441F8F" w:rsidRPr="00000F16" w:rsidRDefault="00441F8F">
            <w:pPr>
              <w:pStyle w:val="TableText"/>
              <w:framePr w:hSpace="181" w:wrap="notBeside" w:vAnchor="text" w:hAnchor="text" w:xAlign="center" w:y="1"/>
              <w:rPr>
                <w:lang w:val="es-ES_tradnl"/>
              </w:rPr>
            </w:pPr>
          </w:p>
        </w:tc>
        <w:tc>
          <w:tcPr>
            <w:tcW w:w="1508" w:type="dxa"/>
            <w:tcBorders>
              <w:top w:val="single" w:sz="6" w:space="0" w:color="auto"/>
              <w:bottom w:val="single" w:sz="6" w:space="0" w:color="auto"/>
            </w:tcBorders>
          </w:tcPr>
          <w:p w:rsidR="00441F8F" w:rsidRPr="00000F16" w:rsidRDefault="00441F8F">
            <w:pPr>
              <w:pStyle w:val="TableText"/>
              <w:framePr w:hSpace="181" w:wrap="notBeside" w:vAnchor="text" w:hAnchor="text" w:xAlign="center" w:y="1"/>
              <w:rPr>
                <w:lang w:val="es-ES_tradnl"/>
              </w:rPr>
            </w:pPr>
          </w:p>
        </w:tc>
      </w:tr>
      <w:tr w:rsidR="00441F8F" w:rsidRPr="00000F16">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441F8F" w:rsidRPr="00000F16" w:rsidRDefault="00441F8F">
            <w:pPr>
              <w:pStyle w:val="TableHead"/>
              <w:framePr w:hSpace="181" w:wrap="notBeside" w:vAnchor="text" w:hAnchor="text" w:xAlign="center" w:y="1"/>
              <w:rPr>
                <w:lang w:val="es-ES_tradnl"/>
              </w:rPr>
            </w:pPr>
            <w:r w:rsidRPr="00000F16">
              <w:rPr>
                <w:lang w:val="es-ES_tradnl"/>
              </w:rPr>
              <w:t>Potencia (del transmisor interferente)</w:t>
            </w:r>
          </w:p>
        </w:tc>
        <w:tc>
          <w:tcPr>
            <w:tcW w:w="6033" w:type="dxa"/>
            <w:gridSpan w:val="4"/>
            <w:tcBorders>
              <w:top w:val="single" w:sz="6" w:space="0" w:color="auto"/>
              <w:left w:val="single" w:sz="6" w:space="0" w:color="auto"/>
              <w:bottom w:val="single" w:sz="6" w:space="0" w:color="auto"/>
              <w:right w:val="single" w:sz="6" w:space="0" w:color="auto"/>
            </w:tcBorders>
          </w:tcPr>
          <w:p w:rsidR="00441F8F" w:rsidRPr="00000F16" w:rsidRDefault="00441F8F">
            <w:pPr>
              <w:pStyle w:val="TableHead"/>
              <w:framePr w:hSpace="181" w:wrap="notBeside" w:vAnchor="text" w:hAnchor="text" w:xAlign="center" w:y="1"/>
              <w:rPr>
                <w:lang w:val="es-ES_tradnl"/>
              </w:rPr>
            </w:pPr>
            <w:r w:rsidRPr="00000F16">
              <w:rPr>
                <w:lang w:val="es-ES_tradnl"/>
              </w:rPr>
              <w:t>Distancia de coordinación</w:t>
            </w:r>
            <w:r w:rsidRPr="00000F16">
              <w:rPr>
                <w:lang w:val="es-ES_tradnl"/>
              </w:rPr>
              <w:br/>
              <w:t>(km)</w:t>
            </w:r>
          </w:p>
        </w:tc>
      </w:tr>
      <w:tr w:rsidR="00441F8F" w:rsidRPr="00000F16">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1 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0 dBW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400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400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800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rFonts w:ascii="Tms Rmn" w:hAnsi="Tms Rmn"/>
                <w:sz w:val="12"/>
                <w:lang w:val="es-ES_tradnl"/>
              </w:rPr>
              <w:t> </w:t>
            </w:r>
            <w:r w:rsidRPr="00000F16">
              <w:rPr>
                <w:lang w:val="es-ES_tradnl"/>
              </w:rPr>
              <w:t>800</w:t>
            </w:r>
          </w:p>
        </w:tc>
      </w:tr>
      <w:tr w:rsidR="00441F8F" w:rsidRPr="00000F16">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3 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5 dBW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900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900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2</w:t>
            </w:r>
            <w:r w:rsidRPr="00000F16">
              <w:rPr>
                <w:rFonts w:ascii="Tms Rmn" w:hAnsi="Tms Rmn"/>
                <w:sz w:val="12"/>
                <w:lang w:val="es-ES_tradnl"/>
              </w:rPr>
              <w:t> </w:t>
            </w:r>
            <w:r w:rsidRPr="00000F16">
              <w:rPr>
                <w:lang w:val="es-ES_tradnl"/>
              </w:rPr>
              <w:t>800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400</w:t>
            </w:r>
          </w:p>
        </w:tc>
      </w:tr>
      <w:tr w:rsidR="00441F8F" w:rsidRPr="00000F16">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10 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10 dBW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500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500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2</w:t>
            </w:r>
            <w:r w:rsidRPr="00000F16">
              <w:rPr>
                <w:rFonts w:ascii="Tms Rmn" w:hAnsi="Tms Rmn"/>
                <w:sz w:val="12"/>
                <w:lang w:val="es-ES_tradnl"/>
              </w:rPr>
              <w:t> </w:t>
            </w:r>
            <w:r w:rsidRPr="00000F16">
              <w:rPr>
                <w:lang w:val="es-ES_tradnl"/>
              </w:rPr>
              <w:t>200</w:t>
            </w:r>
          </w:p>
        </w:tc>
      </w:tr>
      <w:tr w:rsidR="00441F8F" w:rsidRPr="00000F16">
        <w:tblPrEx>
          <w:tblCellMar>
            <w:top w:w="0" w:type="dxa"/>
            <w:bottom w:w="0" w:type="dxa"/>
          </w:tblCellMar>
        </w:tblPrEx>
        <w:trPr>
          <w:cantSplit/>
          <w:jc w:val="center"/>
        </w:trPr>
        <w:tc>
          <w:tcPr>
            <w:tcW w:w="1508" w:type="dxa"/>
            <w:tcBorders>
              <w:top w:val="single" w:sz="6" w:space="0" w:color="auto"/>
              <w:left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30 W</w:t>
            </w:r>
          </w:p>
        </w:tc>
        <w:tc>
          <w:tcPr>
            <w:tcW w:w="1508" w:type="dxa"/>
            <w:tcBorders>
              <w:top w:val="single" w:sz="6" w:space="0" w:color="auto"/>
              <w:left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15 dBW</w:t>
            </w:r>
          </w:p>
        </w:tc>
        <w:tc>
          <w:tcPr>
            <w:tcW w:w="1508" w:type="dxa"/>
            <w:tcBorders>
              <w:top w:val="single" w:sz="6" w:space="0" w:color="auto"/>
              <w:left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100</w:t>
            </w:r>
          </w:p>
        </w:tc>
      </w:tr>
      <w:tr w:rsidR="00441F8F" w:rsidRPr="00000F16">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50 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17 dBW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200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400</w:t>
            </w:r>
          </w:p>
        </w:tc>
      </w:tr>
    </w:tbl>
    <w:p w:rsidR="00441F8F" w:rsidRPr="00000F16" w:rsidRDefault="00441F8F">
      <w:pPr>
        <w:pStyle w:val="TableFin"/>
        <w:rPr>
          <w:lang w:val="es-ES_tradnl"/>
        </w:rPr>
      </w:pP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pPr>
        <w:pStyle w:val="Table"/>
        <w:rPr>
          <w:lang w:val="es-ES_tradnl"/>
        </w:rPr>
      </w:pPr>
      <w:r w:rsidRPr="00000F16">
        <w:rPr>
          <w:lang w:val="es-ES_tradnl"/>
        </w:rPr>
        <w:br w:type="page"/>
      </w:r>
      <w:r w:rsidRPr="00000F16">
        <w:rPr>
          <w:lang w:val="es-ES_tradnl"/>
        </w:rPr>
        <w:lastRenderedPageBreak/>
        <w:t>CUADRO  2</w:t>
      </w:r>
    </w:p>
    <w:p w:rsidR="00441F8F" w:rsidRPr="00000F16" w:rsidRDefault="00441F8F">
      <w:pPr>
        <w:pStyle w:val="TableTitle"/>
        <w:rPr>
          <w:lang w:val="es-ES_tradnl"/>
        </w:rPr>
      </w:pPr>
      <w:r w:rsidRPr="00000F16">
        <w:rPr>
          <w:lang w:val="es-ES_tradnl"/>
        </w:rPr>
        <w:t>Distancia de coordinación para asegurar la relación de protección de 5 dB</w:t>
      </w:r>
      <w:r w:rsidRPr="00000F16">
        <w:rPr>
          <w:lang w:val="es-ES_tradnl"/>
        </w:rPr>
        <w:br/>
        <w:t>(transmisión protegida: telegrafía con recepción auditiva)</w:t>
      </w:r>
    </w:p>
    <w:tbl>
      <w:tblPr>
        <w:tblW w:w="0" w:type="auto"/>
        <w:jc w:val="center"/>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441F8F" w:rsidRPr="00000F16">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Grado de ruido</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50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60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70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80</w:t>
            </w:r>
          </w:p>
        </w:tc>
      </w:tr>
      <w:tr w:rsidR="00441F8F" w:rsidRPr="00000F16">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Intensidad de campo mínima</w:t>
            </w:r>
            <w:r w:rsidRPr="00000F16">
              <w:rPr>
                <w:lang w:val="es-ES_tradnl"/>
              </w:rPr>
              <w:br/>
              <w:t xml:space="preserve">(dB con relación a 1 </w:t>
            </w:r>
            <w:r w:rsidRPr="00000F16">
              <w:rPr>
                <w:lang w:val="es-ES_tradnl"/>
              </w:rPr>
              <w:fldChar w:fldCharType="begin"/>
            </w:r>
            <w:r w:rsidRPr="00000F16">
              <w:rPr>
                <w:lang w:val="es-ES_tradnl"/>
              </w:rPr>
              <w:instrText>SYMBOL 109 \f "Symbol"</w:instrText>
            </w:r>
            <w:r w:rsidRPr="00000F16">
              <w:rPr>
                <w:lang w:val="es-ES_tradnl"/>
              </w:rPr>
              <w:fldChar w:fldCharType="end"/>
            </w:r>
            <w:r w:rsidRPr="00000F16">
              <w:rPr>
                <w:lang w:val="es-ES_tradnl"/>
              </w:rPr>
              <w:t>V/m)</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9</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18</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26</w:t>
            </w:r>
          </w:p>
        </w:tc>
      </w:tr>
      <w:tr w:rsidR="00441F8F" w:rsidRPr="00000F16">
        <w:tblPrEx>
          <w:tblCellMar>
            <w:top w:w="0" w:type="dxa"/>
            <w:bottom w:w="0" w:type="dxa"/>
          </w:tblCellMar>
        </w:tblPrEx>
        <w:trPr>
          <w:cantSplit/>
          <w:jc w:val="center"/>
        </w:trPr>
        <w:tc>
          <w:tcPr>
            <w:tcW w:w="1508" w:type="dxa"/>
            <w:tcBorders>
              <w:top w:val="single" w:sz="6" w:space="0" w:color="auto"/>
              <w:bottom w:val="single" w:sz="6" w:space="0" w:color="auto"/>
            </w:tcBorders>
          </w:tcPr>
          <w:p w:rsidR="00441F8F" w:rsidRPr="00000F16" w:rsidRDefault="00441F8F">
            <w:pPr>
              <w:pStyle w:val="TableText"/>
              <w:framePr w:hSpace="181" w:wrap="notBeside" w:vAnchor="text" w:hAnchor="text" w:xAlign="center" w:y="1"/>
              <w:jc w:val="center"/>
              <w:rPr>
                <w:lang w:val="es-ES_tradnl"/>
              </w:rPr>
            </w:pPr>
          </w:p>
        </w:tc>
        <w:tc>
          <w:tcPr>
            <w:tcW w:w="1508" w:type="dxa"/>
            <w:tcBorders>
              <w:top w:val="single" w:sz="6" w:space="0" w:color="auto"/>
              <w:bottom w:val="single" w:sz="6" w:space="0" w:color="auto"/>
            </w:tcBorders>
          </w:tcPr>
          <w:p w:rsidR="00441F8F" w:rsidRPr="00000F16" w:rsidRDefault="00441F8F">
            <w:pPr>
              <w:pStyle w:val="TableText"/>
              <w:framePr w:hSpace="181" w:wrap="notBeside" w:vAnchor="text" w:hAnchor="text" w:xAlign="center" w:y="1"/>
              <w:jc w:val="center"/>
              <w:rPr>
                <w:lang w:val="es-ES_tradnl"/>
              </w:rPr>
            </w:pPr>
          </w:p>
        </w:tc>
        <w:tc>
          <w:tcPr>
            <w:tcW w:w="1508" w:type="dxa"/>
            <w:tcBorders>
              <w:top w:val="single" w:sz="6" w:space="0" w:color="auto"/>
              <w:bottom w:val="single" w:sz="6" w:space="0" w:color="auto"/>
            </w:tcBorders>
          </w:tcPr>
          <w:p w:rsidR="00441F8F" w:rsidRPr="00000F16" w:rsidRDefault="00441F8F">
            <w:pPr>
              <w:pStyle w:val="TableText"/>
              <w:framePr w:hSpace="181" w:wrap="notBeside" w:vAnchor="text" w:hAnchor="text" w:xAlign="center" w:y="1"/>
              <w:jc w:val="center"/>
              <w:rPr>
                <w:lang w:val="es-ES_tradnl"/>
              </w:rPr>
            </w:pPr>
          </w:p>
        </w:tc>
        <w:tc>
          <w:tcPr>
            <w:tcW w:w="1508" w:type="dxa"/>
            <w:tcBorders>
              <w:top w:val="single" w:sz="6" w:space="0" w:color="auto"/>
              <w:bottom w:val="single" w:sz="6" w:space="0" w:color="auto"/>
            </w:tcBorders>
          </w:tcPr>
          <w:p w:rsidR="00441F8F" w:rsidRPr="00000F16" w:rsidRDefault="00441F8F">
            <w:pPr>
              <w:pStyle w:val="TableText"/>
              <w:framePr w:hSpace="181" w:wrap="notBeside" w:vAnchor="text" w:hAnchor="text" w:xAlign="center" w:y="1"/>
              <w:jc w:val="center"/>
              <w:rPr>
                <w:lang w:val="es-ES_tradnl"/>
              </w:rPr>
            </w:pPr>
          </w:p>
        </w:tc>
        <w:tc>
          <w:tcPr>
            <w:tcW w:w="1508" w:type="dxa"/>
            <w:tcBorders>
              <w:top w:val="single" w:sz="6" w:space="0" w:color="auto"/>
              <w:bottom w:val="single" w:sz="6" w:space="0" w:color="auto"/>
            </w:tcBorders>
          </w:tcPr>
          <w:p w:rsidR="00441F8F" w:rsidRPr="00000F16" w:rsidRDefault="00441F8F">
            <w:pPr>
              <w:pStyle w:val="TableText"/>
              <w:framePr w:hSpace="181" w:wrap="notBeside" w:vAnchor="text" w:hAnchor="text" w:xAlign="center" w:y="1"/>
              <w:jc w:val="center"/>
              <w:rPr>
                <w:lang w:val="es-ES_tradnl"/>
              </w:rPr>
            </w:pPr>
          </w:p>
        </w:tc>
        <w:tc>
          <w:tcPr>
            <w:tcW w:w="1508" w:type="dxa"/>
            <w:tcBorders>
              <w:top w:val="single" w:sz="6" w:space="0" w:color="auto"/>
              <w:bottom w:val="single" w:sz="6" w:space="0" w:color="auto"/>
            </w:tcBorders>
          </w:tcPr>
          <w:p w:rsidR="00441F8F" w:rsidRPr="00000F16" w:rsidRDefault="00441F8F">
            <w:pPr>
              <w:pStyle w:val="TableText"/>
              <w:framePr w:hSpace="181" w:wrap="notBeside" w:vAnchor="text" w:hAnchor="text" w:xAlign="center" w:y="1"/>
              <w:jc w:val="center"/>
              <w:rPr>
                <w:lang w:val="es-ES_tradnl"/>
              </w:rPr>
            </w:pPr>
          </w:p>
        </w:tc>
      </w:tr>
      <w:tr w:rsidR="00441F8F" w:rsidRPr="00000F16">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441F8F" w:rsidRPr="00000F16" w:rsidRDefault="00441F8F">
            <w:pPr>
              <w:pStyle w:val="TableHead"/>
              <w:framePr w:hSpace="181" w:wrap="notBeside" w:vAnchor="text" w:hAnchor="text" w:xAlign="center" w:y="1"/>
              <w:rPr>
                <w:lang w:val="es-ES_tradnl"/>
              </w:rPr>
            </w:pPr>
            <w:r w:rsidRPr="00000F16">
              <w:rPr>
                <w:lang w:val="es-ES_tradnl"/>
              </w:rPr>
              <w:t>Potencia (del transmisor interferente)</w:t>
            </w:r>
          </w:p>
        </w:tc>
        <w:tc>
          <w:tcPr>
            <w:tcW w:w="6033" w:type="dxa"/>
            <w:gridSpan w:val="4"/>
            <w:tcBorders>
              <w:top w:val="single" w:sz="6" w:space="0" w:color="auto"/>
              <w:left w:val="single" w:sz="6" w:space="0" w:color="auto"/>
              <w:bottom w:val="single" w:sz="6" w:space="0" w:color="auto"/>
              <w:right w:val="single" w:sz="6" w:space="0" w:color="auto"/>
            </w:tcBorders>
          </w:tcPr>
          <w:p w:rsidR="00441F8F" w:rsidRPr="00000F16" w:rsidRDefault="00441F8F">
            <w:pPr>
              <w:pStyle w:val="TableHead"/>
              <w:framePr w:hSpace="181" w:wrap="notBeside" w:vAnchor="text" w:hAnchor="text" w:xAlign="center" w:y="1"/>
              <w:rPr>
                <w:lang w:val="es-ES_tradnl"/>
              </w:rPr>
            </w:pPr>
            <w:r w:rsidRPr="00000F16">
              <w:rPr>
                <w:lang w:val="es-ES_tradnl"/>
              </w:rPr>
              <w:t xml:space="preserve">Distancia de coordinación </w:t>
            </w:r>
            <w:r w:rsidRPr="00000F16">
              <w:rPr>
                <w:lang w:val="es-ES_tradnl"/>
              </w:rPr>
              <w:br/>
              <w:t>(km)</w:t>
            </w:r>
          </w:p>
        </w:tc>
      </w:tr>
      <w:tr w:rsidR="00441F8F" w:rsidRPr="00000F16">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1 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0 dBW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400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600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rFonts w:ascii="Tms Rmn" w:hAnsi="Tms Rmn"/>
                <w:sz w:val="12"/>
                <w:lang w:val="es-ES_tradnl"/>
              </w:rPr>
              <w:t> </w:t>
            </w:r>
            <w:r w:rsidRPr="00000F16">
              <w:rPr>
                <w:lang w:val="es-ES_tradnl"/>
              </w:rPr>
              <w:t>800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rFonts w:ascii="Tms Rmn" w:hAnsi="Tms Rmn"/>
                <w:sz w:val="12"/>
                <w:lang w:val="es-ES_tradnl"/>
              </w:rPr>
              <w:t> </w:t>
            </w:r>
            <w:r w:rsidRPr="00000F16">
              <w:rPr>
                <w:lang w:val="es-ES_tradnl"/>
              </w:rPr>
              <w:t>300</w:t>
            </w:r>
          </w:p>
        </w:tc>
      </w:tr>
      <w:tr w:rsidR="00441F8F" w:rsidRPr="00000F16">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3 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5 dBW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900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2</w:t>
            </w:r>
            <w:r w:rsidRPr="00000F16">
              <w:rPr>
                <w:rFonts w:ascii="Tms Rmn" w:hAnsi="Tms Rmn"/>
                <w:sz w:val="12"/>
                <w:lang w:val="es-ES_tradnl"/>
              </w:rPr>
              <w:t> </w:t>
            </w:r>
            <w:r w:rsidRPr="00000F16">
              <w:rPr>
                <w:lang w:val="es-ES_tradnl"/>
              </w:rPr>
              <w:t>600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300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rFonts w:ascii="Tms Rmn" w:hAnsi="Tms Rmn"/>
                <w:sz w:val="12"/>
                <w:lang w:val="es-ES_tradnl"/>
              </w:rPr>
              <w:t> </w:t>
            </w:r>
            <w:r w:rsidRPr="00000F16">
              <w:rPr>
                <w:lang w:val="es-ES_tradnl"/>
              </w:rPr>
              <w:t>700</w:t>
            </w:r>
          </w:p>
        </w:tc>
      </w:tr>
      <w:tr w:rsidR="00441F8F" w:rsidRPr="00000F16">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10 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10 dBW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500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500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2</w:t>
            </w:r>
            <w:r w:rsidRPr="00000F16">
              <w:rPr>
                <w:rFonts w:ascii="Tms Rmn" w:hAnsi="Tms Rmn"/>
                <w:sz w:val="12"/>
                <w:lang w:val="es-ES_tradnl"/>
              </w:rPr>
              <w:t> </w:t>
            </w:r>
            <w:r w:rsidRPr="00000F16">
              <w:rPr>
                <w:lang w:val="es-ES_tradnl"/>
              </w:rPr>
              <w:t>200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100</w:t>
            </w:r>
          </w:p>
        </w:tc>
      </w:tr>
      <w:tr w:rsidR="00441F8F" w:rsidRPr="00000F16">
        <w:tblPrEx>
          <w:tblCellMar>
            <w:top w:w="0" w:type="dxa"/>
            <w:bottom w:w="0" w:type="dxa"/>
          </w:tblCellMar>
        </w:tblPrEx>
        <w:trPr>
          <w:cantSplit/>
          <w:jc w:val="center"/>
        </w:trPr>
        <w:tc>
          <w:tcPr>
            <w:tcW w:w="1508" w:type="dxa"/>
            <w:tcBorders>
              <w:top w:val="single" w:sz="6" w:space="0" w:color="auto"/>
              <w:left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30 W</w:t>
            </w:r>
          </w:p>
        </w:tc>
        <w:tc>
          <w:tcPr>
            <w:tcW w:w="1508" w:type="dxa"/>
            <w:tcBorders>
              <w:top w:val="single" w:sz="6" w:space="0" w:color="auto"/>
              <w:left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15 dBW</w:t>
            </w:r>
          </w:p>
        </w:tc>
        <w:tc>
          <w:tcPr>
            <w:tcW w:w="1508" w:type="dxa"/>
            <w:tcBorders>
              <w:top w:val="single" w:sz="6" w:space="0" w:color="auto"/>
              <w:left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100</w:t>
            </w:r>
          </w:p>
        </w:tc>
        <w:tc>
          <w:tcPr>
            <w:tcW w:w="1508" w:type="dxa"/>
            <w:tcBorders>
              <w:top w:val="single" w:sz="6" w:space="0" w:color="auto"/>
              <w:left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600</w:t>
            </w:r>
          </w:p>
        </w:tc>
      </w:tr>
      <w:tr w:rsidR="00441F8F" w:rsidRPr="00000F16">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50 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17 dBW</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200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400</w:t>
            </w:r>
          </w:p>
        </w:tc>
        <w:tc>
          <w:tcPr>
            <w:tcW w:w="1508" w:type="dxa"/>
            <w:tcBorders>
              <w:top w:val="single" w:sz="6" w:space="0" w:color="auto"/>
              <w:left w:val="single" w:sz="6" w:space="0" w:color="auto"/>
              <w:bottom w:val="single" w:sz="6" w:space="0" w:color="auto"/>
              <w:right w:val="single" w:sz="6" w:space="0" w:color="auto"/>
            </w:tcBorders>
          </w:tcPr>
          <w:p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900</w:t>
            </w:r>
          </w:p>
        </w:tc>
      </w:tr>
    </w:tbl>
    <w:p w:rsidR="00441F8F" w:rsidRPr="00000F16" w:rsidRDefault="00441F8F">
      <w:pPr>
        <w:pStyle w:val="TableFin"/>
        <w:rPr>
          <w:lang w:val="es-ES_tradnl"/>
        </w:rPr>
      </w:pPr>
    </w:p>
    <w:p w:rsidR="00441F8F" w:rsidRPr="00000F16" w:rsidRDefault="00441F8F">
      <w:pPr>
        <w:rPr>
          <w:lang w:val="es-ES_tradnl"/>
        </w:rPr>
      </w:pPr>
    </w:p>
    <w:p w:rsidR="00441F8F" w:rsidRPr="00000F16" w:rsidRDefault="00441F8F">
      <w:pPr>
        <w:jc w:val="center"/>
        <w:rPr>
          <w:lang w:val="es-ES_tradnl"/>
        </w:rPr>
      </w:pPr>
      <w:r w:rsidRPr="00000F16">
        <w:rPr>
          <w:lang w:val="es-ES_tradnl"/>
        </w:rPr>
        <w:t>____________________</w:t>
      </w: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rsidP="00000F16">
      <w:pPr>
        <w:rPr>
          <w:lang w:val="es-ES_tradnl"/>
        </w:rPr>
      </w:pPr>
    </w:p>
    <w:p w:rsidR="00441F8F" w:rsidRPr="00000F16" w:rsidRDefault="00441F8F" w:rsidP="00000F16">
      <w:pPr>
        <w:rPr>
          <w:lang w:val="es-ES_tradnl"/>
        </w:rPr>
        <w:sectPr w:rsidR="00441F8F" w:rsidRPr="00000F16">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441F8F" w:rsidRPr="00000F16" w:rsidRDefault="00441F8F" w:rsidP="00000F16">
      <w:pPr>
        <w:rPr>
          <w:lang w:val="es-ES_tradnl"/>
        </w:rPr>
      </w:pPr>
    </w:p>
    <w:sectPr w:rsidR="00441F8F" w:rsidRPr="00000F16" w:rsidSect="00000F16">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122" w:rsidRDefault="00841122">
      <w:r>
        <w:separator/>
      </w:r>
    </w:p>
  </w:endnote>
  <w:endnote w:type="continuationSeparator" w:id="0">
    <w:p w:rsidR="00841122" w:rsidRDefault="0084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122" w:rsidRDefault="00841122">
      <w:r>
        <w:rPr>
          <w:b/>
        </w:rPr>
        <w:t>_______________</w:t>
      </w:r>
    </w:p>
  </w:footnote>
  <w:footnote w:type="continuationSeparator" w:id="0">
    <w:p w:rsidR="00841122" w:rsidRDefault="00841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0F16">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000F16" w:rsidRDefault="00000F16">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rsidR="00000F16" w:rsidRDefault="00000F16">
          <w:pPr>
            <w:pStyle w:val="HeaderRegProc"/>
            <w:rPr>
              <w:lang w:val="fr-FR"/>
            </w:rPr>
          </w:pPr>
          <w:r>
            <w:fldChar w:fldCharType="begin"/>
          </w:r>
          <w:r>
            <w:instrText>styleref href2</w:instrText>
          </w:r>
          <w:r>
            <w:fldChar w:fldCharType="separate"/>
          </w:r>
          <w:r w:rsidR="00A7362F">
            <w:rPr>
              <w:noProof/>
            </w:rPr>
            <w:t>B5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00F16" w:rsidRDefault="00000F16">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A7362F">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0F16" w:rsidRDefault="00000F16">
          <w:pPr>
            <w:pStyle w:val="HeaderRegProc"/>
            <w:rPr>
              <w:lang w:val="fr-CH"/>
            </w:rPr>
          </w:pPr>
          <w:r>
            <w:rPr>
              <w:lang w:val="fr-CH"/>
            </w:rPr>
            <w:t>rev.</w:t>
          </w:r>
          <w:r>
            <w:fldChar w:fldCharType="begin"/>
          </w:r>
          <w:r>
            <w:rPr>
              <w:lang w:val="fr-CH"/>
            </w:rPr>
            <w:instrText xml:space="preserve"> DOCPROPERTY "Header10" \* MERGEFORMAT </w:instrText>
          </w:r>
          <w:r>
            <w:fldChar w:fldCharType="separate"/>
          </w:r>
          <w:r>
            <w:rPr>
              <w:lang w:val="fr-CH"/>
            </w:rPr>
            <w:t>-</w:t>
          </w:r>
          <w:r>
            <w:fldChar w:fldCharType="end"/>
          </w:r>
        </w:p>
      </w:tc>
    </w:tr>
  </w:tbl>
  <w:p w:rsidR="00000F16" w:rsidRDefault="00000F16">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0F16">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000F16" w:rsidRDefault="00000F16">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rsidR="00000F16" w:rsidRDefault="00000F16">
          <w:pPr>
            <w:pStyle w:val="HeaderRegProc"/>
            <w:rPr>
              <w:lang w:val="fr-FR"/>
            </w:rPr>
          </w:pPr>
          <w:r>
            <w:fldChar w:fldCharType="begin"/>
          </w:r>
          <w:r>
            <w:instrText>styleref href2</w:instrText>
          </w:r>
          <w:r>
            <w:fldChar w:fldCharType="separate"/>
          </w:r>
          <w:r w:rsidR="00A7362F">
            <w:rPr>
              <w:noProof/>
            </w:rPr>
            <w:t>B5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00F16" w:rsidRDefault="00000F16">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A7362F">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0F16" w:rsidRDefault="00000F16">
          <w:pPr>
            <w:pStyle w:val="HeaderRegProc"/>
            <w:rPr>
              <w:lang w:val="fr-CH"/>
            </w:rPr>
          </w:pPr>
          <w:r>
            <w:rPr>
              <w:lang w:val="fr-CH"/>
            </w:rPr>
            <w:t>rev.</w:t>
          </w:r>
          <w:r>
            <w:fldChar w:fldCharType="begin"/>
          </w:r>
          <w:r>
            <w:rPr>
              <w:lang w:val="fr-CH"/>
            </w:rPr>
            <w:instrText xml:space="preserve"> DOCPROPERTY "Header10" \* MERGEFORMAT </w:instrText>
          </w:r>
          <w:r>
            <w:fldChar w:fldCharType="separate"/>
          </w:r>
          <w:r>
            <w:rPr>
              <w:lang w:val="fr-CH"/>
            </w:rPr>
            <w:t>-</w:t>
          </w:r>
          <w:r>
            <w:fldChar w:fldCharType="end"/>
          </w:r>
        </w:p>
      </w:tc>
    </w:tr>
  </w:tbl>
  <w:p w:rsidR="00000F16" w:rsidRDefault="00000F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F16" w:rsidRDefault="00000F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730DE7C"/>
    <w:lvl w:ilvl="0">
      <w:start w:val="1"/>
      <w:numFmt w:val="decimal"/>
      <w:lvlText w:val="%1."/>
      <w:lvlJc w:val="left"/>
      <w:pPr>
        <w:tabs>
          <w:tab w:val="num" w:pos="1800"/>
        </w:tabs>
        <w:ind w:left="1800" w:hanging="360"/>
      </w:pPr>
    </w:lvl>
  </w:abstractNum>
  <w:abstractNum w:abstractNumId="1">
    <w:nsid w:val="FFFFFF7D"/>
    <w:multiLevelType w:val="singleLevel"/>
    <w:tmpl w:val="6734BC76"/>
    <w:lvl w:ilvl="0">
      <w:start w:val="1"/>
      <w:numFmt w:val="decimal"/>
      <w:lvlText w:val="%1."/>
      <w:lvlJc w:val="left"/>
      <w:pPr>
        <w:tabs>
          <w:tab w:val="num" w:pos="1440"/>
        </w:tabs>
        <w:ind w:left="1440" w:hanging="360"/>
      </w:pPr>
    </w:lvl>
  </w:abstractNum>
  <w:abstractNum w:abstractNumId="2">
    <w:nsid w:val="FFFFFF7E"/>
    <w:multiLevelType w:val="singleLevel"/>
    <w:tmpl w:val="849E4A4A"/>
    <w:lvl w:ilvl="0">
      <w:start w:val="1"/>
      <w:numFmt w:val="decimal"/>
      <w:lvlText w:val="%1."/>
      <w:lvlJc w:val="left"/>
      <w:pPr>
        <w:tabs>
          <w:tab w:val="num" w:pos="1080"/>
        </w:tabs>
        <w:ind w:left="1080" w:hanging="360"/>
      </w:pPr>
    </w:lvl>
  </w:abstractNum>
  <w:abstractNum w:abstractNumId="3">
    <w:nsid w:val="FFFFFF7F"/>
    <w:multiLevelType w:val="singleLevel"/>
    <w:tmpl w:val="7604F452"/>
    <w:lvl w:ilvl="0">
      <w:start w:val="1"/>
      <w:numFmt w:val="decimal"/>
      <w:lvlText w:val="%1."/>
      <w:lvlJc w:val="left"/>
      <w:pPr>
        <w:tabs>
          <w:tab w:val="num" w:pos="720"/>
        </w:tabs>
        <w:ind w:left="720" w:hanging="360"/>
      </w:pPr>
    </w:lvl>
  </w:abstractNum>
  <w:abstractNum w:abstractNumId="4">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81657E8"/>
    <w:lvl w:ilvl="0">
      <w:start w:val="1"/>
      <w:numFmt w:val="decimal"/>
      <w:lvlText w:val="%1."/>
      <w:lvlJc w:val="left"/>
      <w:pPr>
        <w:tabs>
          <w:tab w:val="num" w:pos="360"/>
        </w:tabs>
        <w:ind w:left="360" w:hanging="360"/>
      </w:pPr>
    </w:lvl>
  </w:abstractNum>
  <w:abstractNum w:abstractNumId="9">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39284A0"/>
    <w:lvl w:ilvl="0">
      <w:numFmt w:val="decimal"/>
      <w:lvlText w:val="*"/>
      <w:lvlJc w:val="left"/>
    </w:lvl>
  </w:abstractNum>
  <w:abstractNum w:abstractNumId="11">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nsid w:val="02315390"/>
    <w:multiLevelType w:val="singleLevel"/>
    <w:tmpl w:val="0C090019"/>
    <w:lvl w:ilvl="0">
      <w:start w:val="1"/>
      <w:numFmt w:val="lowerLetter"/>
      <w:lvlText w:val="(%1)"/>
      <w:lvlJc w:val="left"/>
      <w:pPr>
        <w:tabs>
          <w:tab w:val="num" w:pos="360"/>
        </w:tabs>
        <w:ind w:left="360" w:hanging="360"/>
      </w:pPr>
    </w:lvl>
  </w:abstractNum>
  <w:abstractNum w:abstractNumId="13">
    <w:nsid w:val="06CA1AAF"/>
    <w:multiLevelType w:val="singleLevel"/>
    <w:tmpl w:val="0C09000F"/>
    <w:lvl w:ilvl="0">
      <w:start w:val="1"/>
      <w:numFmt w:val="decimal"/>
      <w:lvlText w:val="%1."/>
      <w:lvlJc w:val="left"/>
      <w:pPr>
        <w:tabs>
          <w:tab w:val="num" w:pos="360"/>
        </w:tabs>
        <w:ind w:left="360" w:hanging="360"/>
      </w:pPr>
    </w:lvl>
  </w:abstractNum>
  <w:abstractNum w:abstractNumId="14">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nsid w:val="14EA1255"/>
    <w:multiLevelType w:val="singleLevel"/>
    <w:tmpl w:val="0C09000F"/>
    <w:lvl w:ilvl="0">
      <w:start w:val="1"/>
      <w:numFmt w:val="decimal"/>
      <w:lvlText w:val="%1."/>
      <w:lvlJc w:val="left"/>
      <w:pPr>
        <w:tabs>
          <w:tab w:val="num" w:pos="360"/>
        </w:tabs>
        <w:ind w:left="360" w:hanging="360"/>
      </w:pPr>
    </w:lvl>
  </w:abstractNum>
  <w:abstractNum w:abstractNumId="18">
    <w:nsid w:val="189D77DD"/>
    <w:multiLevelType w:val="singleLevel"/>
    <w:tmpl w:val="0C090019"/>
    <w:lvl w:ilvl="0">
      <w:start w:val="1"/>
      <w:numFmt w:val="lowerLetter"/>
      <w:lvlText w:val="(%1)"/>
      <w:lvlJc w:val="left"/>
      <w:pPr>
        <w:tabs>
          <w:tab w:val="num" w:pos="360"/>
        </w:tabs>
        <w:ind w:left="360" w:hanging="360"/>
      </w:pPr>
    </w:lvl>
  </w:abstractNum>
  <w:abstractNum w:abstractNumId="19">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6">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8">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9">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3">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abstractNumId w:val="15"/>
  </w:num>
  <w:num w:numId="2">
    <w:abstractNumId w:val="31"/>
  </w:num>
  <w:num w:numId="3">
    <w:abstractNumId w:val="32"/>
  </w:num>
  <w:num w:numId="4">
    <w:abstractNumId w:val="28"/>
  </w:num>
  <w:num w:numId="5">
    <w:abstractNumId w:val="30"/>
  </w:num>
  <w:num w:numId="6">
    <w:abstractNumId w:val="11"/>
  </w:num>
  <w:num w:numId="7">
    <w:abstractNumId w:val="22"/>
  </w:num>
  <w:num w:numId="8">
    <w:abstractNumId w:val="19"/>
  </w:num>
  <w:num w:numId="9">
    <w:abstractNumId w:val="13"/>
  </w:num>
  <w:num w:numId="10">
    <w:abstractNumId w:val="24"/>
  </w:num>
  <w:num w:numId="11">
    <w:abstractNumId w:val="21"/>
  </w:num>
  <w:num w:numId="12">
    <w:abstractNumId w:val="29"/>
  </w:num>
  <w:num w:numId="13">
    <w:abstractNumId w:val="8"/>
  </w:num>
  <w:num w:numId="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14"/>
  </w:num>
  <w:num w:numId="16">
    <w:abstractNumId w:val="9"/>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abstractNumId w:val="17"/>
  </w:num>
  <w:num w:numId="27">
    <w:abstractNumId w:val="33"/>
  </w:num>
  <w:num w:numId="28">
    <w:abstractNumId w:val="18"/>
  </w:num>
  <w:num w:numId="29">
    <w:abstractNumId w:val="20"/>
  </w:num>
  <w:num w:numId="30">
    <w:abstractNumId w:val="23"/>
  </w:num>
  <w:num w:numId="31">
    <w:abstractNumId w:val="27"/>
  </w:num>
  <w:num w:numId="32">
    <w:abstractNumId w:val="12"/>
  </w:num>
  <w:num w:numId="33">
    <w:abstractNumId w:val="16"/>
  </w:num>
  <w:num w:numId="34">
    <w:abstractNumId w:val="25"/>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F8F"/>
    <w:rsid w:val="00000F16"/>
    <w:rsid w:val="001D340B"/>
    <w:rsid w:val="004323BB"/>
    <w:rsid w:val="00441F8F"/>
    <w:rsid w:val="00841122"/>
    <w:rsid w:val="00942276"/>
    <w:rsid w:val="00A7362F"/>
    <w:rsid w:val="00C822FB"/>
    <w:rsid w:val="00D33B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4</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5436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Parte B SECB5 du RR</dc:subject>
  <dc:creator>Composition des Publications</dc:creator>
  <cp:keywords>FOLIOS:  1  -  4 (bl)</cp:keywords>
  <dc:description>Edition 2009:  16.02.2009/DD (dict. ok)</dc:description>
  <cp:lastModifiedBy>De Nicola, Simon</cp:lastModifiedBy>
  <cp:revision>2</cp:revision>
  <cp:lastPrinted>2005-05-13T09:20:00Z</cp:lastPrinted>
  <dcterms:created xsi:type="dcterms:W3CDTF">2012-10-03T08:34:00Z</dcterms:created>
  <dcterms:modified xsi:type="dcterms:W3CDTF">2012-10-03T08:34:00Z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