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4B6B" w:rsidRPr="000A4A4F" w:rsidRDefault="000C4B6B" w:rsidP="000A4A4F">
      <w:pPr>
        <w:pStyle w:val="Heading1"/>
        <w:spacing w:before="300"/>
        <w:jc w:val="center"/>
        <w:rPr>
          <w:lang w:val="es-ES_tradnl"/>
        </w:rPr>
      </w:pPr>
      <w:bookmarkStart w:id="0" w:name="_GoBack"/>
      <w:bookmarkEnd w:id="0"/>
      <w:r w:rsidRPr="000A4A4F">
        <w:rPr>
          <w:lang w:val="es-ES_tradnl"/>
        </w:rPr>
        <w:t xml:space="preserve">PARTE  </w:t>
      </w:r>
      <w:r w:rsidRPr="000A4A4F">
        <w:rPr>
          <w:rStyle w:val="href"/>
          <w:lang w:val="es-ES_tradnl"/>
        </w:rPr>
        <w:t>A8</w:t>
      </w:r>
    </w:p>
    <w:p w:rsidR="000C4B6B" w:rsidRPr="000A4A4F" w:rsidRDefault="000C4B6B">
      <w:pPr>
        <w:pStyle w:val="Heading1"/>
        <w:ind w:left="0" w:firstLine="0"/>
        <w:jc w:val="center"/>
        <w:rPr>
          <w:lang w:val="es-ES_tradnl"/>
        </w:rPr>
      </w:pPr>
      <w:r w:rsidRPr="000A4A4F">
        <w:rPr>
          <w:lang w:val="es-ES_tradnl"/>
        </w:rPr>
        <w:t>Reglas relativas al Acuerdo Regional relativo a los servicios móvil marítimo</w:t>
      </w:r>
      <w:r w:rsidRPr="000A4A4F">
        <w:rPr>
          <w:lang w:val="es-ES_tradnl"/>
        </w:rPr>
        <w:br/>
        <w:t>y de radionavegación aeronáutica en la banda de ondas hectométricas</w:t>
      </w:r>
      <w:r w:rsidRPr="000A4A4F">
        <w:rPr>
          <w:lang w:val="es-ES_tradnl"/>
        </w:rPr>
        <w:br/>
        <w:t>(Región 1), (Ginebra, 1985) (</w:t>
      </w:r>
      <w:r w:rsidRPr="000A4A4F">
        <w:rPr>
          <w:rStyle w:val="href2"/>
          <w:lang w:val="es-ES_tradnl"/>
        </w:rPr>
        <w:t>GE85-</w:t>
      </w:r>
      <w:r w:rsidRPr="000A4A4F">
        <w:rPr>
          <w:lang w:val="es-ES_tradnl"/>
        </w:rPr>
        <w:t>MM-R1)</w:t>
      </w:r>
    </w:p>
    <w:p w:rsidR="000C4B6B" w:rsidRPr="000A4A4F" w:rsidRDefault="000C4B6B">
      <w:pPr>
        <w:pStyle w:val="Heading1"/>
        <w:rPr>
          <w:lang w:val="es-ES_tradnl"/>
        </w:rPr>
      </w:pPr>
      <w:r w:rsidRPr="000A4A4F">
        <w:rPr>
          <w:lang w:val="es-ES_tradnl"/>
        </w:rPr>
        <w:t>1</w:t>
      </w:r>
      <w:r w:rsidRPr="000A4A4F">
        <w:rPr>
          <w:lang w:val="es-ES_tradnl"/>
        </w:rPr>
        <w:tab/>
        <w:t>Situación de las administraciones con respecto al Acuerdo</w:t>
      </w:r>
    </w:p>
    <w:p w:rsidR="000C4B6B" w:rsidRPr="000A4A4F" w:rsidRDefault="000C4B6B" w:rsidP="000A4A4F">
      <w:pPr>
        <w:rPr>
          <w:lang w:val="es-ES_tradnl"/>
        </w:rPr>
      </w:pPr>
      <w:r w:rsidRPr="000A4A4F">
        <w:rPr>
          <w:lang w:val="es-ES_tradnl"/>
        </w:rPr>
        <w:t>1.1</w:t>
      </w:r>
      <w:r w:rsidRPr="000A4A4F">
        <w:rPr>
          <w:lang w:val="es-ES_tradnl"/>
        </w:rPr>
        <w:tab/>
        <w:t>En el periodo de transición que medió entre el establecimiento del Acuerdo (13 de marzo de 1985) y su entrada en vigor (1 de abril de 1992), y tras consultar a las administra</w:t>
      </w:r>
      <w:r w:rsidRPr="000A4A4F">
        <w:rPr>
          <w:lang w:val="es-ES_tradnl"/>
        </w:rPr>
        <w:softHyphen/>
        <w:t>ciones de los países situados en la Región 1, la Junta introdujo y utilizó el concepto de «Partes en el Acuerdo» para los fines de la aplicación de los procedimientos y criterios técnicos conexos establecidos en los Artículos 4, 5 y 6 del Acuerdo GE85-MM-R1, que rigen toda modificación al Plan y la notificación, el examen y el registro de notificaciones de asigna</w:t>
      </w:r>
      <w:r w:rsidRPr="000A4A4F">
        <w:rPr>
          <w:lang w:val="es-ES_tradnl"/>
        </w:rPr>
        <w:softHyphen/>
        <w:t>ciones de frecuencia a estaciones de los servicios planificados (móvil marítimo y de radio</w:t>
      </w:r>
      <w:r w:rsidRPr="000A4A4F">
        <w:rPr>
          <w:lang w:val="es-ES_tradnl"/>
        </w:rPr>
        <w:softHyphen/>
        <w:t>navegación aeronáutica) o no planificados (fijos y móviles terrestres). Se consideró que las «partes en el Acuerdo GE85-MM-R1» eran todas las administraciones que tienen territorios en la zona de planificación (es decir, en la Región 1) y que no se oponían a este concepto. Las no partes en el Acuerdo eran aquellas administraciones que declararon oficialmente que no deseaban ser consideradas «Partes en el Acuerdo», así como las administraciones no partici</w:t>
      </w:r>
      <w:r w:rsidRPr="000A4A4F">
        <w:rPr>
          <w:lang w:val="es-ES_tradnl"/>
        </w:rPr>
        <w:softHyphen/>
        <w:t>pantes en asignaciones en el Plan que no habían declarado oficialmente su intención de convertirse en «Partes en el Acuerdo».</w:t>
      </w:r>
    </w:p>
    <w:p w:rsidR="000C4B6B" w:rsidRPr="000A4A4F" w:rsidRDefault="000C4B6B">
      <w:pPr>
        <w:rPr>
          <w:lang w:val="es-ES_tradnl"/>
        </w:rPr>
      </w:pPr>
      <w:r w:rsidRPr="000A4A4F">
        <w:rPr>
          <w:lang w:val="es-ES_tradnl"/>
        </w:rPr>
        <w:t>1.2</w:t>
      </w:r>
      <w:r w:rsidRPr="000A4A4F">
        <w:rPr>
          <w:lang w:val="es-ES_tradnl"/>
        </w:rPr>
        <w:tab/>
        <w:t>Tras la entrada en vigor del Acuerdo y a la espera de nuevas consultas con las administraciones interesadas, la Junta decidió mantener este concepto. Por consiguiente, la Oficina considerará partes en el Acuerdo GE85-MM-R1 a todas las administraciones que tienen territorios dentro de la Región 1, excepto las siguientes: AND, BFA, CAF, GNB, LSO, LUX, MLI, MNG, MWI, NGR, RRW, SWZ, TZA, UGA, ZMB y ZWE, que se considerarán no partes en el Acuerdo hasta que se adhieran oficialmente al mismo.</w:t>
      </w:r>
    </w:p>
    <w:p w:rsidR="000C4B6B" w:rsidRPr="000A4A4F" w:rsidRDefault="000C4B6B">
      <w:pPr>
        <w:pStyle w:val="Heading1"/>
        <w:rPr>
          <w:lang w:val="es-ES_tradnl"/>
        </w:rPr>
      </w:pPr>
      <w:r w:rsidRPr="000A4A4F">
        <w:rPr>
          <w:lang w:val="es-ES_tradnl"/>
        </w:rPr>
        <w:t>2</w:t>
      </w:r>
      <w:r w:rsidRPr="000A4A4F">
        <w:rPr>
          <w:lang w:val="es-ES_tradnl"/>
        </w:rPr>
        <w:tab/>
        <w:t>Tramitación de las notificaciones cuyo objeto es modificar los Planes regidos por el Acuerdo GE85-MM-R1</w:t>
      </w:r>
    </w:p>
    <w:p w:rsidR="000C4B6B" w:rsidRPr="000A4A4F" w:rsidRDefault="000C4B6B" w:rsidP="000A4A4F">
      <w:pPr>
        <w:rPr>
          <w:lang w:val="es-ES_tradnl"/>
        </w:rPr>
      </w:pPr>
      <w:r w:rsidRPr="000A4A4F">
        <w:rPr>
          <w:lang w:val="es-ES_tradnl"/>
        </w:rPr>
        <w:t>2.1</w:t>
      </w:r>
      <w:r w:rsidRPr="000A4A4F">
        <w:rPr>
          <w:lang w:val="es-ES_tradnl"/>
        </w:rPr>
        <w:tab/>
        <w:t>Se considerarán admisibles las modificaciones a los Planes efectuadas por todas las administraciones que se consideran partes en el Acuerdo (véase el</w:t>
      </w:r>
      <w:r w:rsidR="000A4A4F" w:rsidRPr="000A4A4F">
        <w:rPr>
          <w:lang w:val="es-ES_tradnl"/>
        </w:rPr>
        <w:t> </w:t>
      </w:r>
      <w:r w:rsidRPr="000A4A4F">
        <w:rPr>
          <w:lang w:val="es-ES_tradnl"/>
        </w:rPr>
        <w:t>§ 1.2 supra).</w:t>
      </w:r>
    </w:p>
    <w:p w:rsidR="000C4B6B" w:rsidRPr="000A4A4F" w:rsidRDefault="000C4B6B">
      <w:pPr>
        <w:rPr>
          <w:lang w:val="es-ES_tradnl"/>
        </w:rPr>
      </w:pPr>
      <w:r w:rsidRPr="000A4A4F">
        <w:rPr>
          <w:lang w:val="es-ES_tradnl"/>
        </w:rPr>
        <w:t>2.2</w:t>
      </w:r>
      <w:r w:rsidRPr="000A4A4F">
        <w:rPr>
          <w:lang w:val="es-ES_tradnl"/>
        </w:rPr>
        <w:tab/>
        <w:t>La tramitación de notificaciones cuyo objeto sea modificar los Planes de asignación de bandas de frecuencias seguirá los procedimientos especificados en el Artículo 4 del Acuerdo.</w:t>
      </w:r>
    </w:p>
    <w:p w:rsidR="000C4B6B" w:rsidRPr="000A4A4F" w:rsidRDefault="000A4A4F" w:rsidP="000A4A4F">
      <w:pPr>
        <w:rPr>
          <w:lang w:val="es-ES_tradnl"/>
        </w:rPr>
      </w:pPr>
      <w:r>
        <w:rPr>
          <w:lang w:val="es-ES_tradnl"/>
        </w:rPr>
        <w:br w:type="page"/>
      </w:r>
      <w:r w:rsidR="000C4B6B" w:rsidRPr="000A4A4F">
        <w:rPr>
          <w:lang w:val="es-ES_tradnl"/>
        </w:rPr>
        <w:lastRenderedPageBreak/>
        <w:t>2.3</w:t>
      </w:r>
      <w:r w:rsidR="000C4B6B" w:rsidRPr="000A4A4F">
        <w:rPr>
          <w:lang w:val="es-ES_tradnl"/>
        </w:rPr>
        <w:tab/>
        <w:t>Los principios técnicos que se han de utilizar en el procedimiento de modificación de los Planes de asignación de frecuencia serán los contenidos en los Anexos 3, 4 y 5 del Acuerdo GE85-MM-R1. Para este fin se utilizará el programa de computador empleado en la CARR</w:t>
      </w:r>
      <w:r w:rsidR="000C4B6B" w:rsidRPr="000A4A4F">
        <w:rPr>
          <w:lang w:val="es-ES_tradnl"/>
        </w:rPr>
        <w:noBreakHyphen/>
        <w:t>MM</w:t>
      </w:r>
      <w:r w:rsidRPr="000A4A4F">
        <w:rPr>
          <w:lang w:val="es-ES_tradnl"/>
        </w:rPr>
        <w:noBreakHyphen/>
      </w:r>
      <w:r w:rsidR="000C4B6B" w:rsidRPr="000A4A4F">
        <w:rPr>
          <w:lang w:val="es-ES_tradnl"/>
        </w:rPr>
        <w:t>R1, debidamente modificado para recoger las líneas costeras digitalizadas.</w:t>
      </w:r>
    </w:p>
    <w:p w:rsidR="000C4B6B" w:rsidRPr="000A4A4F" w:rsidRDefault="000C4B6B">
      <w:pPr>
        <w:rPr>
          <w:lang w:val="es-ES_tradnl"/>
        </w:rPr>
      </w:pPr>
      <w:r w:rsidRPr="000A4A4F">
        <w:rPr>
          <w:lang w:val="es-ES_tradnl"/>
        </w:rPr>
        <w:t>2.4</w:t>
      </w:r>
      <w:r w:rsidRPr="000A4A4F">
        <w:rPr>
          <w:lang w:val="es-ES_tradnl"/>
        </w:rPr>
        <w:tab/>
        <w:t>Se verificarán los puntos siguientes para determinar la conformidad de los principios técnicos del Acuerdo:</w:t>
      </w:r>
    </w:p>
    <w:p w:rsidR="000C4B6B" w:rsidRPr="000A4A4F" w:rsidRDefault="000C4B6B" w:rsidP="000A4A4F">
      <w:pPr>
        <w:pStyle w:val="enumlev1"/>
        <w:ind w:left="0" w:firstLine="0"/>
        <w:rPr>
          <w:lang w:val="es-ES_tradnl"/>
        </w:rPr>
      </w:pPr>
      <w:r w:rsidRPr="000A4A4F">
        <w:rPr>
          <w:lang w:val="es-ES_tradnl"/>
        </w:rPr>
        <w:t>2.4.1</w:t>
      </w:r>
      <w:r w:rsidRPr="000A4A4F">
        <w:rPr>
          <w:lang w:val="es-ES_tradnl"/>
        </w:rPr>
        <w:tab/>
        <w:t>Conformidad de la frecuencia asignada (par de frecuencias) con la disposición de canales adecuada (la verificación se efectuará en relación con los Cuadros 1 a 4 del Anexo</w:t>
      </w:r>
      <w:r w:rsidR="000A4A4F" w:rsidRPr="000A4A4F">
        <w:rPr>
          <w:lang w:val="es-ES_tradnl"/>
        </w:rPr>
        <w:t> </w:t>
      </w:r>
      <w:r w:rsidRPr="000A4A4F">
        <w:rPr>
          <w:lang w:val="es-ES_tradnl"/>
        </w:rPr>
        <w:t>3 al Acuerdo GE85-MM-R1).</w:t>
      </w:r>
    </w:p>
    <w:p w:rsidR="000C4B6B" w:rsidRPr="000A4A4F" w:rsidRDefault="000C4B6B">
      <w:pPr>
        <w:pStyle w:val="enumlev1"/>
        <w:ind w:left="0" w:firstLine="0"/>
        <w:rPr>
          <w:lang w:val="es-ES_tradnl"/>
        </w:rPr>
      </w:pPr>
      <w:r w:rsidRPr="000A4A4F">
        <w:rPr>
          <w:lang w:val="es-ES_tradnl"/>
        </w:rPr>
        <w:t>2.4.2</w:t>
      </w:r>
      <w:r w:rsidRPr="000A4A4F">
        <w:rPr>
          <w:lang w:val="es-ES_tradnl"/>
        </w:rPr>
        <w:tab/>
        <w:t>Conformidad de la clase de emisión notificada con la clase de emisión admisible. Se consideran aceptables las clases de emisión y las anchuras de bandas siguientes:</w:t>
      </w:r>
    </w:p>
    <w:p w:rsidR="000C4B6B" w:rsidRPr="000A4A4F" w:rsidRDefault="000C4B6B" w:rsidP="000A4A4F">
      <w:pPr>
        <w:pStyle w:val="enumlev1"/>
        <w:rPr>
          <w:lang w:val="es-ES_tradnl"/>
        </w:rPr>
      </w:pPr>
      <w:r w:rsidRPr="000A4A4F">
        <w:rPr>
          <w:lang w:val="es-ES_tradnl"/>
        </w:rPr>
        <w:t>–</w:t>
      </w:r>
      <w:r w:rsidRPr="000A4A4F">
        <w:rPr>
          <w:lang w:val="es-ES_tradnl"/>
        </w:rPr>
        <w:tab/>
      </w:r>
      <w:r w:rsidRPr="000A4A4F">
        <w:rPr>
          <w:i/>
          <w:lang w:val="es-ES_tradnl"/>
        </w:rPr>
        <w:t>Estaciones</w:t>
      </w:r>
      <w:r w:rsidR="000A4A4F" w:rsidRPr="000A4A4F">
        <w:rPr>
          <w:i/>
          <w:lang w:val="es-ES_tradnl"/>
        </w:rPr>
        <w:t xml:space="preserve"> </w:t>
      </w:r>
      <w:r w:rsidRPr="000A4A4F">
        <w:rPr>
          <w:i/>
          <w:lang w:val="es-ES_tradnl"/>
        </w:rPr>
        <w:t>AL</w:t>
      </w:r>
      <w:r w:rsidRPr="000A4A4F">
        <w:rPr>
          <w:lang w:val="es-ES_tradnl"/>
        </w:rPr>
        <w:t>:</w:t>
      </w:r>
      <w:r w:rsidR="000A4A4F">
        <w:rPr>
          <w:lang w:val="es-ES_tradnl"/>
        </w:rPr>
        <w:t xml:space="preserve"> </w:t>
      </w:r>
      <w:r w:rsidRPr="000A4A4F">
        <w:rPr>
          <w:lang w:val="es-ES_tradnl"/>
        </w:rPr>
        <w:t>100HA1A, 850HA2A y 2K14A2A; sin embargo, se tendrán también en cuenta las limitaciones especificadas en el Cuadro 4 del Anexo 3 al Acuerdo para algunos canales.</w:t>
      </w:r>
    </w:p>
    <w:p w:rsidR="000C4B6B" w:rsidRPr="000A4A4F" w:rsidRDefault="000C4B6B" w:rsidP="000A4A4F">
      <w:pPr>
        <w:pStyle w:val="enumlev1"/>
        <w:rPr>
          <w:lang w:val="es-ES_tradnl"/>
        </w:rPr>
      </w:pPr>
      <w:r w:rsidRPr="000A4A4F">
        <w:rPr>
          <w:lang w:val="es-ES_tradnl"/>
        </w:rPr>
        <w:t>–</w:t>
      </w:r>
      <w:r w:rsidRPr="000A4A4F">
        <w:rPr>
          <w:lang w:val="es-ES_tradnl"/>
        </w:rPr>
        <w:tab/>
      </w:r>
      <w:r w:rsidRPr="000A4A4F">
        <w:rPr>
          <w:i/>
          <w:lang w:val="es-ES_tradnl"/>
        </w:rPr>
        <w:t>Estaciones</w:t>
      </w:r>
      <w:r w:rsidR="000A4A4F" w:rsidRPr="000A4A4F">
        <w:rPr>
          <w:i/>
          <w:lang w:val="es-ES_tradnl"/>
        </w:rPr>
        <w:t xml:space="preserve"> </w:t>
      </w:r>
      <w:r w:rsidRPr="000A4A4F">
        <w:rPr>
          <w:i/>
          <w:lang w:val="es-ES_tradnl"/>
        </w:rPr>
        <w:t>FC</w:t>
      </w:r>
      <w:r w:rsidRPr="000A4A4F">
        <w:rPr>
          <w:iCs/>
          <w:lang w:val="es-ES_tradnl"/>
        </w:rPr>
        <w:t>/</w:t>
      </w:r>
      <w:r w:rsidRPr="000A4A4F">
        <w:rPr>
          <w:i/>
          <w:lang w:val="es-ES_tradnl"/>
        </w:rPr>
        <w:t>MS en las bandas en torno a 500 kHz</w:t>
      </w:r>
      <w:r w:rsidRPr="000A4A4F">
        <w:rPr>
          <w:lang w:val="es-ES_tradnl"/>
        </w:rPr>
        <w:t>:</w:t>
      </w:r>
      <w:r w:rsidR="000A4A4F">
        <w:rPr>
          <w:lang w:val="es-ES_tradnl"/>
        </w:rPr>
        <w:t xml:space="preserve"> </w:t>
      </w:r>
      <w:r w:rsidRPr="000A4A4F">
        <w:rPr>
          <w:lang w:val="es-ES_tradnl"/>
        </w:rPr>
        <w:t>A1A y F1B y las anchuras de banda necesarias hasta 500</w:t>
      </w:r>
      <w:r w:rsidR="000A4A4F" w:rsidRPr="000A4A4F">
        <w:rPr>
          <w:lang w:val="es-ES_tradnl"/>
        </w:rPr>
        <w:t> </w:t>
      </w:r>
      <w:r w:rsidRPr="000A4A4F">
        <w:rPr>
          <w:lang w:val="es-ES_tradnl"/>
        </w:rPr>
        <w:t>Hz.</w:t>
      </w:r>
    </w:p>
    <w:p w:rsidR="000C4B6B" w:rsidRPr="000A4A4F" w:rsidRDefault="000C4B6B" w:rsidP="000A4A4F">
      <w:pPr>
        <w:pStyle w:val="enumlev1"/>
        <w:rPr>
          <w:lang w:val="es-ES_tradnl"/>
        </w:rPr>
      </w:pPr>
      <w:r w:rsidRPr="000A4A4F">
        <w:rPr>
          <w:lang w:val="es-ES_tradnl"/>
        </w:rPr>
        <w:tab/>
        <w:t>La Junta consideró a este respecto que la anchura de banda de 500 Hz representa, en el caso de las emisiones A1A, una velocidad de 100 palabras/min y es más que suficiente para la telegrafía manual. En el caso de las emisiones F1B este límite abarca la anchura de banda normalizada de 304 Hz (Recomendaciones UIT-R M.476-5, UIT-R M.493</w:t>
      </w:r>
      <w:r w:rsidR="000A4A4F" w:rsidRPr="000A4A4F">
        <w:rPr>
          <w:lang w:val="es-ES_tradnl"/>
        </w:rPr>
        <w:noBreakHyphen/>
      </w:r>
      <w:r w:rsidRPr="000A4A4F">
        <w:rPr>
          <w:lang w:val="es-ES_tradnl"/>
        </w:rPr>
        <w:t>9, UIT</w:t>
      </w:r>
      <w:r w:rsidR="000A4A4F" w:rsidRPr="000A4A4F">
        <w:rPr>
          <w:lang w:val="es-ES_tradnl"/>
        </w:rPr>
        <w:noBreakHyphen/>
      </w:r>
      <w:r w:rsidRPr="000A4A4F">
        <w:rPr>
          <w:lang w:val="es-ES_tradnl"/>
        </w:rPr>
        <w:t>R</w:t>
      </w:r>
      <w:r w:rsidR="000A4A4F" w:rsidRPr="000A4A4F">
        <w:rPr>
          <w:lang w:val="es-ES_tradnl"/>
        </w:rPr>
        <w:t> </w:t>
      </w:r>
      <w:r w:rsidRPr="000A4A4F">
        <w:rPr>
          <w:lang w:val="es-ES_tradnl"/>
        </w:rPr>
        <w:t>M.625</w:t>
      </w:r>
      <w:r w:rsidR="000A4A4F" w:rsidRPr="000A4A4F">
        <w:rPr>
          <w:lang w:val="es-ES_tradnl"/>
        </w:rPr>
        <w:noBreakHyphen/>
      </w:r>
      <w:r w:rsidRPr="000A4A4F">
        <w:rPr>
          <w:lang w:val="es-ES_tradnl"/>
        </w:rPr>
        <w:t>3 y UIT</w:t>
      </w:r>
      <w:r w:rsidR="000A4A4F" w:rsidRPr="000A4A4F">
        <w:rPr>
          <w:lang w:val="es-ES_tradnl"/>
        </w:rPr>
        <w:noBreakHyphen/>
      </w:r>
      <w:r w:rsidRPr="000A4A4F">
        <w:rPr>
          <w:lang w:val="es-ES_tradnl"/>
        </w:rPr>
        <w:t>R</w:t>
      </w:r>
      <w:r w:rsidR="000A4A4F" w:rsidRPr="000A4A4F">
        <w:rPr>
          <w:lang w:val="es-ES_tradnl"/>
        </w:rPr>
        <w:t> </w:t>
      </w:r>
      <w:r w:rsidRPr="000A4A4F">
        <w:rPr>
          <w:lang w:val="es-ES_tradnl"/>
        </w:rPr>
        <w:t>SM.1138).</w:t>
      </w:r>
    </w:p>
    <w:p w:rsidR="000C4B6B" w:rsidRPr="000A4A4F" w:rsidRDefault="000C4B6B" w:rsidP="000A4A4F">
      <w:pPr>
        <w:pStyle w:val="enumlev1"/>
        <w:rPr>
          <w:lang w:val="es-ES_tradnl"/>
        </w:rPr>
      </w:pPr>
      <w:r w:rsidRPr="000A4A4F">
        <w:rPr>
          <w:lang w:val="es-ES_tradnl"/>
        </w:rPr>
        <w:t>–</w:t>
      </w:r>
      <w:r w:rsidRPr="000A4A4F">
        <w:rPr>
          <w:lang w:val="es-ES_tradnl"/>
        </w:rPr>
        <w:tab/>
      </w:r>
      <w:r w:rsidRPr="000A4A4F">
        <w:rPr>
          <w:i/>
          <w:lang w:val="es-ES_tradnl"/>
        </w:rPr>
        <w:t>Estaciones FC</w:t>
      </w:r>
      <w:r w:rsidRPr="000A4A4F">
        <w:rPr>
          <w:iCs/>
          <w:lang w:val="es-ES_tradnl"/>
        </w:rPr>
        <w:t>/</w:t>
      </w:r>
      <w:r w:rsidRPr="000A4A4F">
        <w:rPr>
          <w:i/>
          <w:lang w:val="es-ES_tradnl"/>
        </w:rPr>
        <w:t>MS en las bandas en torno a 2 MHz</w:t>
      </w:r>
      <w:r w:rsidRPr="000A4A4F">
        <w:rPr>
          <w:lang w:val="es-ES_tradnl"/>
        </w:rPr>
        <w:t>:</w:t>
      </w:r>
      <w:r w:rsidR="000A4A4F">
        <w:rPr>
          <w:lang w:val="es-ES_tradnl"/>
        </w:rPr>
        <w:t xml:space="preserve"> </w:t>
      </w:r>
      <w:r w:rsidRPr="000A4A4F">
        <w:rPr>
          <w:lang w:val="es-ES_tradnl"/>
        </w:rPr>
        <w:t>F1B y J3E; la anchura de banda necesaria para las emisiones F1B no excederá de 500 Hz y la anchura de banda necesaria para las emisiones J3E no excederá de 2</w:t>
      </w:r>
      <w:r w:rsidR="000A4A4F" w:rsidRPr="000A4A4F">
        <w:rPr>
          <w:rFonts w:ascii="Tms Rmn" w:hAnsi="Tms Rmn"/>
          <w:sz w:val="12"/>
          <w:lang w:val="es-ES_tradnl"/>
        </w:rPr>
        <w:t> </w:t>
      </w:r>
      <w:r w:rsidRPr="000A4A4F">
        <w:rPr>
          <w:lang w:val="es-ES_tradnl"/>
        </w:rPr>
        <w:t>800 Hz (véase el número</w:t>
      </w:r>
      <w:r w:rsidR="000A4A4F" w:rsidRPr="000A4A4F">
        <w:rPr>
          <w:lang w:val="es-ES_tradnl"/>
        </w:rPr>
        <w:t xml:space="preserve"> </w:t>
      </w:r>
      <w:r w:rsidRPr="000A4A4F">
        <w:rPr>
          <w:rStyle w:val="Artref"/>
          <w:b/>
          <w:color w:val="000000"/>
          <w:lang w:val="es-ES_tradnl"/>
        </w:rPr>
        <w:t>52.177</w:t>
      </w:r>
      <w:r w:rsidRPr="000A4A4F">
        <w:rPr>
          <w:lang w:val="es-ES_tradnl"/>
        </w:rPr>
        <w:t xml:space="preserve"> en relación con este último caso).</w:t>
      </w:r>
    </w:p>
    <w:p w:rsidR="000C4B6B" w:rsidRPr="000A4A4F" w:rsidRDefault="000C4B6B" w:rsidP="000A4A4F">
      <w:pPr>
        <w:pStyle w:val="enumlev1"/>
        <w:ind w:left="0" w:firstLine="0"/>
        <w:rPr>
          <w:lang w:val="es-ES_tradnl"/>
        </w:rPr>
      </w:pPr>
      <w:r w:rsidRPr="000A4A4F">
        <w:rPr>
          <w:lang w:val="es-ES_tradnl"/>
        </w:rPr>
        <w:t>2.4.3</w:t>
      </w:r>
      <w:r w:rsidRPr="000A4A4F">
        <w:rPr>
          <w:lang w:val="es-ES_tradnl"/>
        </w:rPr>
        <w:tab/>
        <w:t>Conformidad del alcance útil notificado con los límites establecidos en la Conferencia:</w:t>
      </w:r>
    </w:p>
    <w:p w:rsidR="000C4B6B" w:rsidRPr="000A4A4F" w:rsidRDefault="000C4B6B">
      <w:pPr>
        <w:pStyle w:val="enumlev2"/>
        <w:rPr>
          <w:lang w:val="es-ES_tradnl"/>
        </w:rPr>
      </w:pPr>
      <w:r w:rsidRPr="000A4A4F">
        <w:rPr>
          <w:lang w:val="es-ES_tradnl"/>
        </w:rPr>
        <w:tab/>
        <w:t>Las administraciones notificarán solamente el alcance útil requerido, que servirá de base para determinar el valor de potencia necesario para lograr la intensidad de campo mínima en el borde de la zona de servicio. El alcance útil de las estaciones costeras no excederá de los siguientes límites:</w:t>
      </w:r>
    </w:p>
    <w:p w:rsidR="000C4B6B" w:rsidRPr="000A4A4F" w:rsidRDefault="000C4B6B">
      <w:pPr>
        <w:pStyle w:val="enumlev3"/>
        <w:rPr>
          <w:lang w:val="es-ES_tradnl"/>
        </w:rPr>
      </w:pPr>
      <w:r w:rsidRPr="000A4A4F">
        <w:rPr>
          <w:lang w:val="es-ES_tradnl"/>
        </w:rPr>
        <w:t>–</w:t>
      </w:r>
      <w:r w:rsidRPr="000A4A4F">
        <w:rPr>
          <w:lang w:val="es-ES_tradnl"/>
        </w:rPr>
        <w:tab/>
        <w:t>500 km en la banda 415-526,5 kHz</w:t>
      </w:r>
    </w:p>
    <w:p w:rsidR="000C4B6B" w:rsidRPr="000A4A4F" w:rsidRDefault="000C4B6B">
      <w:pPr>
        <w:pStyle w:val="enumlev3"/>
        <w:rPr>
          <w:lang w:val="es-ES_tradnl"/>
        </w:rPr>
      </w:pPr>
      <w:r w:rsidRPr="000A4A4F">
        <w:rPr>
          <w:lang w:val="es-ES_tradnl"/>
        </w:rPr>
        <w:t>–</w:t>
      </w:r>
      <w:r w:rsidRPr="000A4A4F">
        <w:rPr>
          <w:lang w:val="es-ES_tradnl"/>
        </w:rPr>
        <w:tab/>
        <w:t>400 km en la banda 1</w:t>
      </w:r>
      <w:r w:rsidRPr="000A4A4F">
        <w:rPr>
          <w:rFonts w:ascii="Tms Rmn" w:hAnsi="Tms Rmn"/>
          <w:sz w:val="12"/>
          <w:lang w:val="es-ES_tradnl"/>
        </w:rPr>
        <w:t> </w:t>
      </w:r>
      <w:r w:rsidRPr="000A4A4F">
        <w:rPr>
          <w:lang w:val="es-ES_tradnl"/>
        </w:rPr>
        <w:t>606,5-2</w:t>
      </w:r>
      <w:r w:rsidRPr="000A4A4F">
        <w:rPr>
          <w:rFonts w:ascii="Tms Rmn" w:hAnsi="Tms Rmn"/>
          <w:sz w:val="12"/>
          <w:lang w:val="es-ES_tradnl"/>
        </w:rPr>
        <w:t> </w:t>
      </w:r>
      <w:r w:rsidRPr="000A4A4F">
        <w:rPr>
          <w:lang w:val="es-ES_tradnl"/>
        </w:rPr>
        <w:t>160 kHz.</w:t>
      </w:r>
    </w:p>
    <w:p w:rsidR="000C4B6B" w:rsidRPr="000A4A4F" w:rsidRDefault="000C4B6B" w:rsidP="000A4A4F">
      <w:pPr>
        <w:pStyle w:val="enumlev2"/>
        <w:rPr>
          <w:lang w:val="es-ES_tradnl"/>
        </w:rPr>
      </w:pPr>
      <w:r w:rsidRPr="000A4A4F">
        <w:rPr>
          <w:lang w:val="es-ES_tradnl"/>
        </w:rPr>
        <w:tab/>
        <w:t>La Oficina utilizará valores iguales a los establecidos por la CARR-MM-R1 sobre la</w:t>
      </w:r>
      <w:r w:rsidR="000A4A4F" w:rsidRPr="000A4A4F">
        <w:rPr>
          <w:lang w:val="es-ES_tradnl"/>
        </w:rPr>
        <w:t>  </w:t>
      </w:r>
      <w:r w:rsidRPr="000A4A4F">
        <w:rPr>
          <w:lang w:val="es-ES_tradnl"/>
        </w:rPr>
        <w:t>base de las consideraciones de planificación (véase el Documento 63 de la CARR</w:t>
      </w:r>
      <w:r w:rsidRPr="000A4A4F">
        <w:rPr>
          <w:lang w:val="es-ES_tradnl"/>
        </w:rPr>
        <w:noBreakHyphen/>
        <w:t>MM</w:t>
      </w:r>
      <w:r w:rsidR="000A4A4F" w:rsidRPr="000A4A4F">
        <w:rPr>
          <w:lang w:val="es-ES_tradnl"/>
        </w:rPr>
        <w:noBreakHyphen/>
      </w:r>
      <w:r w:rsidRPr="000A4A4F">
        <w:rPr>
          <w:lang w:val="es-ES_tradnl"/>
        </w:rPr>
        <w:t>R1). Sin embargo, estos valores imponen al mismo tiempo limitaciones técnicas al empleo de la propagación por ondas de superficie porque, con las distancias arriba indicadas, la componente onda de superficie es apenas 3</w:t>
      </w:r>
      <w:r w:rsidR="000A4A4F" w:rsidRPr="000A4A4F">
        <w:rPr>
          <w:lang w:val="es-ES_tradnl"/>
        </w:rPr>
        <w:t> </w:t>
      </w:r>
      <w:r w:rsidR="000A4A4F" w:rsidRPr="000A4A4F">
        <w:rPr>
          <w:rFonts w:ascii="Tms Rmn" w:hAnsi="Tms Rmn"/>
          <w:sz w:val="12"/>
          <w:lang w:val="es-ES_tradnl"/>
        </w:rPr>
        <w:t> </w:t>
      </w:r>
      <w:r w:rsidRPr="000A4A4F">
        <w:rPr>
          <w:lang w:val="es-ES_tradnl"/>
        </w:rPr>
        <w:t>dB superior a la componente onda ionosférica.</w:t>
      </w:r>
    </w:p>
    <w:p w:rsidR="000C4B6B" w:rsidRPr="000A4A4F" w:rsidRDefault="000A4A4F">
      <w:pPr>
        <w:rPr>
          <w:lang w:val="es-ES_tradnl"/>
        </w:rPr>
      </w:pPr>
      <w:r>
        <w:rPr>
          <w:lang w:val="es-ES_tradnl"/>
        </w:rPr>
        <w:br w:type="page"/>
      </w:r>
      <w:r w:rsidR="000C4B6B" w:rsidRPr="000A4A4F">
        <w:rPr>
          <w:lang w:val="es-ES_tradnl"/>
        </w:rPr>
        <w:lastRenderedPageBreak/>
        <w:t>2.5</w:t>
      </w:r>
      <w:r w:rsidR="000C4B6B" w:rsidRPr="000A4A4F">
        <w:rPr>
          <w:lang w:val="es-ES_tradnl"/>
        </w:rPr>
        <w:tab/>
        <w:t>En las estaciones FC en las bandas en torno a 500 kHz, sólo se aceptará una asignación A1A por estación costera; sin embargo, se informará a la administración interesada de que puede utilizar emisiones A1A en asignaciones F1B y viceversa:</w:t>
      </w:r>
    </w:p>
    <w:p w:rsidR="000C4B6B" w:rsidRPr="000A4A4F" w:rsidRDefault="000C4B6B" w:rsidP="000A4A4F">
      <w:pPr>
        <w:pStyle w:val="enumlev2"/>
        <w:rPr>
          <w:lang w:val="es-ES_tradnl"/>
        </w:rPr>
      </w:pPr>
      <w:r w:rsidRPr="000A4A4F">
        <w:rPr>
          <w:lang w:val="es-ES_tradnl"/>
        </w:rPr>
        <w:tab/>
        <w:t>La Oficina utilizará en este caso el mismo criterio empleado para el establecimiento del Plan en la CARR-MM-R1 teniendo en cuenta la nota de la pág. 14 de las Actas Finales de la CARR-MM-R1, que dice: «en las bandas de frecuencias comprendidas entre 415 y 526,5 kHz, las emisiones de clase A1A pueden utilizarse con las asigna</w:t>
      </w:r>
      <w:r w:rsidR="000A4A4F" w:rsidRPr="000A4A4F">
        <w:rPr>
          <w:lang w:val="es-ES_tradnl"/>
        </w:rPr>
        <w:softHyphen/>
      </w:r>
      <w:r w:rsidRPr="000A4A4F">
        <w:rPr>
          <w:lang w:val="es-ES_tradnl"/>
        </w:rPr>
        <w:t>ciones de clase</w:t>
      </w:r>
      <w:r w:rsidR="000A4A4F" w:rsidRPr="000A4A4F">
        <w:rPr>
          <w:lang w:val="es-ES_tradnl"/>
        </w:rPr>
        <w:t> </w:t>
      </w:r>
      <w:r w:rsidRPr="000A4A4F">
        <w:rPr>
          <w:lang w:val="es-ES_tradnl"/>
        </w:rPr>
        <w:t>F1B y a la inversa».</w:t>
      </w:r>
    </w:p>
    <w:p w:rsidR="000C4B6B" w:rsidRPr="000A4A4F" w:rsidRDefault="000C4B6B">
      <w:pPr>
        <w:pStyle w:val="Heading1"/>
        <w:rPr>
          <w:lang w:val="es-ES_tradnl"/>
        </w:rPr>
      </w:pPr>
      <w:r w:rsidRPr="000A4A4F">
        <w:rPr>
          <w:lang w:val="es-ES_tradnl"/>
        </w:rPr>
        <w:t>3</w:t>
      </w:r>
      <w:r w:rsidRPr="000A4A4F">
        <w:rPr>
          <w:lang w:val="es-ES_tradnl"/>
        </w:rPr>
        <w:tab/>
        <w:t>Tramitación de las notificaciones  de asignación de frecuencia a las estaciones de recepción o transmisión en las bandas que se rigen por el Acuerdo GE85-MM-R1 (en el caso de administra</w:t>
      </w:r>
      <w:r w:rsidRPr="000A4A4F">
        <w:rPr>
          <w:lang w:val="es-ES_tradnl"/>
        </w:rPr>
        <w:softHyphen/>
        <w:t>ciones consideradas parte en el Acuerdo)</w:t>
      </w:r>
    </w:p>
    <w:p w:rsidR="000C4B6B" w:rsidRPr="000A4A4F" w:rsidRDefault="000C4B6B">
      <w:pPr>
        <w:pStyle w:val="Heading2"/>
        <w:rPr>
          <w:lang w:val="es-ES_tradnl"/>
        </w:rPr>
      </w:pPr>
      <w:r w:rsidRPr="000A4A4F">
        <w:rPr>
          <w:lang w:val="es-ES_tradnl"/>
        </w:rPr>
        <w:t>3.1</w:t>
      </w:r>
      <w:r w:rsidRPr="000A4A4F">
        <w:rPr>
          <w:lang w:val="es-ES_tradnl"/>
        </w:rPr>
        <w:tab/>
        <w:t>Tramitación de las notificaciones de asignaciones de frecuencia a estaciones transmisoras y receptoras de los servicios planificados en las bandas abarcadas por Planes de asignación de frecuencia</w:t>
      </w:r>
    </w:p>
    <w:p w:rsidR="000C4B6B" w:rsidRPr="000A4A4F" w:rsidRDefault="000C4B6B" w:rsidP="000A4A4F">
      <w:pPr>
        <w:rPr>
          <w:lang w:val="es-ES_tradnl"/>
        </w:rPr>
      </w:pPr>
      <w:r w:rsidRPr="000A4A4F">
        <w:rPr>
          <w:lang w:val="es-ES_tradnl"/>
        </w:rPr>
        <w:t>3.1.1</w:t>
      </w:r>
      <w:r w:rsidRPr="000A4A4F">
        <w:rPr>
          <w:lang w:val="es-ES_tradnl"/>
        </w:rPr>
        <w:tab/>
        <w:t>La tramitación de las notificaciones correspondientes a asignaciones de frecuencia a estaciones transmisoras y receptoras de los servicios planificados en las bandas de frecuencias abarcadas por los Planes de asignación de frecuencia (a saber: 415-435 kHz, 435</w:t>
      </w:r>
      <w:r w:rsidR="000A4A4F" w:rsidRPr="000A4A4F">
        <w:rPr>
          <w:lang w:val="es-ES_tradnl"/>
        </w:rPr>
        <w:noBreakHyphen/>
      </w:r>
      <w:r w:rsidRPr="000A4A4F">
        <w:rPr>
          <w:lang w:val="es-ES_tradnl"/>
        </w:rPr>
        <w:t>453 kHz, 460,5-495 kHz, 505-526,5 kHz, 1</w:t>
      </w:r>
      <w:r w:rsidRPr="000A4A4F">
        <w:rPr>
          <w:rFonts w:ascii="Tms Rmn" w:hAnsi="Tms Rmn"/>
          <w:sz w:val="12"/>
          <w:lang w:val="es-ES_tradnl"/>
        </w:rPr>
        <w:t> </w:t>
      </w:r>
      <w:r w:rsidRPr="000A4A4F">
        <w:rPr>
          <w:lang w:val="es-ES_tradnl"/>
        </w:rPr>
        <w:t>606,5-1</w:t>
      </w:r>
      <w:r w:rsidRPr="000A4A4F">
        <w:rPr>
          <w:rFonts w:ascii="Tms Rmn" w:hAnsi="Tms Rmn"/>
          <w:sz w:val="12"/>
          <w:lang w:val="es-ES_tradnl"/>
        </w:rPr>
        <w:t> </w:t>
      </w:r>
      <w:r w:rsidRPr="000A4A4F">
        <w:rPr>
          <w:lang w:val="es-ES_tradnl"/>
        </w:rPr>
        <w:t>621 kHz, 1</w:t>
      </w:r>
      <w:r w:rsidRPr="000A4A4F">
        <w:rPr>
          <w:rFonts w:ascii="Tms Rmn" w:hAnsi="Tms Rmn"/>
          <w:sz w:val="12"/>
          <w:lang w:val="es-ES_tradnl"/>
        </w:rPr>
        <w:t> </w:t>
      </w:r>
      <w:r w:rsidRPr="000A4A4F">
        <w:rPr>
          <w:lang w:val="es-ES_tradnl"/>
        </w:rPr>
        <w:t>635-1</w:t>
      </w:r>
      <w:r w:rsidRPr="000A4A4F">
        <w:rPr>
          <w:rFonts w:ascii="Tms Rmn" w:hAnsi="Tms Rmn"/>
          <w:sz w:val="12"/>
          <w:lang w:val="es-ES_tradnl"/>
        </w:rPr>
        <w:t> </w:t>
      </w:r>
      <w:r w:rsidRPr="000A4A4F">
        <w:rPr>
          <w:lang w:val="es-ES_tradnl"/>
        </w:rPr>
        <w:t>800 kHz y 2</w:t>
      </w:r>
      <w:r w:rsidRPr="000A4A4F">
        <w:rPr>
          <w:rFonts w:ascii="Tms Rmn" w:hAnsi="Tms Rmn"/>
          <w:sz w:val="12"/>
          <w:lang w:val="es-ES_tradnl"/>
        </w:rPr>
        <w:t> </w:t>
      </w:r>
      <w:r w:rsidRPr="000A4A4F">
        <w:rPr>
          <w:lang w:val="es-ES_tradnl"/>
        </w:rPr>
        <w:t>060</w:t>
      </w:r>
      <w:r w:rsidR="000A4A4F" w:rsidRPr="000A4A4F">
        <w:rPr>
          <w:lang w:val="es-ES_tradnl"/>
        </w:rPr>
        <w:noBreakHyphen/>
      </w:r>
      <w:r w:rsidRPr="000A4A4F">
        <w:rPr>
          <w:lang w:val="es-ES_tradnl"/>
        </w:rPr>
        <w:t>2</w:t>
      </w:r>
      <w:r w:rsidRPr="000A4A4F">
        <w:rPr>
          <w:rFonts w:ascii="Tms Rmn" w:hAnsi="Tms Rmn"/>
          <w:sz w:val="12"/>
          <w:lang w:val="es-ES_tradnl"/>
        </w:rPr>
        <w:t> </w:t>
      </w:r>
      <w:r w:rsidRPr="000A4A4F">
        <w:rPr>
          <w:lang w:val="es-ES_tradnl"/>
        </w:rPr>
        <w:t>156 kHz) y notificadas por las administraciones consideradas parte en el Acuerdo se ajustará al procedimiento especificado en el Artículo 5 del Acuerdo.</w:t>
      </w:r>
    </w:p>
    <w:p w:rsidR="000C4B6B" w:rsidRPr="000A4A4F" w:rsidRDefault="000C4B6B" w:rsidP="000A4A4F">
      <w:pPr>
        <w:rPr>
          <w:lang w:val="es-ES_tradnl"/>
        </w:rPr>
      </w:pPr>
      <w:r w:rsidRPr="000A4A4F">
        <w:rPr>
          <w:lang w:val="es-ES_tradnl"/>
        </w:rPr>
        <w:t>3.1.2</w:t>
      </w:r>
      <w:r w:rsidRPr="000A4A4F">
        <w:rPr>
          <w:lang w:val="es-ES_tradnl"/>
        </w:rPr>
        <w:tab/>
        <w:t>El examen reglamentario de esas notificaciones consistirá en verificar su conformidad con el Cuadro de atribución de bandas de frecuencias y con las disposiciones de los números</w:t>
      </w:r>
      <w:r w:rsidR="000A4A4F" w:rsidRPr="000A4A4F">
        <w:rPr>
          <w:lang w:val="es-ES_tradnl"/>
        </w:rPr>
        <w:t xml:space="preserve"> </w:t>
      </w:r>
      <w:r w:rsidRPr="000A4A4F">
        <w:rPr>
          <w:rStyle w:val="Artref"/>
          <w:b/>
          <w:color w:val="000000"/>
          <w:lang w:val="es-ES_tradnl"/>
        </w:rPr>
        <w:t>52.10</w:t>
      </w:r>
      <w:r w:rsidRPr="000A4A4F">
        <w:rPr>
          <w:lang w:val="es-ES_tradnl"/>
        </w:rPr>
        <w:t xml:space="preserve">, </w:t>
      </w:r>
      <w:r w:rsidRPr="000A4A4F">
        <w:rPr>
          <w:rStyle w:val="Artref"/>
          <w:b/>
          <w:color w:val="000000"/>
          <w:lang w:val="es-ES_tradnl"/>
        </w:rPr>
        <w:t>52.177</w:t>
      </w:r>
      <w:r w:rsidRPr="000A4A4F">
        <w:rPr>
          <w:lang w:val="es-ES_tradnl"/>
        </w:rPr>
        <w:t xml:space="preserve">, </w:t>
      </w:r>
      <w:r w:rsidRPr="000A4A4F">
        <w:rPr>
          <w:rStyle w:val="Artref"/>
          <w:b/>
          <w:color w:val="000000"/>
          <w:lang w:val="es-ES_tradnl"/>
        </w:rPr>
        <w:t>52.183</w:t>
      </w:r>
      <w:r w:rsidRPr="000A4A4F">
        <w:rPr>
          <w:lang w:val="es-ES_tradnl"/>
        </w:rPr>
        <w:t xml:space="preserve">, </w:t>
      </w:r>
      <w:r w:rsidRPr="000A4A4F">
        <w:rPr>
          <w:rStyle w:val="Artref"/>
          <w:b/>
          <w:color w:val="000000"/>
          <w:lang w:val="es-ES_tradnl"/>
        </w:rPr>
        <w:t>52.184</w:t>
      </w:r>
      <w:r w:rsidRPr="000A4A4F">
        <w:rPr>
          <w:lang w:val="es-ES_tradnl"/>
        </w:rPr>
        <w:t xml:space="preserve"> a </w:t>
      </w:r>
      <w:r w:rsidRPr="000A4A4F">
        <w:rPr>
          <w:rStyle w:val="Artref"/>
          <w:b/>
          <w:color w:val="000000"/>
          <w:lang w:val="es-ES_tradnl"/>
        </w:rPr>
        <w:t>52.186</w:t>
      </w:r>
      <w:r w:rsidRPr="000A4A4F">
        <w:rPr>
          <w:lang w:val="es-ES_tradnl"/>
        </w:rPr>
        <w:t xml:space="preserve"> y </w:t>
      </w:r>
      <w:r w:rsidRPr="000A4A4F">
        <w:rPr>
          <w:rStyle w:val="Artref"/>
          <w:b/>
          <w:color w:val="000000"/>
          <w:lang w:val="es-ES_tradnl"/>
        </w:rPr>
        <w:t>52.202</w:t>
      </w:r>
      <w:r w:rsidRPr="000A4A4F">
        <w:rPr>
          <w:lang w:val="es-ES_tradnl"/>
        </w:rPr>
        <w:t xml:space="preserve">. Se tendrán también en cuenta las disposiciones del número </w:t>
      </w:r>
      <w:r w:rsidRPr="000A4A4F">
        <w:rPr>
          <w:rStyle w:val="Artref"/>
          <w:b/>
          <w:color w:val="000000"/>
          <w:lang w:val="es-ES_tradnl"/>
        </w:rPr>
        <w:t>5.81</w:t>
      </w:r>
      <w:r w:rsidRPr="000A4A4F">
        <w:rPr>
          <w:lang w:val="es-ES_tradnl"/>
        </w:rPr>
        <w:t xml:space="preserve"> y del Apéndice </w:t>
      </w:r>
      <w:r w:rsidRPr="000A4A4F">
        <w:rPr>
          <w:rStyle w:val="Appref"/>
          <w:b/>
          <w:color w:val="000000"/>
          <w:lang w:val="es-ES_tradnl"/>
        </w:rPr>
        <w:t>13</w:t>
      </w:r>
      <w:r w:rsidRPr="000A4A4F">
        <w:rPr>
          <w:lang w:val="es-ES_tradnl"/>
        </w:rPr>
        <w:t>, § 15 1), Parte A2, hasta el 1 de febrero de</w:t>
      </w:r>
      <w:r w:rsidR="000A4A4F" w:rsidRPr="000A4A4F">
        <w:rPr>
          <w:lang w:val="es-ES_tradnl"/>
        </w:rPr>
        <w:t> </w:t>
      </w:r>
      <w:r w:rsidRPr="000A4A4F">
        <w:rPr>
          <w:lang w:val="es-ES_tradnl"/>
        </w:rPr>
        <w:t>1999.</w:t>
      </w:r>
    </w:p>
    <w:p w:rsidR="000C4B6B" w:rsidRPr="000A4A4F" w:rsidRDefault="000C4B6B">
      <w:pPr>
        <w:rPr>
          <w:lang w:val="es-ES_tradnl"/>
        </w:rPr>
      </w:pPr>
      <w:r w:rsidRPr="000A4A4F">
        <w:rPr>
          <w:lang w:val="es-ES_tradnl"/>
        </w:rPr>
        <w:t>3.1.3</w:t>
      </w:r>
      <w:r w:rsidRPr="000A4A4F">
        <w:rPr>
          <w:lang w:val="es-ES_tradnl"/>
        </w:rPr>
        <w:tab/>
        <w:t>El examen de la conformidad con el Plan se fundará en la verificación de todos los datos contenidos en el Plan de asignación de frecuencia pertinente y de los puntos adicionales siguientes:</w:t>
      </w:r>
    </w:p>
    <w:p w:rsidR="000C4B6B" w:rsidRPr="000A4A4F" w:rsidRDefault="000C4B6B" w:rsidP="000A4A4F">
      <w:pPr>
        <w:pStyle w:val="enumlev1"/>
        <w:ind w:left="0" w:firstLine="0"/>
        <w:rPr>
          <w:lang w:val="es-ES_tradnl"/>
        </w:rPr>
      </w:pPr>
      <w:r w:rsidRPr="000A4A4F">
        <w:rPr>
          <w:lang w:val="es-ES_tradnl"/>
        </w:rPr>
        <w:t>3.1.3.1</w:t>
      </w:r>
      <w:r w:rsidRPr="000A4A4F">
        <w:rPr>
          <w:lang w:val="es-ES_tradnl"/>
        </w:rPr>
        <w:tab/>
        <w:t>Como los Planes FC/MS no contienen ningún valor para las anchuras de banda necesarias, se utilizarán los valores siguientes cuando se verifique la conformidad de las asignaciones notificadas con los Planes:</w:t>
      </w:r>
    </w:p>
    <w:p w:rsidR="000C4B6B" w:rsidRPr="000A4A4F" w:rsidRDefault="000C4B6B">
      <w:pPr>
        <w:pStyle w:val="enumlev2"/>
        <w:jc w:val="left"/>
        <w:rPr>
          <w:lang w:val="es-ES_tradnl"/>
        </w:rPr>
      </w:pPr>
      <w:r w:rsidRPr="000A4A4F">
        <w:rPr>
          <w:lang w:val="es-ES_tradnl"/>
        </w:rPr>
        <w:t>–</w:t>
      </w:r>
      <w:r w:rsidRPr="000A4A4F">
        <w:rPr>
          <w:lang w:val="es-ES_tradnl"/>
        </w:rPr>
        <w:tab/>
      </w:r>
      <w:r w:rsidRPr="000A4A4F">
        <w:rPr>
          <w:i/>
          <w:lang w:val="es-ES_tradnl"/>
        </w:rPr>
        <w:t>Para A1A y F1B</w:t>
      </w:r>
      <w:r w:rsidRPr="000A4A4F">
        <w:rPr>
          <w:lang w:val="es-ES_tradnl"/>
        </w:rPr>
        <w:t>: 500 Hz.</w:t>
      </w:r>
    </w:p>
    <w:p w:rsidR="000C4B6B" w:rsidRPr="000A4A4F" w:rsidRDefault="000C4B6B" w:rsidP="000A4A4F">
      <w:pPr>
        <w:pStyle w:val="enumlev2"/>
        <w:rPr>
          <w:lang w:val="es-ES_tradnl"/>
        </w:rPr>
      </w:pPr>
      <w:r w:rsidRPr="000A4A4F">
        <w:rPr>
          <w:lang w:val="es-ES_tradnl"/>
        </w:rPr>
        <w:tab/>
        <w:t>La Junta consideró a este respecto que la anchura de 500 Hz representa, en el caso de las emisiones A1A, una velocidad de 100 palabras/min y es más que suficiente para la telegrafía manual. En el caso de las emisiones F1B este límite abarca la anchura de banda normalizada de 304 Hz (Recomendaciones UIT-R M.476</w:t>
      </w:r>
      <w:r w:rsidR="000A4A4F" w:rsidRPr="000A4A4F">
        <w:rPr>
          <w:lang w:val="es-ES_tradnl"/>
        </w:rPr>
        <w:noBreakHyphen/>
      </w:r>
      <w:r w:rsidRPr="000A4A4F">
        <w:rPr>
          <w:lang w:val="es-ES_tradnl"/>
        </w:rPr>
        <w:t>5, UIT</w:t>
      </w:r>
      <w:r w:rsidRPr="000A4A4F">
        <w:rPr>
          <w:lang w:val="es-ES_tradnl"/>
        </w:rPr>
        <w:noBreakHyphen/>
        <w:t>R M.493-9, UIT-R M.625-3 y UIT-R SM.1138).</w:t>
      </w:r>
    </w:p>
    <w:p w:rsidR="000C4B6B" w:rsidRPr="000A4A4F" w:rsidRDefault="000C4B6B">
      <w:pPr>
        <w:pStyle w:val="enumlev2"/>
        <w:rPr>
          <w:lang w:val="es-ES_tradnl"/>
        </w:rPr>
      </w:pPr>
      <w:r w:rsidRPr="000A4A4F">
        <w:rPr>
          <w:lang w:val="es-ES_tradnl"/>
        </w:rPr>
        <w:t>–</w:t>
      </w:r>
      <w:r w:rsidRPr="000A4A4F">
        <w:rPr>
          <w:lang w:val="es-ES_tradnl"/>
        </w:rPr>
        <w:tab/>
      </w:r>
      <w:r w:rsidRPr="000A4A4F">
        <w:rPr>
          <w:i/>
          <w:lang w:val="es-ES_tradnl"/>
        </w:rPr>
        <w:t>Para J3E</w:t>
      </w:r>
      <w:r w:rsidRPr="000A4A4F">
        <w:rPr>
          <w:lang w:val="es-ES_tradnl"/>
        </w:rPr>
        <w:t>: 2</w:t>
      </w:r>
      <w:r w:rsidRPr="000A4A4F">
        <w:rPr>
          <w:rFonts w:ascii="Tms Rmn" w:hAnsi="Tms Rmn"/>
          <w:sz w:val="12"/>
          <w:lang w:val="es-ES_tradnl"/>
        </w:rPr>
        <w:t> </w:t>
      </w:r>
      <w:r w:rsidRPr="000A4A4F">
        <w:rPr>
          <w:lang w:val="es-ES_tradnl"/>
        </w:rPr>
        <w:t>800 Hz, de conformidad con el número </w:t>
      </w:r>
      <w:r w:rsidRPr="000A4A4F">
        <w:rPr>
          <w:rStyle w:val="Artref"/>
          <w:b/>
          <w:color w:val="000000"/>
          <w:lang w:val="es-ES_tradnl"/>
        </w:rPr>
        <w:t>52.177</w:t>
      </w:r>
      <w:r w:rsidRPr="000A4A4F">
        <w:rPr>
          <w:lang w:val="es-ES_tradnl"/>
        </w:rPr>
        <w:t>.</w:t>
      </w:r>
    </w:p>
    <w:p w:rsidR="000C4B6B" w:rsidRPr="000A4A4F" w:rsidRDefault="000A4A4F">
      <w:pPr>
        <w:pStyle w:val="enumlev1"/>
        <w:ind w:left="0" w:firstLine="0"/>
        <w:rPr>
          <w:lang w:val="es-ES_tradnl"/>
        </w:rPr>
      </w:pPr>
      <w:r>
        <w:rPr>
          <w:lang w:val="es-ES_tradnl"/>
        </w:rPr>
        <w:br w:type="page"/>
      </w:r>
      <w:r w:rsidR="000C4B6B" w:rsidRPr="000A4A4F">
        <w:rPr>
          <w:lang w:val="es-ES_tradnl"/>
        </w:rPr>
        <w:lastRenderedPageBreak/>
        <w:t>3.1.3.2</w:t>
      </w:r>
      <w:r w:rsidR="000C4B6B" w:rsidRPr="000A4A4F">
        <w:rPr>
          <w:lang w:val="es-ES_tradnl"/>
        </w:rPr>
        <w:tab/>
        <w:t>La anchura de banda notificada para las asignaciones ALRC se verificará en comparación con los valores contenidos en el Plan.</w:t>
      </w:r>
    </w:p>
    <w:p w:rsidR="000C4B6B" w:rsidRPr="000A4A4F" w:rsidRDefault="000C4B6B" w:rsidP="000A4A4F">
      <w:pPr>
        <w:pStyle w:val="enumlev1"/>
        <w:ind w:left="0" w:firstLine="0"/>
        <w:rPr>
          <w:lang w:val="es-ES_tradnl"/>
        </w:rPr>
      </w:pPr>
      <w:r w:rsidRPr="000A4A4F">
        <w:rPr>
          <w:lang w:val="es-ES_tradnl"/>
        </w:rPr>
        <w:t>3.1.4</w:t>
      </w:r>
      <w:r w:rsidRPr="000A4A4F">
        <w:rPr>
          <w:lang w:val="es-ES_tradnl"/>
        </w:rPr>
        <w:tab/>
        <w:t>De conformidad con la Resolución 3 (MM), la Junta procedió a un análisis de compatibilidad en las bandas 1</w:t>
      </w:r>
      <w:r w:rsidRPr="000A4A4F">
        <w:rPr>
          <w:rFonts w:ascii="Tms Rmn" w:hAnsi="Tms Rmn"/>
          <w:sz w:val="12"/>
          <w:lang w:val="es-ES_tradnl"/>
        </w:rPr>
        <w:t> </w:t>
      </w:r>
      <w:r w:rsidRPr="000A4A4F">
        <w:rPr>
          <w:lang w:val="es-ES_tradnl"/>
        </w:rPr>
        <w:t>606,5-1</w:t>
      </w:r>
      <w:r w:rsidRPr="000A4A4F">
        <w:rPr>
          <w:rFonts w:ascii="Tms Rmn" w:hAnsi="Tms Rmn"/>
          <w:sz w:val="12"/>
          <w:lang w:val="es-ES_tradnl"/>
        </w:rPr>
        <w:t> </w:t>
      </w:r>
      <w:r w:rsidRPr="000A4A4F">
        <w:rPr>
          <w:lang w:val="es-ES_tradnl"/>
        </w:rPr>
        <w:t>625 kHz, 1</w:t>
      </w:r>
      <w:r w:rsidRPr="000A4A4F">
        <w:rPr>
          <w:rFonts w:ascii="Tms Rmn" w:hAnsi="Tms Rmn"/>
          <w:sz w:val="12"/>
          <w:lang w:val="es-ES_tradnl"/>
        </w:rPr>
        <w:t> </w:t>
      </w:r>
      <w:r w:rsidRPr="000A4A4F">
        <w:rPr>
          <w:lang w:val="es-ES_tradnl"/>
        </w:rPr>
        <w:t>635-1</w:t>
      </w:r>
      <w:r w:rsidRPr="000A4A4F">
        <w:rPr>
          <w:rFonts w:ascii="Tms Rmn" w:hAnsi="Tms Rmn"/>
          <w:sz w:val="12"/>
          <w:lang w:val="es-ES_tradnl"/>
        </w:rPr>
        <w:t> </w:t>
      </w:r>
      <w:r w:rsidRPr="000A4A4F">
        <w:rPr>
          <w:lang w:val="es-ES_tradnl"/>
        </w:rPr>
        <w:t>800 kHz y 2</w:t>
      </w:r>
      <w:r w:rsidRPr="000A4A4F">
        <w:rPr>
          <w:rFonts w:ascii="Tms Rmn" w:hAnsi="Tms Rmn"/>
          <w:sz w:val="12"/>
          <w:lang w:val="es-ES_tradnl"/>
        </w:rPr>
        <w:t> </w:t>
      </w:r>
      <w:r w:rsidRPr="000A4A4F">
        <w:rPr>
          <w:lang w:val="es-ES_tradnl"/>
        </w:rPr>
        <w:t>045-2</w:t>
      </w:r>
      <w:r w:rsidRPr="000A4A4F">
        <w:rPr>
          <w:rFonts w:ascii="Tms Rmn" w:hAnsi="Tms Rmn"/>
          <w:sz w:val="12"/>
          <w:lang w:val="es-ES_tradnl"/>
        </w:rPr>
        <w:t> </w:t>
      </w:r>
      <w:r w:rsidRPr="000A4A4F">
        <w:rPr>
          <w:lang w:val="es-ES_tradnl"/>
        </w:rPr>
        <w:t>160 kHz, teniendo en cuenta los servicios no planificados (véanse las Cartas circulares N.°</w:t>
      </w:r>
      <w:r w:rsidR="000A4A4F" w:rsidRPr="000A4A4F">
        <w:rPr>
          <w:lang w:val="es-ES_tradnl"/>
        </w:rPr>
        <w:t> </w:t>
      </w:r>
      <w:r w:rsidRPr="000A4A4F">
        <w:rPr>
          <w:lang w:val="es-ES_tradnl"/>
        </w:rPr>
        <w:t>762 y 890 de la ex IFRB de 20 de octubre de 1988 y de 19 de diciembre de 1991, respectivamente). Se tendrán en cuenta los resultados del análisis de compatibilidad.</w:t>
      </w:r>
    </w:p>
    <w:p w:rsidR="000C4B6B" w:rsidRPr="000A4A4F" w:rsidRDefault="000C4B6B">
      <w:pPr>
        <w:pStyle w:val="Heading2"/>
        <w:rPr>
          <w:lang w:val="es-ES_tradnl"/>
        </w:rPr>
      </w:pPr>
      <w:r w:rsidRPr="000A4A4F">
        <w:rPr>
          <w:lang w:val="es-ES_tradnl"/>
        </w:rPr>
        <w:t>3.2</w:t>
      </w:r>
      <w:r w:rsidRPr="000A4A4F">
        <w:rPr>
          <w:lang w:val="es-ES_tradnl"/>
        </w:rPr>
        <w:tab/>
        <w:t>Tramitación de las notificaciones de asignaciones de frecuencia a estaciones transmisoras y receptoras de los servicios planificados en las bandas abarcadas por los Planes de adjudicación de frecuencias</w:t>
      </w:r>
    </w:p>
    <w:p w:rsidR="000C4B6B" w:rsidRPr="000A4A4F" w:rsidRDefault="000C4B6B" w:rsidP="000A4A4F">
      <w:pPr>
        <w:rPr>
          <w:lang w:val="es-ES_tradnl"/>
        </w:rPr>
      </w:pPr>
      <w:r w:rsidRPr="000A4A4F">
        <w:rPr>
          <w:lang w:val="es-ES_tradnl"/>
        </w:rPr>
        <w:t>La tramitación de las notificaciones correspondientes a asignaciones de frecuencia a estacio</w:t>
      </w:r>
      <w:r w:rsidRPr="000A4A4F">
        <w:rPr>
          <w:lang w:val="es-ES_tradnl"/>
        </w:rPr>
        <w:softHyphen/>
        <w:t>nes transmisoras y receptoras de los servicios planificados en las bandas de frecuencias abar</w:t>
      </w:r>
      <w:r w:rsidRPr="000A4A4F">
        <w:rPr>
          <w:lang w:val="es-ES_tradnl"/>
        </w:rPr>
        <w:softHyphen/>
        <w:t>cadas por los Planes de adjudicación de frecuencias (es decir: 456-457 kHz, 459-460 kHz, 1</w:t>
      </w:r>
      <w:r w:rsidRPr="000A4A4F">
        <w:rPr>
          <w:rFonts w:ascii="Tms Rmn" w:hAnsi="Tms Rmn"/>
          <w:sz w:val="12"/>
          <w:lang w:val="es-ES_tradnl"/>
        </w:rPr>
        <w:t> </w:t>
      </w:r>
      <w:r w:rsidRPr="000A4A4F">
        <w:rPr>
          <w:lang w:val="es-ES_tradnl"/>
        </w:rPr>
        <w:t>621-1</w:t>
      </w:r>
      <w:r w:rsidRPr="000A4A4F">
        <w:rPr>
          <w:rFonts w:ascii="Tms Rmn" w:hAnsi="Tms Rmn"/>
          <w:sz w:val="12"/>
          <w:lang w:val="es-ES_tradnl"/>
        </w:rPr>
        <w:t> </w:t>
      </w:r>
      <w:r w:rsidRPr="000A4A4F">
        <w:rPr>
          <w:lang w:val="es-ES_tradnl"/>
        </w:rPr>
        <w:t>625 kHz y 2</w:t>
      </w:r>
      <w:r w:rsidRPr="000A4A4F">
        <w:rPr>
          <w:rFonts w:ascii="Tms Rmn" w:hAnsi="Tms Rmn"/>
          <w:sz w:val="12"/>
          <w:lang w:val="es-ES_tradnl"/>
        </w:rPr>
        <w:t> </w:t>
      </w:r>
      <w:r w:rsidRPr="000A4A4F">
        <w:rPr>
          <w:lang w:val="es-ES_tradnl"/>
        </w:rPr>
        <w:t>156-2</w:t>
      </w:r>
      <w:r w:rsidRPr="000A4A4F">
        <w:rPr>
          <w:rFonts w:ascii="Tms Rmn" w:hAnsi="Tms Rmn"/>
          <w:sz w:val="12"/>
          <w:lang w:val="es-ES_tradnl"/>
        </w:rPr>
        <w:t> </w:t>
      </w:r>
      <w:r w:rsidRPr="000A4A4F">
        <w:rPr>
          <w:lang w:val="es-ES_tradnl"/>
        </w:rPr>
        <w:t>160 kHz), notificadas por las administraciones consideradas parte en el Acuerdo, será objeto del examen de conformidad con el Plan de adjudicación contenido en el Anexo</w:t>
      </w:r>
      <w:r w:rsidR="000A4A4F" w:rsidRPr="000A4A4F">
        <w:rPr>
          <w:lang w:val="es-ES_tradnl"/>
        </w:rPr>
        <w:t> </w:t>
      </w:r>
      <w:r w:rsidRPr="000A4A4F">
        <w:rPr>
          <w:lang w:val="es-ES_tradnl"/>
        </w:rPr>
        <w:t>1 a la Resolución</w:t>
      </w:r>
      <w:r w:rsidR="000A4A4F" w:rsidRPr="000A4A4F">
        <w:rPr>
          <w:lang w:val="es-ES_tradnl"/>
        </w:rPr>
        <w:t> </w:t>
      </w:r>
      <w:r w:rsidRPr="000A4A4F">
        <w:rPr>
          <w:lang w:val="es-ES_tradnl"/>
        </w:rPr>
        <w:t>5 (MM), teniendo en cuenta los criterios siguientes:</w:t>
      </w:r>
    </w:p>
    <w:p w:rsidR="000C4B6B" w:rsidRPr="000A4A4F" w:rsidRDefault="000C4B6B" w:rsidP="000A4A4F">
      <w:pPr>
        <w:pStyle w:val="enumlev1"/>
        <w:rPr>
          <w:lang w:val="es-ES_tradnl"/>
        </w:rPr>
      </w:pPr>
      <w:r w:rsidRPr="000A4A4F">
        <w:rPr>
          <w:lang w:val="es-ES_tradnl"/>
        </w:rPr>
        <w:t>–</w:t>
      </w:r>
      <w:r w:rsidRPr="000A4A4F">
        <w:rPr>
          <w:lang w:val="es-ES_tradnl"/>
        </w:rPr>
        <w:tab/>
        <w:t>los pares de frecuencias asignados coincidirán con los de los Planes de adjudicación contenidos en los Anexos a la Resolución</w:t>
      </w:r>
      <w:r w:rsidR="000A4A4F" w:rsidRPr="000A4A4F">
        <w:rPr>
          <w:lang w:val="es-ES_tradnl"/>
        </w:rPr>
        <w:t> </w:t>
      </w:r>
      <w:r w:rsidRPr="000A4A4F">
        <w:rPr>
          <w:lang w:val="es-ES_tradnl"/>
        </w:rPr>
        <w:t>5</w:t>
      </w:r>
      <w:r w:rsidR="000A4A4F" w:rsidRPr="000A4A4F">
        <w:rPr>
          <w:lang w:val="es-ES_tradnl"/>
        </w:rPr>
        <w:t> </w:t>
      </w:r>
      <w:r w:rsidRPr="000A4A4F">
        <w:rPr>
          <w:lang w:val="es-ES_tradnl"/>
        </w:rPr>
        <w:t>(MM);</w:t>
      </w:r>
    </w:p>
    <w:p w:rsidR="000C4B6B" w:rsidRPr="000A4A4F" w:rsidRDefault="000C4B6B">
      <w:pPr>
        <w:pStyle w:val="enumlev1"/>
        <w:rPr>
          <w:lang w:val="es-ES_tradnl"/>
        </w:rPr>
      </w:pPr>
      <w:r w:rsidRPr="000A4A4F">
        <w:rPr>
          <w:lang w:val="es-ES_tradnl"/>
        </w:rPr>
        <w:t>–</w:t>
      </w:r>
      <w:r w:rsidRPr="000A4A4F">
        <w:rPr>
          <w:lang w:val="es-ES_tradnl"/>
        </w:rPr>
        <w:tab/>
        <w:t>las coordenadas geográficas de la estación transmisora/receptora estarán dentro del territorio del respectivo país;</w:t>
      </w:r>
    </w:p>
    <w:p w:rsidR="000C4B6B" w:rsidRPr="000A4A4F" w:rsidRDefault="000C4B6B">
      <w:pPr>
        <w:pStyle w:val="enumlev1"/>
        <w:rPr>
          <w:lang w:val="es-ES_tradnl"/>
        </w:rPr>
      </w:pPr>
      <w:r w:rsidRPr="000A4A4F">
        <w:rPr>
          <w:lang w:val="es-ES_tradnl"/>
        </w:rPr>
        <w:t>–</w:t>
      </w:r>
      <w:r w:rsidRPr="000A4A4F">
        <w:rPr>
          <w:lang w:val="es-ES_tradnl"/>
        </w:rPr>
        <w:tab/>
        <w:t>el alcance útil notificado no excederá del límite de 500 km en la banda 435-526,5 kHz, ni de 400 km en la banda 1</w:t>
      </w:r>
      <w:r w:rsidRPr="000A4A4F">
        <w:rPr>
          <w:rFonts w:ascii="Tms Rmn" w:hAnsi="Tms Rmn"/>
          <w:sz w:val="12"/>
          <w:lang w:val="es-ES_tradnl"/>
        </w:rPr>
        <w:t> </w:t>
      </w:r>
      <w:r w:rsidRPr="000A4A4F">
        <w:rPr>
          <w:lang w:val="es-ES_tradnl"/>
        </w:rPr>
        <w:t>606,5-2</w:t>
      </w:r>
      <w:r w:rsidRPr="000A4A4F">
        <w:rPr>
          <w:rFonts w:ascii="Tms Rmn" w:hAnsi="Tms Rmn"/>
          <w:sz w:val="12"/>
          <w:lang w:val="es-ES_tradnl"/>
        </w:rPr>
        <w:t> </w:t>
      </w:r>
      <w:r w:rsidRPr="000A4A4F">
        <w:rPr>
          <w:lang w:val="es-ES_tradnl"/>
        </w:rPr>
        <w:t>160 kHz (límites utilizados para el establecimiento de los Planes de asignación de frecuencia);</w:t>
      </w:r>
    </w:p>
    <w:p w:rsidR="000C4B6B" w:rsidRPr="000A4A4F" w:rsidRDefault="000C4B6B" w:rsidP="000A4A4F">
      <w:pPr>
        <w:pStyle w:val="enumlev1"/>
        <w:rPr>
          <w:lang w:val="es-ES_tradnl"/>
        </w:rPr>
      </w:pPr>
      <w:r w:rsidRPr="000A4A4F">
        <w:rPr>
          <w:lang w:val="es-ES_tradnl"/>
        </w:rPr>
        <w:t>–</w:t>
      </w:r>
      <w:r w:rsidRPr="000A4A4F">
        <w:rPr>
          <w:lang w:val="es-ES_tradnl"/>
        </w:rPr>
        <w:tab/>
        <w:t>la naturaleza del servicio notificada será</w:t>
      </w:r>
      <w:r w:rsidR="000A4A4F">
        <w:rPr>
          <w:lang w:val="es-ES_tradnl"/>
        </w:rPr>
        <w:t> </w:t>
      </w:r>
      <w:r w:rsidRPr="000A4A4F">
        <w:rPr>
          <w:lang w:val="es-ES_tradnl"/>
        </w:rPr>
        <w:t>CP;</w:t>
      </w:r>
    </w:p>
    <w:p w:rsidR="000C4B6B" w:rsidRPr="000A4A4F" w:rsidRDefault="000C4B6B" w:rsidP="000A4A4F">
      <w:pPr>
        <w:pStyle w:val="enumlev1"/>
        <w:rPr>
          <w:lang w:val="es-ES_tradnl"/>
        </w:rPr>
      </w:pPr>
      <w:r w:rsidRPr="000A4A4F">
        <w:rPr>
          <w:lang w:val="es-ES_tradnl"/>
        </w:rPr>
        <w:t>–</w:t>
      </w:r>
      <w:r w:rsidRPr="000A4A4F">
        <w:rPr>
          <w:lang w:val="es-ES_tradnl"/>
        </w:rPr>
        <w:tab/>
        <w:t>la clase de emisión notificada será F1B o J2B y la anchura de banda notificada no excederá de 304</w:t>
      </w:r>
      <w:r w:rsidR="000A4A4F" w:rsidRPr="000A4A4F">
        <w:rPr>
          <w:lang w:val="es-ES_tradnl"/>
        </w:rPr>
        <w:t> </w:t>
      </w:r>
      <w:r w:rsidRPr="000A4A4F">
        <w:rPr>
          <w:lang w:val="es-ES_tradnl"/>
        </w:rPr>
        <w:t>Hz.</w:t>
      </w:r>
    </w:p>
    <w:p w:rsidR="000C4B6B" w:rsidRPr="000A4A4F" w:rsidRDefault="000C4B6B">
      <w:pPr>
        <w:pStyle w:val="Heading2"/>
        <w:rPr>
          <w:lang w:val="es-ES_tradnl"/>
        </w:rPr>
      </w:pPr>
      <w:r w:rsidRPr="000A4A4F">
        <w:rPr>
          <w:lang w:val="es-ES_tradnl"/>
        </w:rPr>
        <w:t>3.3</w:t>
      </w:r>
      <w:r w:rsidRPr="000A4A4F">
        <w:rPr>
          <w:lang w:val="es-ES_tradnl"/>
        </w:rPr>
        <w:tab/>
        <w:t>Tramitación de las notificaciones de asignaciones de frecuencia a estaciones transmisoras y receptoras de los servicios no planificados</w:t>
      </w:r>
    </w:p>
    <w:p w:rsidR="000C4B6B" w:rsidRPr="000A4A4F" w:rsidRDefault="000C4B6B">
      <w:pPr>
        <w:rPr>
          <w:lang w:val="es-ES_tradnl"/>
        </w:rPr>
      </w:pPr>
      <w:r w:rsidRPr="000A4A4F">
        <w:rPr>
          <w:lang w:val="es-ES_tradnl"/>
        </w:rPr>
        <w:t>La tramitación de las notificaciones de asignaciones de frecuencia a estaciones transmisoras y receptoras de los servicios no planificados procedentes de las administraciones consideradas parte en el Acuerdo se ajustará al procedimiento contenido en el Artículo 6 del Acuerdo. Cuando se analicen los resultados del examen técnico en relación con las notificaciones de las administraciones consideradas partes en el Acuerdo, sólo se tendrán en cuenta los resultados de servicio diurno obtenidos (se prescindirá de la onda ionosférica).</w:t>
      </w:r>
    </w:p>
    <w:p w:rsidR="000C4B6B" w:rsidRPr="000A4A4F" w:rsidRDefault="000C4B6B" w:rsidP="000A4A4F">
      <w:pPr>
        <w:rPr>
          <w:lang w:val="es-ES_tradnl"/>
        </w:rPr>
      </w:pPr>
    </w:p>
    <w:p w:rsidR="000C4B6B" w:rsidRPr="000A4A4F" w:rsidRDefault="000C4B6B" w:rsidP="000A4A4F">
      <w:pPr>
        <w:jc w:val="center"/>
        <w:rPr>
          <w:lang w:val="es-ES_tradnl"/>
        </w:rPr>
      </w:pPr>
      <w:r w:rsidRPr="000A4A4F">
        <w:rPr>
          <w:lang w:val="es-ES_tradnl"/>
        </w:rPr>
        <w:t>____________________</w:t>
      </w:r>
    </w:p>
    <w:p w:rsidR="000C4B6B" w:rsidRPr="000A4A4F" w:rsidRDefault="000C4B6B" w:rsidP="000A4A4F">
      <w:pPr>
        <w:rPr>
          <w:lang w:val="es-ES_tradnl"/>
        </w:rPr>
      </w:pPr>
    </w:p>
    <w:p w:rsidR="000C4B6B" w:rsidRPr="000A4A4F" w:rsidRDefault="000C4B6B" w:rsidP="000A4A4F">
      <w:pPr>
        <w:rPr>
          <w:lang w:val="es-ES_tradnl"/>
        </w:rPr>
        <w:sectPr w:rsidR="000C4B6B" w:rsidRPr="000A4A4F">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0C4B6B" w:rsidRPr="000A4A4F" w:rsidRDefault="000C4B6B" w:rsidP="000A4A4F">
      <w:pPr>
        <w:rPr>
          <w:lang w:val="es-ES_tradnl"/>
        </w:rPr>
      </w:pPr>
    </w:p>
    <w:sectPr w:rsidR="000C4B6B" w:rsidRPr="000A4A4F" w:rsidSect="000A4A4F">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41CA" w:rsidRDefault="002641CA">
      <w:r>
        <w:separator/>
      </w:r>
    </w:p>
  </w:endnote>
  <w:endnote w:type="continuationSeparator" w:id="0">
    <w:p w:rsidR="002641CA" w:rsidRDefault="00264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imes">
    <w:panose1 w:val="02020603050405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41CA" w:rsidRDefault="002641CA">
      <w:r>
        <w:rPr>
          <w:b/>
        </w:rPr>
        <w:t>_______________</w:t>
      </w:r>
    </w:p>
  </w:footnote>
  <w:footnote w:type="continuationSeparator" w:id="0">
    <w:p w:rsidR="002641CA" w:rsidRDefault="002641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C4B6B">
      <w:tblPrEx>
        <w:tblCellMar>
          <w:top w:w="0" w:type="dxa"/>
          <w:left w:w="0" w:type="dxa"/>
          <w:bottom w:w="0" w:type="dxa"/>
          <w:right w:w="0" w:type="dxa"/>
        </w:tblCellMar>
      </w:tblPrEx>
      <w:trPr>
        <w:cantSplit/>
      </w:trPr>
      <w:tc>
        <w:tcPr>
          <w:tcW w:w="1701" w:type="dxa"/>
          <w:tcBorders>
            <w:top w:val="single" w:sz="6" w:space="0" w:color="auto"/>
            <w:left w:val="single" w:sz="6" w:space="0" w:color="auto"/>
            <w:bottom w:val="single" w:sz="6" w:space="0" w:color="auto"/>
            <w:right w:val="single" w:sz="6" w:space="0" w:color="auto"/>
          </w:tcBorders>
        </w:tcPr>
        <w:p w:rsidR="000C4B6B" w:rsidRDefault="000C4B6B">
          <w:pPr>
            <w:pStyle w:val="HeaderRegProc"/>
          </w:pPr>
          <w:r>
            <w:t xml:space="preserve">Parte </w:t>
          </w:r>
          <w:r>
            <w:fldChar w:fldCharType="begin"/>
          </w:r>
          <w:r>
            <w:instrText>styleref href</w:instrText>
          </w:r>
          <w:r>
            <w:fldChar w:fldCharType="separate"/>
          </w:r>
          <w:r w:rsidR="004E748F">
            <w:rPr>
              <w:noProof/>
            </w:rPr>
            <w:t>A8</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0C4B6B" w:rsidRDefault="000C4B6B">
          <w:pPr>
            <w:pStyle w:val="HeaderRegProc"/>
            <w:rPr>
              <w:lang w:val="fr-FR"/>
            </w:rPr>
          </w:pPr>
          <w:r>
            <w:fldChar w:fldCharType="begin"/>
          </w:r>
          <w:r>
            <w:instrText>styleref href2</w:instrText>
          </w:r>
          <w:r>
            <w:fldChar w:fldCharType="separate"/>
          </w:r>
          <w:r w:rsidR="004E748F">
            <w:rPr>
              <w:noProof/>
            </w:rPr>
            <w:t>GE85-</w:t>
          </w:r>
          <w:r>
            <w:fldChar w:fldCharType="end"/>
          </w:r>
          <w:r>
            <w:t>R1</w:t>
          </w:r>
        </w:p>
      </w:tc>
      <w:tc>
        <w:tcPr>
          <w:tcW w:w="1701" w:type="dxa"/>
          <w:tcBorders>
            <w:top w:val="single" w:sz="6" w:space="0" w:color="auto"/>
            <w:left w:val="single" w:sz="6" w:space="0" w:color="auto"/>
            <w:bottom w:val="single" w:sz="6" w:space="0" w:color="auto"/>
            <w:right w:val="single" w:sz="6" w:space="0" w:color="auto"/>
          </w:tcBorders>
        </w:tcPr>
        <w:p w:rsidR="000C4B6B" w:rsidRDefault="000C4B6B">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4E748F">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C4B6B" w:rsidRDefault="000C4B6B">
          <w:pPr>
            <w:pStyle w:val="HeaderRegProc"/>
            <w:rPr>
              <w:lang w:val="fr-CH"/>
            </w:rPr>
          </w:pPr>
          <w:r>
            <w:rPr>
              <w:lang w:val="fr-CH"/>
            </w:rPr>
            <w:t>rev.</w:t>
          </w:r>
          <w:r>
            <w:fldChar w:fldCharType="begin"/>
          </w:r>
          <w:r>
            <w:rPr>
              <w:lang w:val="fr-CH"/>
            </w:rPr>
            <w:instrText xml:space="preserve"> DOCPROPERTY "Header10" \* MERGEFORMAT </w:instrText>
          </w:r>
          <w:r>
            <w:fldChar w:fldCharType="separate"/>
          </w:r>
          <w:r w:rsidR="000A4A4F">
            <w:rPr>
              <w:lang w:val="fr-CH"/>
            </w:rPr>
            <w:t>-</w:t>
          </w:r>
          <w:r>
            <w:fldChar w:fldCharType="end"/>
          </w:r>
        </w:p>
      </w:tc>
    </w:tr>
  </w:tbl>
  <w:p w:rsidR="000C4B6B" w:rsidRDefault="000C4B6B">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C4B6B">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0C4B6B" w:rsidRDefault="000C4B6B">
          <w:pPr>
            <w:pStyle w:val="HeaderRegProc"/>
          </w:pPr>
          <w:r>
            <w:t xml:space="preserve">Parte </w:t>
          </w:r>
          <w:r>
            <w:fldChar w:fldCharType="begin"/>
          </w:r>
          <w:r>
            <w:instrText>styleref href</w:instrText>
          </w:r>
          <w:r>
            <w:fldChar w:fldCharType="separate"/>
          </w:r>
          <w:r w:rsidR="004E748F">
            <w:rPr>
              <w:noProof/>
            </w:rPr>
            <w:t>A8</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0C4B6B" w:rsidRDefault="000C4B6B">
          <w:pPr>
            <w:pStyle w:val="HeaderRegProc"/>
            <w:rPr>
              <w:lang w:val="fr-FR"/>
            </w:rPr>
          </w:pPr>
          <w:r>
            <w:fldChar w:fldCharType="begin"/>
          </w:r>
          <w:r>
            <w:instrText>styleref href2</w:instrText>
          </w:r>
          <w:r>
            <w:fldChar w:fldCharType="separate"/>
          </w:r>
          <w:r w:rsidR="004E748F">
            <w:rPr>
              <w:noProof/>
            </w:rPr>
            <w:t>GE85-</w:t>
          </w:r>
          <w:r>
            <w:fldChar w:fldCharType="end"/>
          </w:r>
          <w:r>
            <w:t>R1</w:t>
          </w:r>
        </w:p>
      </w:tc>
      <w:tc>
        <w:tcPr>
          <w:tcW w:w="1701" w:type="dxa"/>
          <w:tcBorders>
            <w:top w:val="single" w:sz="6" w:space="0" w:color="auto"/>
            <w:left w:val="single" w:sz="6" w:space="0" w:color="auto"/>
            <w:bottom w:val="single" w:sz="6" w:space="0" w:color="auto"/>
            <w:right w:val="single" w:sz="6" w:space="0" w:color="auto"/>
          </w:tcBorders>
        </w:tcPr>
        <w:p w:rsidR="000C4B6B" w:rsidRDefault="000C4B6B">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4E748F">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C4B6B" w:rsidRDefault="000C4B6B">
          <w:pPr>
            <w:pStyle w:val="HeaderRegProc"/>
            <w:rPr>
              <w:lang w:val="fr-CH"/>
            </w:rPr>
          </w:pPr>
          <w:r>
            <w:rPr>
              <w:lang w:val="fr-CH"/>
            </w:rPr>
            <w:t>rev.</w:t>
          </w:r>
          <w:r>
            <w:fldChar w:fldCharType="begin"/>
          </w:r>
          <w:r>
            <w:rPr>
              <w:lang w:val="fr-CH"/>
            </w:rPr>
            <w:instrText xml:space="preserve"> DOCPROPERTY "Header10" \* MERGEFORMAT </w:instrText>
          </w:r>
          <w:r>
            <w:fldChar w:fldCharType="separate"/>
          </w:r>
          <w:r w:rsidR="000A4A4F">
            <w:rPr>
              <w:lang w:val="fr-CH"/>
            </w:rPr>
            <w:t>-</w:t>
          </w:r>
          <w:r>
            <w:fldChar w:fldCharType="end"/>
          </w:r>
        </w:p>
      </w:tc>
    </w:tr>
  </w:tbl>
  <w:p w:rsidR="000C4B6B" w:rsidRDefault="000C4B6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B6B" w:rsidRDefault="000C4B6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4B6B"/>
    <w:rsid w:val="000A4A4F"/>
    <w:rsid w:val="000C4B6B"/>
    <w:rsid w:val="002641CA"/>
    <w:rsid w:val="004E74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0</TotalTime>
  <Pages>5</Pages>
  <Words>1566</Words>
  <Characters>8929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CP--107223/DD</Manager>
  <Company>ITU</Company>
  <LinksUpToDate>false</LinksUpToDate>
  <CharactersWithSpaces>10475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GE85-R1 du RR</dc:subject>
  <dc:creator>Composition des Publications</dc:creator>
  <cp:keywords>FOLIOS:  1  -  4</cp:keywords>
  <dc:description>Edition 2009:  16.02.2009/DD (dict. ok)</dc:description>
  <cp:lastModifiedBy>De Nicola, Simon</cp:lastModifiedBy>
  <cp:revision>2</cp:revision>
  <cp:lastPrinted>2005-05-11T15:20:00Z</cp:lastPrinted>
  <dcterms:created xsi:type="dcterms:W3CDTF">2012-10-03T08:40:00Z</dcterms:created>
  <dcterms:modified xsi:type="dcterms:W3CDTF">2012-10-03T08:40:00Z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