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76" w:rsidRPr="00D60AC3" w:rsidRDefault="00A24F76" w:rsidP="00D60AC3">
      <w:pPr>
        <w:pStyle w:val="Heading1"/>
        <w:spacing w:before="300"/>
        <w:jc w:val="center"/>
        <w:rPr>
          <w:lang w:val="es-ES_tradnl"/>
        </w:rPr>
      </w:pPr>
      <w:r w:rsidRPr="00D60AC3">
        <w:rPr>
          <w:lang w:val="es-ES_tradnl"/>
        </w:rPr>
        <w:t xml:space="preserve">PARTE  </w:t>
      </w:r>
      <w:r w:rsidRPr="00D60AC3">
        <w:rPr>
          <w:rStyle w:val="href"/>
          <w:lang w:val="es-ES_tradnl"/>
        </w:rPr>
        <w:t>A6</w:t>
      </w:r>
    </w:p>
    <w:p w:rsidR="00A24F76" w:rsidRPr="00D60AC3" w:rsidRDefault="00A24F76" w:rsidP="00D60AC3">
      <w:pPr>
        <w:pStyle w:val="Heading1"/>
        <w:spacing w:before="520"/>
        <w:ind w:left="0" w:firstLine="0"/>
        <w:jc w:val="center"/>
        <w:rPr>
          <w:lang w:val="es-ES_tradnl"/>
        </w:rPr>
      </w:pPr>
      <w:r w:rsidRPr="00D60AC3">
        <w:rPr>
          <w:lang w:val="es-ES_tradnl"/>
        </w:rPr>
        <w:t>Reglas relativas al Acuerdo Regional sobre la planificación de</w:t>
      </w:r>
      <w:r w:rsidRPr="00D60AC3">
        <w:rPr>
          <w:lang w:val="es-ES_tradnl"/>
        </w:rPr>
        <w:br/>
        <w:t>la radiodifusión de televisión en ondas métricas/decimétricas</w:t>
      </w:r>
      <w:r w:rsidRPr="00D60AC3">
        <w:rPr>
          <w:lang w:val="es-ES_tradnl"/>
        </w:rPr>
        <w:br/>
        <w:t>en la Zona Africana de Radiodifusión y países vecinos</w:t>
      </w:r>
      <w:r w:rsidRPr="00D60AC3">
        <w:rPr>
          <w:lang w:val="es-ES_tradnl"/>
        </w:rPr>
        <w:br/>
        <w:t>(Ginebra, 1989) (</w:t>
      </w:r>
      <w:r w:rsidRPr="00D60AC3">
        <w:rPr>
          <w:rStyle w:val="href2"/>
          <w:lang w:val="es-ES_tradnl"/>
        </w:rPr>
        <w:t>GE89</w:t>
      </w:r>
      <w:r w:rsidRPr="00D60AC3">
        <w:rPr>
          <w:lang w:val="es-ES_tradnl"/>
        </w:rPr>
        <w:t>)</w:t>
      </w:r>
    </w:p>
    <w:p w:rsidR="00DF3264" w:rsidRPr="00D60AC3" w:rsidRDefault="00DF3264" w:rsidP="00D60AC3">
      <w:pPr>
        <w:pStyle w:val="Heading1"/>
        <w:rPr>
          <w:lang w:val="es-ES_tradnl"/>
        </w:rPr>
      </w:pPr>
      <w:r w:rsidRPr="00D60AC3">
        <w:rPr>
          <w:lang w:val="es-ES_tradnl"/>
        </w:rPr>
        <w:t>1</w:t>
      </w:r>
      <w:r w:rsidRPr="00D60AC3">
        <w:rPr>
          <w:lang w:val="es-ES_tradnl"/>
        </w:rPr>
        <w:tab/>
        <w:t>Cometido del Acuerdo</w:t>
      </w:r>
    </w:p>
    <w:p w:rsidR="00DF3264" w:rsidRPr="00D60AC3" w:rsidRDefault="00DF3264" w:rsidP="00D60AC3">
      <w:pPr>
        <w:rPr>
          <w:lang w:val="es-ES_tradnl"/>
        </w:rPr>
      </w:pPr>
      <w:r w:rsidRPr="00D60AC3">
        <w:rPr>
          <w:lang w:val="es-ES_tradnl"/>
        </w:rPr>
        <w:t>1.1</w:t>
      </w:r>
      <w:r w:rsidRPr="00D60AC3">
        <w:rPr>
          <w:lang w:val="es-ES_tradnl"/>
        </w:rPr>
        <w:tab/>
        <w:t>Tras la revisión del Acuerdo</w:t>
      </w:r>
      <w:r w:rsidR="00D60AC3" w:rsidRPr="00D60AC3">
        <w:rPr>
          <w:lang w:val="es-ES_tradnl"/>
        </w:rPr>
        <w:t xml:space="preserve"> </w:t>
      </w:r>
      <w:r w:rsidRPr="00D60AC3">
        <w:rPr>
          <w:lang w:val="es-ES_tradnl"/>
        </w:rPr>
        <w:t>GE89 llevada a cabo en</w:t>
      </w:r>
      <w:r w:rsidR="00D60AC3" w:rsidRPr="00D60AC3">
        <w:rPr>
          <w:lang w:val="es-ES_tradnl"/>
        </w:rPr>
        <w:t xml:space="preserve"> </w:t>
      </w:r>
      <w:r w:rsidRPr="00D60AC3">
        <w:rPr>
          <w:lang w:val="es-ES_tradnl"/>
        </w:rPr>
        <w:t>2006 por la</w:t>
      </w:r>
      <w:r w:rsidR="00D60AC3" w:rsidRPr="00D60AC3">
        <w:rPr>
          <w:lang w:val="es-ES_tradnl"/>
        </w:rPr>
        <w:t xml:space="preserve"> </w:t>
      </w:r>
      <w:r w:rsidRPr="00D60AC3">
        <w:rPr>
          <w:lang w:val="es-ES_tradnl"/>
        </w:rPr>
        <w:t>CRR</w:t>
      </w:r>
      <w:r w:rsidRPr="00D60AC3">
        <w:rPr>
          <w:lang w:val="es-ES_tradnl"/>
        </w:rPr>
        <w:noBreakHyphen/>
        <w:t>06-Rev.GE89, y de conformidad con el Cuadro de atribución de bandas de frecuencias contenido en el Artículo</w:t>
      </w:r>
      <w:r w:rsidR="00D60AC3" w:rsidRPr="00D60AC3">
        <w:rPr>
          <w:lang w:val="es-ES_tradnl"/>
        </w:rPr>
        <w:t xml:space="preserve"> </w:t>
      </w:r>
      <w:r w:rsidRPr="00D60AC3">
        <w:rPr>
          <w:rStyle w:val="Artref"/>
          <w:b/>
          <w:color w:val="auto"/>
          <w:lang w:val="es-ES_tradnl"/>
        </w:rPr>
        <w:t>5</w:t>
      </w:r>
      <w:r w:rsidRPr="00D60AC3">
        <w:rPr>
          <w:lang w:val="es-ES_tradnl"/>
        </w:rPr>
        <w:t xml:space="preserve"> del Reglamento de Radiocomunicaciones (RR) (Edición de</w:t>
      </w:r>
      <w:r w:rsidR="00D60AC3" w:rsidRPr="00D60AC3">
        <w:rPr>
          <w:lang w:val="es-ES_tradnl"/>
        </w:rPr>
        <w:t xml:space="preserve"> </w:t>
      </w:r>
      <w:r w:rsidRPr="00D60AC3">
        <w:rPr>
          <w:lang w:val="es-ES_tradnl"/>
        </w:rPr>
        <w:t>2004), el Acuerdo </w:t>
      </w:r>
      <w:r w:rsidR="00D60AC3" w:rsidRPr="00D60AC3">
        <w:rPr>
          <w:rFonts w:ascii="Tms Rmn" w:hAnsi="Tms Rmn"/>
          <w:sz w:val="12"/>
          <w:lang w:val="es-ES_tradnl"/>
        </w:rPr>
        <w:t> </w:t>
      </w:r>
      <w:r w:rsidRPr="00D60AC3">
        <w:rPr>
          <w:lang w:val="es-ES_tradnl"/>
        </w:rPr>
        <w:t>GE89 controla, a partir del</w:t>
      </w:r>
      <w:r w:rsidR="00D60AC3" w:rsidRPr="00D60AC3">
        <w:rPr>
          <w:lang w:val="es-ES_tradnl"/>
        </w:rPr>
        <w:t xml:space="preserve"> </w:t>
      </w:r>
      <w:r w:rsidRPr="00D60AC3">
        <w:rPr>
          <w:lang w:val="es-ES_tradnl"/>
        </w:rPr>
        <w:t>17</w:t>
      </w:r>
      <w:r w:rsidR="00D60AC3" w:rsidRPr="00D60AC3">
        <w:rPr>
          <w:lang w:val="es-ES_tradnl"/>
        </w:rPr>
        <w:t xml:space="preserve"> </w:t>
      </w:r>
      <w:r w:rsidRPr="00D60AC3">
        <w:rPr>
          <w:lang w:val="es-ES_tradnl"/>
        </w:rPr>
        <w:t>de</w:t>
      </w:r>
      <w:r w:rsidR="00D60AC3" w:rsidRPr="00D60AC3">
        <w:rPr>
          <w:lang w:val="es-ES_tradnl"/>
        </w:rPr>
        <w:t xml:space="preserve"> </w:t>
      </w:r>
      <w:r w:rsidRPr="00D60AC3">
        <w:rPr>
          <w:lang w:val="es-ES_tradnl"/>
        </w:rPr>
        <w:t>junio de</w:t>
      </w:r>
      <w:r w:rsidR="00D60AC3" w:rsidRPr="00D60AC3">
        <w:rPr>
          <w:lang w:val="es-ES_tradnl"/>
        </w:rPr>
        <w:t xml:space="preserve"> </w:t>
      </w:r>
      <w:r w:rsidRPr="00D60AC3">
        <w:rPr>
          <w:lang w:val="es-ES_tradnl"/>
        </w:rPr>
        <w:t>2006, la utilización de la banda de frecuencias 47</w:t>
      </w:r>
      <w:r w:rsidRPr="00D60AC3">
        <w:rPr>
          <w:lang w:val="es-ES_tradnl"/>
        </w:rPr>
        <w:noBreakHyphen/>
        <w:t>68</w:t>
      </w:r>
      <w:r w:rsidR="00D60AC3" w:rsidRPr="00D60AC3">
        <w:rPr>
          <w:lang w:val="es-ES_tradnl"/>
        </w:rPr>
        <w:t xml:space="preserve"> </w:t>
      </w:r>
      <w:r w:rsidRPr="00D60AC3">
        <w:rPr>
          <w:lang w:val="es-ES_tradnl"/>
        </w:rPr>
        <w:t>MHz por el servicio de radiodifusión de televisión y por otros servicios terrenales primarios con atribuciones en esta banda (véase también el § 4), en la zona de</w:t>
      </w:r>
      <w:r w:rsidR="00D60AC3" w:rsidRPr="00D60AC3">
        <w:rPr>
          <w:lang w:val="es-ES_tradnl"/>
        </w:rPr>
        <w:t>  </w:t>
      </w:r>
      <w:r w:rsidRPr="00D60AC3">
        <w:rPr>
          <w:lang w:val="es-ES_tradnl"/>
        </w:rPr>
        <w:t>planificación de este Acuerdo (la Zona Africana de Radiodifusión definida en los</w:t>
      </w:r>
      <w:r w:rsidR="00D60AC3" w:rsidRPr="00D60AC3">
        <w:rPr>
          <w:lang w:val="es-ES_tradnl"/>
        </w:rPr>
        <w:t>  </w:t>
      </w:r>
      <w:r w:rsidRPr="00D60AC3">
        <w:rPr>
          <w:lang w:val="es-ES_tradnl"/>
        </w:rPr>
        <w:t>números</w:t>
      </w:r>
      <w:r w:rsidR="00D60AC3" w:rsidRPr="00D60AC3">
        <w:rPr>
          <w:lang w:val="es-ES_tradnl"/>
        </w:rPr>
        <w:t xml:space="preserve"> </w:t>
      </w:r>
      <w:r w:rsidRPr="00D60AC3">
        <w:rPr>
          <w:b/>
          <w:bCs/>
          <w:lang w:val="es-ES_tradnl"/>
        </w:rPr>
        <w:t>5.10</w:t>
      </w:r>
      <w:r w:rsidRPr="00D60AC3">
        <w:rPr>
          <w:bCs/>
          <w:lang w:val="es-ES_tradnl"/>
        </w:rPr>
        <w:t xml:space="preserve"> </w:t>
      </w:r>
      <w:r w:rsidRPr="00D60AC3">
        <w:rPr>
          <w:lang w:val="es-ES_tradnl"/>
        </w:rPr>
        <w:t>a</w:t>
      </w:r>
      <w:r w:rsidR="00D60AC3" w:rsidRPr="00D60AC3">
        <w:rPr>
          <w:lang w:val="es-ES_tradnl"/>
        </w:rPr>
        <w:t xml:space="preserve"> </w:t>
      </w:r>
      <w:r w:rsidRPr="00D60AC3">
        <w:rPr>
          <w:b/>
          <w:bCs/>
          <w:lang w:val="es-ES_tradnl"/>
        </w:rPr>
        <w:t>5.13</w:t>
      </w:r>
      <w:r w:rsidRPr="00D60AC3">
        <w:rPr>
          <w:lang w:val="es-ES_tradnl"/>
        </w:rPr>
        <w:t xml:space="preserve"> del RR (Edición de</w:t>
      </w:r>
      <w:r w:rsidR="00D60AC3" w:rsidRPr="00D60AC3">
        <w:rPr>
          <w:lang w:val="es-ES_tradnl"/>
        </w:rPr>
        <w:t xml:space="preserve"> </w:t>
      </w:r>
      <w:r w:rsidRPr="00D60AC3">
        <w:rPr>
          <w:lang w:val="es-ES_tradnl"/>
        </w:rPr>
        <w:t>2004) y los siguientes países vecinos: Arabia Saudita, Bahrein, Emiratos Árabes Unidos, Irán (República Islámica del), Iraq, Kuwait, Omán, Qatar, Yemen (incluidas las partes de Yemen situadas fuera de la Zona Africana de Radiodifusión)).</w:t>
      </w:r>
    </w:p>
    <w:p w:rsidR="00DF3264" w:rsidRPr="00D60AC3" w:rsidRDefault="00DF3264" w:rsidP="00D60AC3">
      <w:pPr>
        <w:rPr>
          <w:lang w:val="es-ES_tradnl"/>
        </w:rPr>
      </w:pPr>
      <w:r w:rsidRPr="00D60AC3">
        <w:rPr>
          <w:lang w:val="es-ES_tradnl"/>
        </w:rPr>
        <w:t>1.2</w:t>
      </w:r>
      <w:r w:rsidRPr="00D60AC3">
        <w:rPr>
          <w:lang w:val="es-ES_tradnl"/>
        </w:rPr>
        <w:tab/>
        <w:t>El Plan anexo al Acuerdo GE89 también contiene las asignaciones de frecuencias a las estaciones de radiodifusión de televisión, en las bandas 230</w:t>
      </w:r>
      <w:r w:rsidR="00D60AC3" w:rsidRPr="00D60AC3">
        <w:rPr>
          <w:lang w:val="es-ES_tradnl"/>
        </w:rPr>
        <w:t>-</w:t>
      </w:r>
      <w:r w:rsidRPr="00D60AC3">
        <w:rPr>
          <w:lang w:val="es-ES_tradnl"/>
        </w:rPr>
        <w:t>238 MHz y 246</w:t>
      </w:r>
      <w:r w:rsidR="00D60AC3" w:rsidRPr="00D60AC3">
        <w:rPr>
          <w:lang w:val="es-ES_tradnl"/>
        </w:rPr>
        <w:t>-</w:t>
      </w:r>
      <w:r w:rsidRPr="00D60AC3">
        <w:rPr>
          <w:lang w:val="es-ES_tradnl"/>
        </w:rPr>
        <w:t>254</w:t>
      </w:r>
      <w:r w:rsidR="00D60AC3" w:rsidRPr="00D60AC3">
        <w:rPr>
          <w:lang w:val="es-ES_tradnl"/>
        </w:rPr>
        <w:t> </w:t>
      </w:r>
      <w:r w:rsidRPr="00D60AC3">
        <w:rPr>
          <w:lang w:val="es-ES_tradnl"/>
        </w:rPr>
        <w:t>MHz, de los Estados Miembros enumerados en el número</w:t>
      </w:r>
      <w:r w:rsidR="00D60AC3" w:rsidRPr="00D60AC3">
        <w:rPr>
          <w:lang w:val="es-ES_tradnl"/>
        </w:rPr>
        <w:t xml:space="preserve"> </w:t>
      </w:r>
      <w:r w:rsidRPr="00D60AC3">
        <w:rPr>
          <w:b/>
          <w:bCs/>
          <w:lang w:val="es-ES_tradnl"/>
        </w:rPr>
        <w:t>5.252</w:t>
      </w:r>
      <w:r w:rsidRPr="00D60AC3">
        <w:rPr>
          <w:lang w:val="es-ES_tradnl"/>
        </w:rPr>
        <w:t xml:space="preserve"> del RR para las cuales se completó con éxito el procedimiento del número </w:t>
      </w:r>
      <w:r w:rsidRPr="00D60AC3">
        <w:rPr>
          <w:rStyle w:val="Artref"/>
          <w:b/>
          <w:color w:val="auto"/>
          <w:lang w:val="es-ES_tradnl"/>
        </w:rPr>
        <w:t>9.21</w:t>
      </w:r>
      <w:r w:rsidRPr="00D60AC3">
        <w:rPr>
          <w:lang w:val="es-ES_tradnl"/>
        </w:rPr>
        <w:t xml:space="preserve"> del</w:t>
      </w:r>
      <w:r w:rsidR="00D60AC3" w:rsidRPr="00D60AC3">
        <w:rPr>
          <w:lang w:val="es-ES_tradnl"/>
        </w:rPr>
        <w:t> </w:t>
      </w:r>
      <w:r w:rsidRPr="00D60AC3">
        <w:rPr>
          <w:lang w:val="es-ES_tradnl"/>
        </w:rPr>
        <w:t>RR</w:t>
      </w:r>
      <w:r w:rsidR="00BA08BD">
        <w:rPr>
          <w:lang w:val="es-ES_tradnl"/>
        </w:rPr>
        <w:t>.</w:t>
      </w:r>
      <w:bookmarkStart w:id="0" w:name="_GoBack"/>
      <w:bookmarkEnd w:id="0"/>
    </w:p>
    <w:p w:rsidR="00A24F76" w:rsidRPr="00D60AC3" w:rsidRDefault="00DF3264" w:rsidP="00D60AC3">
      <w:pPr>
        <w:pStyle w:val="Heading1"/>
        <w:rPr>
          <w:lang w:val="es-ES_tradnl"/>
        </w:rPr>
      </w:pPr>
      <w:r w:rsidRPr="00D60AC3">
        <w:rPr>
          <w:lang w:val="es-ES_tradnl"/>
        </w:rPr>
        <w:t>2</w:t>
      </w:r>
      <w:r w:rsidR="00A24F76" w:rsidRPr="00D60AC3">
        <w:rPr>
          <w:lang w:val="es-ES_tradnl"/>
        </w:rPr>
        <w:tab/>
        <w:t>Aceptabilidad de las notificaciones</w:t>
      </w:r>
    </w:p>
    <w:p w:rsidR="00A24F76" w:rsidRPr="00D60AC3" w:rsidRDefault="00A24F76" w:rsidP="00D60AC3">
      <w:pPr>
        <w:rPr>
          <w:lang w:val="es-ES_tradnl"/>
        </w:rPr>
      </w:pPr>
      <w:r w:rsidRPr="00D60AC3">
        <w:rPr>
          <w:lang w:val="es-ES_tradnl"/>
        </w:rPr>
        <w:t>Al aplicar el Acuerdo Regional sobre la planificación de la radiodifusión de televisión en ondas métricas/decimétricas en la Zona Africana de Radiodifusión y países vecinos (Ginebra, 1989), la Oficina utilizará los procedimientos contenidos en los Artículos 4 y 5 del Acuerdo y los criterios técnicos asociados con respecto a las notificaciones procedentes de todas las administraciones que tengan territorios en las zonas de planificación (es decir, todas las admi</w:t>
      </w:r>
      <w:r w:rsidR="00D60AC3" w:rsidRPr="00D60AC3">
        <w:rPr>
          <w:lang w:val="es-ES_tradnl"/>
        </w:rPr>
        <w:softHyphen/>
      </w:r>
      <w:r w:rsidRPr="00D60AC3">
        <w:rPr>
          <w:lang w:val="es-ES_tradnl"/>
        </w:rPr>
        <w:t xml:space="preserve">nistraciones con territorios dentro de la Zona Africana de Radiodifusión definida en los números </w:t>
      </w:r>
      <w:r w:rsidRPr="00D60AC3">
        <w:rPr>
          <w:rStyle w:val="Artref"/>
          <w:b/>
          <w:color w:val="000000"/>
          <w:lang w:val="es-ES_tradnl"/>
        </w:rPr>
        <w:t>5.10</w:t>
      </w:r>
      <w:r w:rsidRPr="00D60AC3">
        <w:rPr>
          <w:lang w:val="es-ES_tradnl"/>
        </w:rPr>
        <w:t xml:space="preserve"> a</w:t>
      </w:r>
      <w:r w:rsidR="00D60AC3" w:rsidRPr="00D60AC3">
        <w:rPr>
          <w:lang w:val="es-ES_tradnl"/>
        </w:rPr>
        <w:t xml:space="preserve"> </w:t>
      </w:r>
      <w:r w:rsidRPr="00D60AC3">
        <w:rPr>
          <w:rStyle w:val="Artref"/>
          <w:b/>
          <w:color w:val="000000"/>
          <w:lang w:val="es-ES_tradnl"/>
        </w:rPr>
        <w:t>5.13</w:t>
      </w:r>
      <w:r w:rsidRPr="00D60AC3">
        <w:rPr>
          <w:lang w:val="es-ES_tradnl"/>
        </w:rPr>
        <w:t xml:space="preserve"> </w:t>
      </w:r>
      <w:r w:rsidRPr="00D60AC3">
        <w:rPr>
          <w:rStyle w:val="Artref0"/>
          <w:lang w:val="es-ES_tradnl"/>
        </w:rPr>
        <w:t>del R</w:t>
      </w:r>
      <w:r w:rsidR="00DF3264" w:rsidRPr="00D60AC3">
        <w:rPr>
          <w:rStyle w:val="Artref0"/>
          <w:lang w:val="es-ES_tradnl"/>
        </w:rPr>
        <w:t>R</w:t>
      </w:r>
      <w:r w:rsidRPr="00D60AC3">
        <w:rPr>
          <w:lang w:val="es-ES_tradnl"/>
        </w:rPr>
        <w:t xml:space="preserve"> y las administraciones de los países vecinos indicados en el § 1.8 del Artículo 1 del Acuerdo GE89), siempre que la estación correspondiente se encuentre situada dentro de la zona de planificación.</w:t>
      </w:r>
    </w:p>
    <w:p w:rsidR="00A24F76" w:rsidRPr="00D60AC3" w:rsidRDefault="00DF3264" w:rsidP="00D60AC3">
      <w:pPr>
        <w:pStyle w:val="Heading1"/>
        <w:rPr>
          <w:lang w:val="es-ES_tradnl"/>
        </w:rPr>
      </w:pPr>
      <w:r w:rsidRPr="00D60AC3">
        <w:rPr>
          <w:lang w:val="es-ES_tradnl"/>
        </w:rPr>
        <w:t>3</w:t>
      </w:r>
      <w:r w:rsidR="00A24F76" w:rsidRPr="00D60AC3">
        <w:rPr>
          <w:lang w:val="es-ES_tradnl"/>
        </w:rPr>
        <w:tab/>
        <w:t>Ejecución del Acuerdo</w:t>
      </w:r>
    </w:p>
    <w:p w:rsidR="00E415C1" w:rsidRDefault="00A24F76" w:rsidP="00C421A1">
      <w:pPr>
        <w:rPr>
          <w:lang w:val="es-ES_tradnl"/>
        </w:rPr>
      </w:pPr>
      <w:r w:rsidRPr="00D60AC3">
        <w:rPr>
          <w:lang w:val="es-ES_tradnl"/>
        </w:rPr>
        <w:t>Cuando se reciba una notificación para una modificación en virtud del Artículo 4 del Acuerdo, las distancias de coordinación pertinentes se aplicarán por igual a los sistemas analógico y digital. Se utilizará un símbolo apropiado para identificar la norma de televisión. Cada vez que sea posible, los cálculos solicitados en aplicación de los §</w:t>
      </w:r>
      <w:r w:rsidR="00D60AC3" w:rsidRPr="00D60AC3">
        <w:rPr>
          <w:lang w:val="es-ES_tradnl"/>
        </w:rPr>
        <w:t> </w:t>
      </w:r>
      <w:r w:rsidRPr="00D60AC3">
        <w:rPr>
          <w:lang w:val="es-ES_tradnl"/>
        </w:rPr>
        <w:t>4.3.8 y 4.3.13 del Acuerdo se harán utilizando la Recomendación UIT</w:t>
      </w:r>
      <w:r w:rsidRPr="00D60AC3">
        <w:rPr>
          <w:lang w:val="es-ES_tradnl"/>
        </w:rPr>
        <w:noBreakHyphen/>
        <w:t>R más reciente.</w:t>
      </w:r>
      <w:r w:rsidR="00C421A1">
        <w:rPr>
          <w:lang w:val="es-ES_tradnl"/>
        </w:rPr>
        <w:t xml:space="preserve">  </w:t>
      </w:r>
    </w:p>
    <w:p w:rsidR="00E415C1" w:rsidRPr="00D3267E" w:rsidRDefault="00E415C1" w:rsidP="00E415C1">
      <w:pPr>
        <w:pStyle w:val="Heading1"/>
        <w:spacing w:before="480"/>
        <w:rPr>
          <w:lang w:val="es-ES"/>
        </w:rPr>
      </w:pPr>
      <w:r w:rsidRPr="00D3267E">
        <w:rPr>
          <w:lang w:val="es-ES"/>
        </w:rPr>
        <w:lastRenderedPageBreak/>
        <w:t>4</w:t>
      </w:r>
      <w:r w:rsidRPr="00D3267E">
        <w:rPr>
          <w:lang w:val="es-ES"/>
        </w:rPr>
        <w:tab/>
        <w:t>Examen de las notificaciones relacionadas con los servicios no planificados en las bandas que se rigen por el Acuerdo Regional GE89</w:t>
      </w:r>
    </w:p>
    <w:p w:rsidR="00A24F76" w:rsidRPr="00E415C1" w:rsidRDefault="00E415C1" w:rsidP="00E415C1">
      <w:pPr>
        <w:spacing w:before="120"/>
        <w:rPr>
          <w:lang w:val="es-ES"/>
        </w:rPr>
      </w:pPr>
      <w:r w:rsidRPr="00D3267E">
        <w:rPr>
          <w:lang w:val="es-ES"/>
        </w:rPr>
        <w:t>4.1</w:t>
      </w:r>
      <w:r w:rsidRPr="00D3267E">
        <w:rPr>
          <w:lang w:val="es-ES"/>
        </w:rPr>
        <w:tab/>
        <w:t>EL § 5.2 del Artículo 5 del Acuerdo GE89 especifica el procedimiento a seguir por el examen de las notificaciones relativas a los servicios primarios no planificados en las bandas de frecuencias que se rigen por el Acuerdo. Las bandas de frecuencias y los servicios interesados se resumen en el Cuadro siguiente.</w:t>
      </w:r>
    </w:p>
    <w:p w:rsidR="00A24F76" w:rsidRPr="00D60AC3" w:rsidRDefault="00A24F76" w:rsidP="00F21398">
      <w:pPr>
        <w:pStyle w:val="Table"/>
        <w:rPr>
          <w:lang w:val="es-ES_tradnl"/>
        </w:rPr>
      </w:pPr>
      <w:r w:rsidRPr="00D60AC3">
        <w:rPr>
          <w:lang w:val="es-ES_tradnl"/>
        </w:rPr>
        <w:t>CUADRO</w:t>
      </w:r>
      <w:r w:rsidR="00E415C1">
        <w:rPr>
          <w:lang w:val="es-ES_tradnl"/>
        </w:rPr>
        <w:t xml:space="preserve">   </w:t>
      </w:r>
    </w:p>
    <w:tbl>
      <w:tblPr>
        <w:tblW w:w="9222" w:type="dxa"/>
        <w:tblLayout w:type="fixed"/>
        <w:tblCellMar>
          <w:left w:w="0" w:type="dxa"/>
          <w:right w:w="0" w:type="dxa"/>
        </w:tblCellMar>
        <w:tblLook w:val="0000" w:firstRow="0" w:lastRow="0" w:firstColumn="0" w:lastColumn="0" w:noHBand="0" w:noVBand="0"/>
      </w:tblPr>
      <w:tblGrid>
        <w:gridCol w:w="1072"/>
        <w:gridCol w:w="2197"/>
        <w:gridCol w:w="3685"/>
        <w:gridCol w:w="1355"/>
        <w:gridCol w:w="913"/>
      </w:tblGrid>
      <w:tr w:rsidR="00A24F76" w:rsidRPr="00D60AC3" w:rsidTr="00F21398">
        <w:trPr>
          <w:cantSplit/>
        </w:trPr>
        <w:tc>
          <w:tcPr>
            <w:tcW w:w="1072" w:type="dxa"/>
            <w:tcBorders>
              <w:top w:val="single" w:sz="6" w:space="0" w:color="auto"/>
              <w:left w:val="single" w:sz="6" w:space="0" w:color="auto"/>
              <w:right w:val="single" w:sz="6" w:space="0" w:color="auto"/>
            </w:tcBorders>
            <w:vAlign w:val="center"/>
          </w:tcPr>
          <w:p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Bandas de frecuencias (MHz)</w:t>
            </w:r>
          </w:p>
        </w:tc>
        <w:tc>
          <w:tcPr>
            <w:tcW w:w="5882" w:type="dxa"/>
            <w:gridSpan w:val="2"/>
            <w:tcBorders>
              <w:top w:val="single" w:sz="6" w:space="0" w:color="auto"/>
              <w:left w:val="single" w:sz="6" w:space="0" w:color="auto"/>
              <w:bottom w:val="single" w:sz="6" w:space="0" w:color="auto"/>
              <w:right w:val="single" w:sz="6" w:space="0" w:color="auto"/>
            </w:tcBorders>
            <w:vAlign w:val="center"/>
          </w:tcPr>
          <w:p w:rsidR="00A24F76" w:rsidRPr="00D60AC3" w:rsidRDefault="00A24F76" w:rsidP="00D60AC3">
            <w:pPr>
              <w:pStyle w:val="TableHead"/>
              <w:framePr w:hSpace="181" w:wrap="around" w:vAnchor="text" w:hAnchor="margin" w:xAlign="center" w:y="1"/>
              <w:tabs>
                <w:tab w:val="left" w:pos="1094"/>
              </w:tabs>
              <w:spacing w:before="100" w:after="100"/>
              <w:ind w:left="1094" w:hanging="1094"/>
              <w:rPr>
                <w:lang w:val="es-ES_tradnl"/>
              </w:rPr>
            </w:pPr>
            <w:r w:rsidRPr="00D60AC3">
              <w:rPr>
                <w:lang w:val="es-ES_tradnl"/>
              </w:rPr>
              <w:t>Servicios y países dentro de la zona de planificación</w:t>
            </w:r>
          </w:p>
        </w:tc>
        <w:tc>
          <w:tcPr>
            <w:tcW w:w="1355" w:type="dxa"/>
            <w:tcBorders>
              <w:top w:val="single" w:sz="6" w:space="0" w:color="auto"/>
              <w:left w:val="single" w:sz="6" w:space="0" w:color="auto"/>
              <w:bottom w:val="single" w:sz="6" w:space="0" w:color="auto"/>
              <w:right w:val="single" w:sz="6" w:space="0" w:color="auto"/>
            </w:tcBorders>
            <w:vAlign w:val="center"/>
          </w:tcPr>
          <w:p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Disposiciones</w:t>
            </w:r>
          </w:p>
        </w:tc>
        <w:tc>
          <w:tcPr>
            <w:tcW w:w="913" w:type="dxa"/>
            <w:tcBorders>
              <w:top w:val="single" w:sz="6" w:space="0" w:color="auto"/>
              <w:right w:val="single" w:sz="6" w:space="0" w:color="auto"/>
            </w:tcBorders>
            <w:vAlign w:val="center"/>
          </w:tcPr>
          <w:p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Notas</w:t>
            </w:r>
          </w:p>
        </w:tc>
      </w:tr>
      <w:tr w:rsidR="00A24F76" w:rsidRPr="00D60AC3" w:rsidTr="00F21398">
        <w:trPr>
          <w:cantSplit/>
        </w:trPr>
        <w:tc>
          <w:tcPr>
            <w:tcW w:w="1072" w:type="dxa"/>
            <w:tcBorders>
              <w:top w:val="single" w:sz="6" w:space="0" w:color="auto"/>
              <w:left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47-68</w:t>
            </w:r>
          </w:p>
        </w:tc>
        <w:tc>
          <w:tcPr>
            <w:tcW w:w="2197" w:type="dxa"/>
            <w:tcBorders>
              <w:top w:val="single" w:sz="6" w:space="0" w:color="auto"/>
              <w:left w:val="single" w:sz="6" w:space="0" w:color="auto"/>
              <w:bottom w:val="single" w:sz="6" w:space="0" w:color="auto"/>
            </w:tcBorders>
          </w:tcPr>
          <w:p w:rsidR="00A24F76" w:rsidRPr="00D60AC3" w:rsidRDefault="00DF3264" w:rsidP="00D60AC3">
            <w:pPr>
              <w:pStyle w:val="TableText"/>
              <w:framePr w:hSpace="181" w:wrap="around" w:vAnchor="text" w:hAnchor="margin" w:xAlign="center" w:y="1"/>
              <w:tabs>
                <w:tab w:val="left" w:pos="1219"/>
                <w:tab w:val="left" w:pos="3969"/>
              </w:tabs>
              <w:ind w:left="1219" w:right="57" w:hanging="1162"/>
              <w:rPr>
                <w:lang w:val="es-ES_tradnl"/>
              </w:rPr>
            </w:pPr>
            <w:r w:rsidRPr="00D60AC3">
              <w:rPr>
                <w:b/>
                <w:lang w:val="es-ES_tradnl"/>
              </w:rPr>
              <w:t>FIJO</w:t>
            </w:r>
            <w:r w:rsidRPr="00D60AC3">
              <w:rPr>
                <w:lang w:val="es-ES_tradnl"/>
              </w:rPr>
              <w:t>:</w:t>
            </w:r>
          </w:p>
        </w:tc>
        <w:tc>
          <w:tcPr>
            <w:tcW w:w="3685" w:type="dxa"/>
            <w:tcBorders>
              <w:top w:val="single" w:sz="6" w:space="0" w:color="auto"/>
              <w:left w:val="nil"/>
              <w:bottom w:val="single" w:sz="6" w:space="0" w:color="auto"/>
              <w:right w:val="single" w:sz="6" w:space="0" w:color="auto"/>
            </w:tcBorders>
          </w:tcPr>
          <w:p w:rsidR="00A24F76" w:rsidRPr="00D60AC3" w:rsidRDefault="00E415C1" w:rsidP="00D60AC3">
            <w:pPr>
              <w:pStyle w:val="TableText"/>
              <w:framePr w:hSpace="181" w:wrap="around" w:vAnchor="text" w:hAnchor="margin" w:xAlign="center" w:y="1"/>
              <w:tabs>
                <w:tab w:val="left" w:pos="1219"/>
                <w:tab w:val="left" w:pos="3969"/>
              </w:tabs>
              <w:ind w:left="57" w:right="57"/>
              <w:rPr>
                <w:lang w:val="es-ES_tradnl"/>
              </w:rPr>
            </w:pPr>
            <w:r w:rsidRPr="00D3267E">
              <w:rPr>
                <w:lang w:val="es-ES"/>
              </w:rPr>
              <w:t>AFS, AGL, BOT, CME, COD, COG, IRN, LSO, MDG, MLI, MOZ, MWI, NGR, NMB, RRW, SOM, SDN, SSD, SWZ, TCD, TZA, ZMB, ZWE</w:t>
            </w:r>
          </w:p>
        </w:tc>
        <w:tc>
          <w:tcPr>
            <w:tcW w:w="1355" w:type="dxa"/>
            <w:tcBorders>
              <w:top w:val="single" w:sz="6" w:space="0" w:color="auto"/>
              <w:left w:val="single" w:sz="6" w:space="0" w:color="auto"/>
              <w:bottom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r w:rsidRPr="00D60AC3">
              <w:rPr>
                <w:rStyle w:val="Artref"/>
                <w:b/>
                <w:color w:val="000000"/>
                <w:lang w:val="es-ES_tradnl"/>
              </w:rPr>
              <w:t>5.165</w:t>
            </w:r>
            <w:r w:rsidRPr="00D60AC3">
              <w:rPr>
                <w:rStyle w:val="Artref0"/>
                <w:b/>
                <w:lang w:val="es-ES_tradnl"/>
              </w:rPr>
              <w:br/>
            </w:r>
            <w:r w:rsidRPr="00D60AC3">
              <w:rPr>
                <w:rStyle w:val="Artref"/>
                <w:b/>
                <w:color w:val="000000"/>
                <w:lang w:val="es-ES_tradnl"/>
              </w:rPr>
              <w:t>5.167</w:t>
            </w:r>
            <w:r w:rsidRPr="00D60AC3">
              <w:rPr>
                <w:lang w:val="es-ES_tradnl"/>
              </w:rPr>
              <w:br/>
            </w:r>
            <w:r w:rsidRPr="00D60AC3">
              <w:rPr>
                <w:rStyle w:val="Artref"/>
                <w:b/>
                <w:color w:val="000000"/>
                <w:lang w:val="es-ES_tradnl"/>
              </w:rPr>
              <w:t>5.171</w:t>
            </w:r>
          </w:p>
        </w:tc>
        <w:tc>
          <w:tcPr>
            <w:tcW w:w="913" w:type="dxa"/>
            <w:tcBorders>
              <w:top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1</w:t>
            </w:r>
          </w:p>
        </w:tc>
      </w:tr>
      <w:tr w:rsidR="00A24F76" w:rsidRPr="00D60AC3" w:rsidTr="00F21398">
        <w:trPr>
          <w:cantSplit/>
        </w:trPr>
        <w:tc>
          <w:tcPr>
            <w:tcW w:w="1072" w:type="dxa"/>
            <w:tcBorders>
              <w:left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p>
        </w:tc>
        <w:tc>
          <w:tcPr>
            <w:tcW w:w="2197" w:type="dxa"/>
            <w:tcBorders>
              <w:top w:val="single" w:sz="6" w:space="0" w:color="auto"/>
              <w:left w:val="single" w:sz="6" w:space="0" w:color="auto"/>
              <w:bottom w:val="single" w:sz="6" w:space="0" w:color="auto"/>
            </w:tcBorders>
          </w:tcPr>
          <w:p w:rsidR="00A24F76" w:rsidRPr="00D60AC3" w:rsidRDefault="00DF3264" w:rsidP="00895C84">
            <w:pPr>
              <w:pStyle w:val="TableText"/>
              <w:framePr w:hSpace="181" w:wrap="around" w:vAnchor="text" w:hAnchor="margin" w:xAlign="center" w:y="1"/>
              <w:tabs>
                <w:tab w:val="left" w:pos="1219"/>
                <w:tab w:val="left" w:pos="3969"/>
              </w:tabs>
              <w:ind w:left="57" w:right="57"/>
              <w:jc w:val="left"/>
              <w:rPr>
                <w:lang w:val="es-ES_tradnl"/>
              </w:rPr>
            </w:pPr>
            <w:r w:rsidRPr="00D60AC3">
              <w:rPr>
                <w:b/>
                <w:lang w:val="es-ES_tradnl"/>
              </w:rPr>
              <w:t>MÓVIL</w:t>
            </w:r>
            <w:r w:rsidRPr="00D60AC3">
              <w:rPr>
                <w:b/>
                <w:lang w:val="es-ES_tradnl"/>
              </w:rPr>
              <w:br/>
            </w:r>
            <w:r w:rsidR="00895C84">
              <w:rPr>
                <w:b/>
                <w:lang w:val="es-ES_tradnl"/>
              </w:rPr>
              <w:t>(excepto AER</w:t>
            </w:r>
            <w:r w:rsidRPr="00D60AC3">
              <w:rPr>
                <w:b/>
                <w:lang w:val="es-ES_tradnl"/>
              </w:rPr>
              <w:t>)</w:t>
            </w:r>
            <w:r w:rsidRPr="00D60AC3">
              <w:rPr>
                <w:lang w:val="es-ES_tradnl"/>
              </w:rPr>
              <w:t>:</w:t>
            </w:r>
          </w:p>
        </w:tc>
        <w:tc>
          <w:tcPr>
            <w:tcW w:w="3685" w:type="dxa"/>
            <w:tcBorders>
              <w:top w:val="single" w:sz="6" w:space="0" w:color="auto"/>
              <w:left w:val="nil"/>
              <w:bottom w:val="single" w:sz="6" w:space="0" w:color="auto"/>
              <w:right w:val="single" w:sz="6" w:space="0" w:color="auto"/>
            </w:tcBorders>
          </w:tcPr>
          <w:p w:rsidR="00A24F76" w:rsidRPr="00D60AC3" w:rsidRDefault="00E415C1" w:rsidP="00D60AC3">
            <w:pPr>
              <w:pStyle w:val="TableText"/>
              <w:framePr w:hSpace="181" w:wrap="around" w:vAnchor="text" w:hAnchor="margin" w:xAlign="center" w:y="1"/>
              <w:tabs>
                <w:tab w:val="left" w:pos="1219"/>
                <w:tab w:val="left" w:pos="3969"/>
              </w:tabs>
              <w:ind w:left="57" w:right="57"/>
              <w:rPr>
                <w:lang w:val="es-ES_tradnl"/>
              </w:rPr>
            </w:pPr>
            <w:r w:rsidRPr="00D3267E">
              <w:rPr>
                <w:lang w:val="es-ES"/>
              </w:rPr>
              <w:t>AFS, AGL, BOT, CME, COD, COG, LSO, MDG, MLI, MOZ, MWI, NGR, NMB, RRW, SOM, SDN, SSD, SWZ, TCD, TZA, ZMB, ZWE</w:t>
            </w:r>
          </w:p>
        </w:tc>
        <w:tc>
          <w:tcPr>
            <w:tcW w:w="1355" w:type="dxa"/>
            <w:tcBorders>
              <w:top w:val="single" w:sz="6" w:space="0" w:color="auto"/>
              <w:left w:val="single" w:sz="6" w:space="0" w:color="auto"/>
              <w:bottom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r w:rsidRPr="00D60AC3">
              <w:rPr>
                <w:rStyle w:val="Artref"/>
                <w:b/>
                <w:color w:val="000000"/>
                <w:lang w:val="es-ES_tradnl"/>
              </w:rPr>
              <w:t>5.165</w:t>
            </w:r>
            <w:r w:rsidRPr="00D60AC3">
              <w:rPr>
                <w:lang w:val="es-ES_tradnl"/>
              </w:rPr>
              <w:br/>
            </w:r>
            <w:r w:rsidRPr="00D60AC3">
              <w:rPr>
                <w:rStyle w:val="Artref"/>
                <w:b/>
                <w:color w:val="000000"/>
                <w:lang w:val="es-ES_tradnl"/>
              </w:rPr>
              <w:t>5.171</w:t>
            </w:r>
          </w:p>
        </w:tc>
        <w:tc>
          <w:tcPr>
            <w:tcW w:w="913" w:type="dxa"/>
            <w:tcBorders>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1</w:t>
            </w:r>
          </w:p>
        </w:tc>
      </w:tr>
      <w:tr w:rsidR="00A24F76" w:rsidRPr="00D60AC3" w:rsidTr="00F21398">
        <w:trPr>
          <w:cantSplit/>
        </w:trPr>
        <w:tc>
          <w:tcPr>
            <w:tcW w:w="1072" w:type="dxa"/>
            <w:tcBorders>
              <w:left w:val="single" w:sz="6" w:space="0" w:color="auto"/>
              <w:bottom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p>
        </w:tc>
        <w:tc>
          <w:tcPr>
            <w:tcW w:w="2197" w:type="dxa"/>
            <w:tcBorders>
              <w:top w:val="single" w:sz="6" w:space="0" w:color="auto"/>
              <w:left w:val="single" w:sz="6" w:space="0" w:color="auto"/>
              <w:bottom w:val="single" w:sz="6" w:space="0" w:color="auto"/>
            </w:tcBorders>
          </w:tcPr>
          <w:p w:rsidR="00A24F76" w:rsidRPr="00D60AC3" w:rsidRDefault="00DF3264" w:rsidP="00D60AC3">
            <w:pPr>
              <w:pStyle w:val="TableText"/>
              <w:framePr w:hSpace="181" w:wrap="around" w:vAnchor="text" w:hAnchor="margin" w:xAlign="center" w:y="1"/>
              <w:tabs>
                <w:tab w:val="left" w:pos="1219"/>
                <w:tab w:val="left" w:pos="3969"/>
              </w:tabs>
              <w:ind w:right="57" w:firstLine="57"/>
              <w:rPr>
                <w:b/>
                <w:bCs/>
                <w:lang w:val="es-ES_tradnl"/>
              </w:rPr>
            </w:pPr>
            <w:r w:rsidRPr="00D60AC3">
              <w:rPr>
                <w:b/>
                <w:bCs/>
                <w:lang w:val="es-ES_tradnl"/>
              </w:rPr>
              <w:t>MÓVIL</w:t>
            </w:r>
            <w:r w:rsidRPr="00D60AC3">
              <w:rPr>
                <w:lang w:val="es-ES_tradnl"/>
              </w:rPr>
              <w:t>:</w:t>
            </w:r>
          </w:p>
        </w:tc>
        <w:tc>
          <w:tcPr>
            <w:tcW w:w="3685" w:type="dxa"/>
            <w:tcBorders>
              <w:top w:val="single" w:sz="6" w:space="0" w:color="auto"/>
              <w:left w:val="nil"/>
              <w:bottom w:val="single" w:sz="6" w:space="0" w:color="auto"/>
              <w:right w:val="single" w:sz="6" w:space="0" w:color="auto"/>
            </w:tcBorders>
          </w:tcPr>
          <w:p w:rsidR="00A24F76" w:rsidRPr="00D60AC3" w:rsidRDefault="00A24F76" w:rsidP="00D60AC3">
            <w:pPr>
              <w:pStyle w:val="TableText"/>
              <w:framePr w:hSpace="181" w:wrap="around" w:vAnchor="text" w:hAnchor="margin" w:xAlign="center" w:y="1"/>
              <w:tabs>
                <w:tab w:val="left" w:pos="1219"/>
                <w:tab w:val="left" w:pos="3969"/>
              </w:tabs>
              <w:ind w:right="57" w:firstLine="57"/>
              <w:rPr>
                <w:lang w:val="es-ES_tradnl"/>
              </w:rPr>
            </w:pPr>
            <w:r w:rsidRPr="00D60AC3">
              <w:rPr>
                <w:lang w:val="es-ES_tradnl"/>
              </w:rPr>
              <w:t>IRN</w:t>
            </w:r>
          </w:p>
        </w:tc>
        <w:tc>
          <w:tcPr>
            <w:tcW w:w="1355" w:type="dxa"/>
            <w:tcBorders>
              <w:top w:val="single" w:sz="6" w:space="0" w:color="auto"/>
              <w:left w:val="single" w:sz="6" w:space="0" w:color="auto"/>
              <w:bottom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rStyle w:val="Artref"/>
                <w:b/>
                <w:color w:val="000000"/>
                <w:lang w:val="es-ES_tradnl"/>
              </w:rPr>
            </w:pPr>
            <w:r w:rsidRPr="00D60AC3">
              <w:rPr>
                <w:rStyle w:val="Artref"/>
                <w:b/>
                <w:color w:val="000000"/>
                <w:lang w:val="es-ES_tradnl"/>
              </w:rPr>
              <w:t>5.167</w:t>
            </w:r>
          </w:p>
        </w:tc>
        <w:tc>
          <w:tcPr>
            <w:tcW w:w="913" w:type="dxa"/>
            <w:tcBorders>
              <w:bottom w:val="single" w:sz="6" w:space="0" w:color="auto"/>
              <w:right w:val="single" w:sz="6" w:space="0" w:color="auto"/>
            </w:tcBorders>
          </w:tcPr>
          <w:p w:rsidR="00A24F76" w:rsidRPr="00D60AC3" w:rsidRDefault="00A24F76" w:rsidP="00D60AC3">
            <w:pPr>
              <w:pStyle w:val="TableText"/>
              <w:framePr w:hSpace="181" w:wrap="around" w:vAnchor="text" w:hAnchor="margin" w:xAlign="center" w:y="1"/>
              <w:ind w:left="57" w:right="57"/>
              <w:jc w:val="center"/>
              <w:rPr>
                <w:lang w:val="es-ES_tradnl"/>
              </w:rPr>
            </w:pPr>
          </w:p>
        </w:tc>
      </w:tr>
      <w:tr w:rsidR="00E415C1" w:rsidRPr="00D60AC3" w:rsidTr="00F21398">
        <w:trPr>
          <w:cantSplit/>
        </w:trPr>
        <w:tc>
          <w:tcPr>
            <w:tcW w:w="1072" w:type="dxa"/>
            <w:tcBorders>
              <w:top w:val="single" w:sz="6" w:space="0" w:color="auto"/>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r w:rsidRPr="00D3267E">
              <w:rPr>
                <w:lang w:val="es-ES"/>
              </w:rPr>
              <w:t>230-238</w:t>
            </w:r>
          </w:p>
        </w:tc>
        <w:tc>
          <w:tcPr>
            <w:tcW w:w="2197" w:type="dxa"/>
            <w:tcBorders>
              <w:top w:val="single" w:sz="6" w:space="0" w:color="auto"/>
              <w:left w:val="single" w:sz="6" w:space="0" w:color="auto"/>
            </w:tcBorders>
          </w:tcPr>
          <w:p w:rsidR="00E415C1" w:rsidRPr="00D3267E" w:rsidRDefault="00E415C1" w:rsidP="00E415C1">
            <w:pPr>
              <w:pStyle w:val="TableText"/>
              <w:framePr w:hSpace="181" w:wrap="around" w:vAnchor="text" w:hAnchor="margin" w:xAlign="center" w:y="1"/>
              <w:tabs>
                <w:tab w:val="left" w:pos="1219"/>
              </w:tabs>
              <w:ind w:left="1219" w:right="57" w:hanging="1162"/>
              <w:jc w:val="left"/>
              <w:rPr>
                <w:b/>
                <w:lang w:val="es-ES"/>
              </w:rPr>
            </w:pPr>
            <w:r w:rsidRPr="00D3267E">
              <w:rPr>
                <w:b/>
                <w:lang w:val="es-ES"/>
              </w:rPr>
              <w:t>FIJO</w:t>
            </w:r>
            <w:r w:rsidRPr="00D3267E">
              <w:rPr>
                <w:lang w:val="es-ES"/>
              </w:rPr>
              <w:t>:</w:t>
            </w:r>
          </w:p>
        </w:tc>
        <w:tc>
          <w:tcPr>
            <w:tcW w:w="3685" w:type="dxa"/>
            <w:tcBorders>
              <w:top w:val="single" w:sz="6" w:space="0" w:color="auto"/>
              <w:right w:val="single" w:sz="6" w:space="0" w:color="auto"/>
            </w:tcBorders>
          </w:tcPr>
          <w:p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top w:val="single" w:sz="6" w:space="0" w:color="auto"/>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rStyle w:val="Artref0"/>
                <w:b/>
                <w:lang w:val="es-ES"/>
              </w:rPr>
            </w:pPr>
          </w:p>
        </w:tc>
        <w:tc>
          <w:tcPr>
            <w:tcW w:w="913" w:type="dxa"/>
            <w:tcBorders>
              <w:top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D60AC3" w:rsidTr="00F21398">
        <w:trPr>
          <w:cantSplit/>
        </w:trPr>
        <w:tc>
          <w:tcPr>
            <w:tcW w:w="1072" w:type="dxa"/>
            <w:tcBorders>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tcBorders>
          </w:tcPr>
          <w:p w:rsidR="00E415C1" w:rsidRPr="00D3267E" w:rsidRDefault="00E415C1" w:rsidP="00E415C1">
            <w:pPr>
              <w:pStyle w:val="TableText"/>
              <w:framePr w:hSpace="181" w:wrap="around" w:vAnchor="text" w:hAnchor="margin" w:xAlign="center" w:y="1"/>
              <w:tabs>
                <w:tab w:val="left" w:pos="1219"/>
              </w:tabs>
              <w:ind w:left="1219" w:right="57" w:hanging="1162"/>
              <w:jc w:val="left"/>
              <w:rPr>
                <w:b/>
                <w:bCs/>
                <w:lang w:val="es-ES"/>
              </w:rPr>
            </w:pPr>
            <w:r w:rsidRPr="00D3267E">
              <w:rPr>
                <w:b/>
                <w:bCs/>
                <w:lang w:val="es-ES"/>
              </w:rPr>
              <w:t>MÓVIL</w:t>
            </w:r>
            <w:r w:rsidRPr="00D3267E">
              <w:rPr>
                <w:lang w:val="es-ES"/>
              </w:rPr>
              <w:t>:</w:t>
            </w:r>
          </w:p>
        </w:tc>
        <w:tc>
          <w:tcPr>
            <w:tcW w:w="3685" w:type="dxa"/>
            <w:tcBorders>
              <w:right w:val="single" w:sz="6" w:space="0" w:color="auto"/>
            </w:tcBorders>
          </w:tcPr>
          <w:p w:rsidR="00E415C1" w:rsidRPr="00D3267E" w:rsidRDefault="00E415C1" w:rsidP="00E415C1">
            <w:pPr>
              <w:pStyle w:val="TableText"/>
              <w:framePr w:hSpace="181" w:wrap="around" w:vAnchor="text" w:hAnchor="margin" w:xAlign="center" w:y="1"/>
              <w:tabs>
                <w:tab w:val="left" w:pos="1219"/>
              </w:tabs>
              <w:ind w:left="57" w:right="57"/>
              <w:jc w:val="left"/>
              <w:rPr>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rStyle w:val="Artref"/>
                <w:b/>
                <w:color w:val="000000"/>
                <w:lang w:val="es-ES"/>
              </w:rPr>
            </w:pPr>
            <w:r w:rsidRPr="00D3267E">
              <w:rPr>
                <w:rStyle w:val="Artref"/>
                <w:color w:val="000000"/>
                <w:lang w:val="es-ES"/>
              </w:rPr>
              <w:br/>
            </w:r>
            <w:r w:rsidRPr="00D3267E">
              <w:rPr>
                <w:rStyle w:val="Artref"/>
                <w:color w:val="000000"/>
                <w:lang w:val="es-ES"/>
              </w:rPr>
              <w:br/>
            </w:r>
          </w:p>
        </w:tc>
        <w:tc>
          <w:tcPr>
            <w:tcW w:w="913" w:type="dxa"/>
            <w:tcBorders>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D60AC3" w:rsidTr="00F21398">
        <w:trPr>
          <w:cantSplit/>
        </w:trPr>
        <w:tc>
          <w:tcPr>
            <w:tcW w:w="1072" w:type="dxa"/>
            <w:tcBorders>
              <w:left w:val="single" w:sz="6" w:space="0" w:color="auto"/>
              <w:bottom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bottom w:val="single" w:sz="6" w:space="0" w:color="auto"/>
            </w:tcBorders>
          </w:tcPr>
          <w:p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b/>
                <w:lang w:val="es-ES"/>
              </w:rPr>
              <w:t>RADIONAVEGACIÓN AERONÁUTICA</w:t>
            </w:r>
            <w:r w:rsidRPr="00D3267E">
              <w:rPr>
                <w:lang w:val="es-ES"/>
              </w:rPr>
              <w:t>:</w:t>
            </w:r>
          </w:p>
        </w:tc>
        <w:tc>
          <w:tcPr>
            <w:tcW w:w="3685" w:type="dxa"/>
            <w:tcBorders>
              <w:bottom w:val="single" w:sz="6" w:space="0" w:color="auto"/>
              <w:right w:val="single" w:sz="6" w:space="0" w:color="auto"/>
            </w:tcBorders>
            <w:vAlign w:val="bottom"/>
          </w:tcPr>
          <w:p w:rsidR="00E415C1" w:rsidRPr="00A24A86" w:rsidRDefault="00E415C1" w:rsidP="00E415C1">
            <w:pPr>
              <w:pStyle w:val="TableText"/>
              <w:framePr w:hSpace="181" w:wrap="around" w:vAnchor="text" w:hAnchor="margin" w:xAlign="center" w:y="1"/>
              <w:tabs>
                <w:tab w:val="left" w:pos="1219"/>
              </w:tabs>
              <w:ind w:left="57" w:right="57"/>
              <w:jc w:val="left"/>
              <w:rPr>
                <w:b/>
                <w:lang w:val="en-US"/>
              </w:rPr>
            </w:pPr>
            <w:r w:rsidRPr="00A24A86">
              <w:rPr>
                <w:lang w:val="en-US"/>
              </w:rPr>
              <w:t>ARS, BHR, IRN, OMA, QAT, UAE</w:t>
            </w:r>
          </w:p>
        </w:tc>
        <w:tc>
          <w:tcPr>
            <w:tcW w:w="1355" w:type="dxa"/>
            <w:tcBorders>
              <w:left w:val="single" w:sz="6" w:space="0" w:color="auto"/>
              <w:bottom w:val="single" w:sz="6" w:space="0" w:color="auto"/>
              <w:right w:val="single" w:sz="6" w:space="0" w:color="auto"/>
            </w:tcBorders>
          </w:tcPr>
          <w:p w:rsidR="00E415C1" w:rsidRPr="001F6CD2" w:rsidRDefault="00E415C1" w:rsidP="00E415C1">
            <w:pPr>
              <w:pStyle w:val="TableText"/>
              <w:framePr w:hSpace="181" w:wrap="around" w:vAnchor="text" w:hAnchor="margin" w:xAlign="center" w:y="1"/>
              <w:ind w:left="57" w:right="57"/>
              <w:jc w:val="center"/>
              <w:rPr>
                <w:rStyle w:val="Artref0"/>
                <w:b/>
                <w:bCs/>
                <w:lang w:val="es-ES"/>
              </w:rPr>
            </w:pPr>
            <w:r w:rsidRPr="00A24A86">
              <w:rPr>
                <w:rStyle w:val="Artref"/>
                <w:color w:val="000000"/>
                <w:lang w:val="en-US"/>
              </w:rPr>
              <w:br/>
            </w:r>
            <w:r w:rsidRPr="001F6CD2">
              <w:rPr>
                <w:rStyle w:val="Artref"/>
                <w:b/>
                <w:bCs/>
                <w:color w:val="000000"/>
                <w:lang w:val="es-ES"/>
              </w:rPr>
              <w:t>5.247</w:t>
            </w:r>
          </w:p>
        </w:tc>
        <w:tc>
          <w:tcPr>
            <w:tcW w:w="913" w:type="dxa"/>
            <w:tcBorders>
              <w:bottom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3</w:t>
            </w:r>
          </w:p>
        </w:tc>
      </w:tr>
      <w:tr w:rsidR="00E415C1" w:rsidRPr="00D60AC3" w:rsidTr="00F21398">
        <w:trPr>
          <w:cantSplit/>
        </w:trPr>
        <w:tc>
          <w:tcPr>
            <w:tcW w:w="1072" w:type="dxa"/>
            <w:tcBorders>
              <w:top w:val="single" w:sz="6" w:space="0" w:color="auto"/>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r w:rsidRPr="00D3267E">
              <w:rPr>
                <w:lang w:val="es-ES"/>
              </w:rPr>
              <w:t>246-254</w:t>
            </w:r>
          </w:p>
        </w:tc>
        <w:tc>
          <w:tcPr>
            <w:tcW w:w="2197" w:type="dxa"/>
            <w:tcBorders>
              <w:top w:val="single" w:sz="6" w:space="0" w:color="auto"/>
              <w:left w:val="single" w:sz="6" w:space="0" w:color="auto"/>
            </w:tcBorders>
          </w:tcPr>
          <w:p w:rsidR="00E415C1" w:rsidRPr="00D3267E" w:rsidRDefault="00E415C1" w:rsidP="00E415C1">
            <w:pPr>
              <w:pStyle w:val="TableText"/>
              <w:framePr w:hSpace="181" w:wrap="around" w:vAnchor="text" w:hAnchor="margin" w:xAlign="center" w:y="1"/>
              <w:tabs>
                <w:tab w:val="left" w:pos="1219"/>
              </w:tabs>
              <w:ind w:left="1219" w:right="57" w:hanging="1162"/>
              <w:jc w:val="left"/>
              <w:rPr>
                <w:b/>
                <w:lang w:val="es-ES"/>
              </w:rPr>
            </w:pPr>
            <w:r w:rsidRPr="00D3267E">
              <w:rPr>
                <w:b/>
                <w:lang w:val="es-ES"/>
              </w:rPr>
              <w:t>FIJO</w:t>
            </w:r>
            <w:r w:rsidRPr="00D3267E">
              <w:rPr>
                <w:lang w:val="es-ES"/>
              </w:rPr>
              <w:t>:</w:t>
            </w:r>
          </w:p>
        </w:tc>
        <w:tc>
          <w:tcPr>
            <w:tcW w:w="3685" w:type="dxa"/>
            <w:tcBorders>
              <w:top w:val="single" w:sz="6" w:space="0" w:color="auto"/>
              <w:right w:val="single" w:sz="6" w:space="0" w:color="auto"/>
            </w:tcBorders>
          </w:tcPr>
          <w:p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top w:val="single" w:sz="6" w:space="0" w:color="auto"/>
              <w:left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rStyle w:val="Artref0"/>
                <w:b/>
                <w:lang w:val="es-ES"/>
              </w:rPr>
            </w:pPr>
          </w:p>
        </w:tc>
        <w:tc>
          <w:tcPr>
            <w:tcW w:w="913" w:type="dxa"/>
            <w:tcBorders>
              <w:top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BA08BD" w:rsidTr="00F21398">
        <w:trPr>
          <w:cantSplit/>
        </w:trPr>
        <w:tc>
          <w:tcPr>
            <w:tcW w:w="1072" w:type="dxa"/>
            <w:tcBorders>
              <w:left w:val="single" w:sz="6" w:space="0" w:color="auto"/>
              <w:bottom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bottom w:val="single" w:sz="6" w:space="0" w:color="auto"/>
            </w:tcBorders>
          </w:tcPr>
          <w:p w:rsidR="00E415C1" w:rsidRPr="00D3267E" w:rsidRDefault="00E415C1" w:rsidP="00E415C1">
            <w:pPr>
              <w:pStyle w:val="TableText"/>
              <w:framePr w:hSpace="181" w:wrap="around" w:vAnchor="text" w:hAnchor="margin" w:xAlign="center" w:y="1"/>
              <w:tabs>
                <w:tab w:val="left" w:pos="1219"/>
                <w:tab w:val="left" w:pos="3742"/>
              </w:tabs>
              <w:ind w:left="1219" w:right="57" w:hanging="1162"/>
              <w:jc w:val="left"/>
              <w:rPr>
                <w:lang w:val="es-ES"/>
              </w:rPr>
            </w:pPr>
            <w:r w:rsidRPr="00D3267E">
              <w:rPr>
                <w:b/>
                <w:lang w:val="es-ES"/>
              </w:rPr>
              <w:t>MÓVIL</w:t>
            </w:r>
            <w:r w:rsidRPr="00D3267E">
              <w:rPr>
                <w:lang w:val="es-ES"/>
              </w:rPr>
              <w:t>:</w:t>
            </w:r>
          </w:p>
        </w:tc>
        <w:tc>
          <w:tcPr>
            <w:tcW w:w="3685" w:type="dxa"/>
            <w:tcBorders>
              <w:bottom w:val="single" w:sz="6" w:space="0" w:color="auto"/>
              <w:right w:val="single" w:sz="6" w:space="0" w:color="auto"/>
            </w:tcBorders>
          </w:tcPr>
          <w:p w:rsidR="00E415C1" w:rsidRPr="00D3267E" w:rsidRDefault="00E415C1" w:rsidP="00E415C1">
            <w:pPr>
              <w:pStyle w:val="TableText"/>
              <w:framePr w:hSpace="181" w:wrap="around" w:vAnchor="text" w:hAnchor="margin" w:xAlign="center" w:y="1"/>
              <w:tabs>
                <w:tab w:val="left" w:pos="1219"/>
                <w:tab w:val="left" w:pos="3742"/>
              </w:tabs>
              <w:ind w:left="57" w:right="57"/>
              <w:jc w:val="left"/>
              <w:rPr>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left w:val="single" w:sz="6" w:space="0" w:color="auto"/>
              <w:bottom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p>
        </w:tc>
        <w:tc>
          <w:tcPr>
            <w:tcW w:w="913" w:type="dxa"/>
            <w:tcBorders>
              <w:left w:val="single" w:sz="6" w:space="0" w:color="auto"/>
              <w:bottom w:val="single" w:sz="6" w:space="0" w:color="auto"/>
              <w:right w:val="single" w:sz="6" w:space="0" w:color="auto"/>
            </w:tcBorders>
          </w:tcPr>
          <w:p w:rsidR="00E415C1" w:rsidRPr="00D3267E" w:rsidRDefault="00E415C1" w:rsidP="00E415C1">
            <w:pPr>
              <w:pStyle w:val="TableText"/>
              <w:framePr w:hSpace="181" w:wrap="around" w:vAnchor="text" w:hAnchor="margin" w:xAlign="center" w:y="1"/>
              <w:ind w:left="57" w:right="57"/>
              <w:jc w:val="left"/>
              <w:rPr>
                <w:lang w:val="es-ES"/>
              </w:rPr>
            </w:pPr>
          </w:p>
        </w:tc>
      </w:tr>
      <w:tr w:rsidR="00A24F76" w:rsidRPr="00BA08BD" w:rsidTr="00F21398">
        <w:tblPrEx>
          <w:tblCellMar>
            <w:left w:w="108" w:type="dxa"/>
            <w:right w:w="108" w:type="dxa"/>
          </w:tblCellMar>
        </w:tblPrEx>
        <w:trPr>
          <w:cantSplit/>
        </w:trPr>
        <w:tc>
          <w:tcPr>
            <w:tcW w:w="9222" w:type="dxa"/>
            <w:gridSpan w:val="5"/>
          </w:tcPr>
          <w:p w:rsidR="00A24F76" w:rsidRPr="00E415C1" w:rsidRDefault="00A24F76" w:rsidP="00D60AC3">
            <w:pPr>
              <w:pStyle w:val="TableLegend"/>
              <w:framePr w:hSpace="181" w:wrap="around" w:vAnchor="text" w:hAnchor="margin" w:xAlign="center" w:y="1"/>
              <w:spacing w:before="200"/>
              <w:ind w:left="-85" w:right="-85"/>
              <w:rPr>
                <w:spacing w:val="-10"/>
                <w:lang w:val="es-ES_tradnl"/>
              </w:rPr>
            </w:pPr>
            <w:r w:rsidRPr="00E415C1">
              <w:rPr>
                <w:spacing w:val="-10"/>
                <w:lang w:val="es-ES_tradnl"/>
              </w:rPr>
              <w:t>NOTA</w:t>
            </w:r>
            <w:r w:rsidR="00D60AC3" w:rsidRPr="00E415C1">
              <w:rPr>
                <w:spacing w:val="-10"/>
                <w:lang w:val="es-ES_tradnl"/>
              </w:rPr>
              <w:t> </w:t>
            </w:r>
            <w:r w:rsidRPr="00E415C1">
              <w:rPr>
                <w:spacing w:val="-10"/>
                <w:lang w:val="es-ES_tradnl"/>
              </w:rPr>
              <w:t>1</w:t>
            </w:r>
            <w:r w:rsidR="00D60AC3" w:rsidRPr="00E415C1">
              <w:rPr>
                <w:spacing w:val="-10"/>
                <w:lang w:val="es-ES_tradnl"/>
              </w:rPr>
              <w:t> </w:t>
            </w:r>
            <w:r w:rsidRPr="00E415C1">
              <w:rPr>
                <w:spacing w:val="-10"/>
                <w:lang w:val="es-ES_tradnl"/>
              </w:rPr>
              <w:t>–</w:t>
            </w:r>
            <w:r w:rsidR="00D60AC3" w:rsidRPr="00E415C1">
              <w:rPr>
                <w:spacing w:val="-10"/>
                <w:lang w:val="es-ES_tradnl"/>
              </w:rPr>
              <w:t> </w:t>
            </w:r>
            <w:r w:rsidRPr="001F6CD2">
              <w:rPr>
                <w:spacing w:val="-6"/>
                <w:lang w:val="es-ES_tradnl"/>
              </w:rPr>
              <w:t>Las atribuciones adicionales a los países mencionados en el número </w:t>
            </w:r>
            <w:r w:rsidRPr="001F6CD2">
              <w:rPr>
                <w:rStyle w:val="Artref"/>
                <w:b/>
                <w:color w:val="000000"/>
                <w:spacing w:val="-6"/>
                <w:lang w:val="es-ES_tradnl"/>
              </w:rPr>
              <w:t>5.171</w:t>
            </w:r>
            <w:r w:rsidRPr="001F6CD2">
              <w:rPr>
                <w:spacing w:val="-6"/>
                <w:lang w:val="es-ES_tradnl"/>
              </w:rPr>
              <w:t xml:space="preserve"> se limitan a la banda</w:t>
            </w:r>
            <w:r w:rsidR="00D60AC3" w:rsidRPr="001F6CD2">
              <w:rPr>
                <w:spacing w:val="-6"/>
                <w:lang w:val="es-ES_tradnl"/>
              </w:rPr>
              <w:t> </w:t>
            </w:r>
            <w:r w:rsidRPr="001F6CD2">
              <w:rPr>
                <w:spacing w:val="-6"/>
                <w:lang w:val="es-ES_tradnl"/>
              </w:rPr>
              <w:t>54</w:t>
            </w:r>
            <w:r w:rsidR="00D60AC3" w:rsidRPr="001F6CD2">
              <w:rPr>
                <w:spacing w:val="-6"/>
                <w:lang w:val="es-ES_tradnl"/>
              </w:rPr>
              <w:t>-</w:t>
            </w:r>
            <w:r w:rsidRPr="001F6CD2">
              <w:rPr>
                <w:spacing w:val="-6"/>
                <w:lang w:val="es-ES_tradnl"/>
              </w:rPr>
              <w:t>68</w:t>
            </w:r>
            <w:r w:rsidR="00D60AC3" w:rsidRPr="001F6CD2">
              <w:rPr>
                <w:spacing w:val="-6"/>
                <w:lang w:val="es-ES_tradnl"/>
              </w:rPr>
              <w:t> </w:t>
            </w:r>
            <w:r w:rsidRPr="001F6CD2">
              <w:rPr>
                <w:spacing w:val="-6"/>
                <w:lang w:val="es-ES_tradnl"/>
              </w:rPr>
              <w:t>MHz.</w:t>
            </w:r>
          </w:p>
          <w:p w:rsidR="00A24F76" w:rsidRPr="00D60AC3" w:rsidRDefault="00A24F76" w:rsidP="00D60AC3">
            <w:pPr>
              <w:pStyle w:val="TableLegend"/>
              <w:framePr w:hSpace="181" w:wrap="around" w:vAnchor="text" w:hAnchor="margin" w:xAlign="center" w:y="1"/>
              <w:ind w:left="-85" w:right="-85"/>
              <w:rPr>
                <w:lang w:val="es-ES_tradnl"/>
              </w:rPr>
            </w:pPr>
            <w:r w:rsidRPr="00D60AC3">
              <w:rPr>
                <w:lang w:val="es-ES_tradnl"/>
              </w:rPr>
              <w:t>NOTA</w:t>
            </w:r>
            <w:r w:rsidR="00D60AC3" w:rsidRPr="00D60AC3">
              <w:rPr>
                <w:lang w:val="es-ES_tradnl"/>
              </w:rPr>
              <w:t> </w:t>
            </w:r>
            <w:r w:rsidRPr="00D60AC3">
              <w:rPr>
                <w:lang w:val="es-ES_tradnl"/>
              </w:rPr>
              <w:t>2</w:t>
            </w:r>
            <w:r w:rsidR="00D60AC3" w:rsidRPr="00D60AC3">
              <w:rPr>
                <w:lang w:val="es-ES_tradnl"/>
              </w:rPr>
              <w:t> </w:t>
            </w:r>
            <w:r w:rsidRPr="00D60AC3">
              <w:rPr>
                <w:lang w:val="es-ES_tradnl"/>
              </w:rPr>
              <w:t>–</w:t>
            </w:r>
            <w:r w:rsidR="00D60AC3" w:rsidRPr="00D60AC3">
              <w:rPr>
                <w:lang w:val="es-ES_tradnl"/>
              </w:rPr>
              <w:t> </w:t>
            </w:r>
            <w:r w:rsidRPr="00D60AC3">
              <w:rPr>
                <w:lang w:val="es-ES_tradnl"/>
              </w:rPr>
              <w:t>Para las bandas de frecuencias 230-238 MHz y 246-254 MHz en el examen conforme al §</w:t>
            </w:r>
            <w:r w:rsidR="00D60AC3" w:rsidRPr="00D60AC3">
              <w:rPr>
                <w:lang w:val="es-ES_tradnl"/>
              </w:rPr>
              <w:t> </w:t>
            </w:r>
            <w:r w:rsidRPr="00D60AC3">
              <w:rPr>
                <w:lang w:val="es-ES_tradnl"/>
              </w:rPr>
              <w:t>5.2 del Acuerdo, sólo se tendrán en cuenta las asignaciones de frecuencia del servicio de radiodifusión inscritas en el Plan una vez obtenido el acuerdo indicado en el procedimiento mencionado en los números </w:t>
            </w:r>
            <w:r w:rsidRPr="00D60AC3">
              <w:rPr>
                <w:rStyle w:val="Artref"/>
                <w:b/>
                <w:color w:val="000000"/>
                <w:lang w:val="es-ES_tradnl"/>
              </w:rPr>
              <w:t>9.21</w:t>
            </w:r>
            <w:r w:rsidRPr="00D60AC3">
              <w:rPr>
                <w:lang w:val="es-ES_tradnl"/>
              </w:rPr>
              <w:t>, según las disposiciones de la Resolución 1 (GE89), y</w:t>
            </w:r>
            <w:r w:rsidR="00D60AC3" w:rsidRPr="00D60AC3">
              <w:rPr>
                <w:lang w:val="es-ES_tradnl"/>
              </w:rPr>
              <w:t> </w:t>
            </w:r>
            <w:r w:rsidRPr="00D60AC3">
              <w:rPr>
                <w:rStyle w:val="Artref"/>
                <w:b/>
                <w:color w:val="000000"/>
                <w:lang w:val="es-ES_tradnl"/>
              </w:rPr>
              <w:t>5.252</w:t>
            </w:r>
            <w:r w:rsidRPr="00D60AC3">
              <w:rPr>
                <w:lang w:val="es-ES_tradnl"/>
              </w:rPr>
              <w:t>.</w:t>
            </w:r>
          </w:p>
          <w:p w:rsidR="00A24F76" w:rsidRPr="00D60AC3" w:rsidRDefault="00A24F76" w:rsidP="00D60AC3">
            <w:pPr>
              <w:pStyle w:val="TableLegend"/>
              <w:framePr w:hSpace="181" w:wrap="around" w:vAnchor="text" w:hAnchor="margin" w:xAlign="center" w:y="1"/>
              <w:ind w:left="-85" w:right="-85"/>
              <w:rPr>
                <w:lang w:val="es-ES_tradnl"/>
              </w:rPr>
            </w:pPr>
            <w:r w:rsidRPr="00D60AC3">
              <w:rPr>
                <w:lang w:val="es-ES_tradnl"/>
              </w:rPr>
              <w:t>NOTA</w:t>
            </w:r>
            <w:r w:rsidR="00D60AC3" w:rsidRPr="00D60AC3">
              <w:rPr>
                <w:lang w:val="es-ES_tradnl"/>
              </w:rPr>
              <w:t> </w:t>
            </w:r>
            <w:r w:rsidRPr="00D60AC3">
              <w:rPr>
                <w:lang w:val="es-ES_tradnl"/>
              </w:rPr>
              <w:t>3</w:t>
            </w:r>
            <w:r w:rsidR="00D60AC3" w:rsidRPr="00D60AC3">
              <w:rPr>
                <w:lang w:val="es-ES_tradnl"/>
              </w:rPr>
              <w:t> </w:t>
            </w:r>
            <w:r w:rsidRPr="00D60AC3">
              <w:rPr>
                <w:lang w:val="es-ES_tradnl"/>
              </w:rPr>
              <w:t>–</w:t>
            </w:r>
            <w:r w:rsidR="00D60AC3" w:rsidRPr="00D60AC3">
              <w:rPr>
                <w:lang w:val="es-ES_tradnl"/>
              </w:rPr>
              <w:t> </w:t>
            </w:r>
            <w:r w:rsidR="00DF3264" w:rsidRPr="00D60AC3">
              <w:rPr>
                <w:lang w:val="es-ES_tradnl"/>
              </w:rPr>
              <w:t>Como l</w:t>
            </w:r>
            <w:r w:rsidRPr="00D60AC3">
              <w:rPr>
                <w:lang w:val="es-ES_tradnl"/>
              </w:rPr>
              <w:t>a atribución adicional a los países mencionados en el número</w:t>
            </w:r>
            <w:r w:rsidR="0046745A" w:rsidRPr="00D60AC3">
              <w:rPr>
                <w:lang w:val="es-ES_tradnl"/>
              </w:rPr>
              <w:t xml:space="preserve"> </w:t>
            </w:r>
            <w:r w:rsidRPr="00D60AC3">
              <w:rPr>
                <w:rStyle w:val="Artref"/>
                <w:b/>
                <w:color w:val="000000"/>
                <w:lang w:val="es-ES_tradnl"/>
              </w:rPr>
              <w:t>5.247</w:t>
            </w:r>
            <w:r w:rsidRPr="00D60AC3">
              <w:rPr>
                <w:lang w:val="es-ES_tradnl"/>
              </w:rPr>
              <w:t xml:space="preserve"> se limita a la banda</w:t>
            </w:r>
            <w:r w:rsidR="00D60AC3" w:rsidRPr="00D60AC3">
              <w:rPr>
                <w:lang w:val="es-ES_tradnl"/>
              </w:rPr>
              <w:t> </w:t>
            </w:r>
            <w:r w:rsidRPr="00D60AC3">
              <w:rPr>
                <w:lang w:val="es-ES_tradnl"/>
              </w:rPr>
              <w:t>223</w:t>
            </w:r>
            <w:r w:rsidR="00D60AC3" w:rsidRPr="00D60AC3">
              <w:rPr>
                <w:lang w:val="es-ES_tradnl"/>
              </w:rPr>
              <w:t>-</w:t>
            </w:r>
            <w:r w:rsidRPr="00D60AC3">
              <w:rPr>
                <w:lang w:val="es-ES_tradnl"/>
              </w:rPr>
              <w:t>235 MHz</w:t>
            </w:r>
            <w:r w:rsidR="00DF3264" w:rsidRPr="00D60AC3">
              <w:rPr>
                <w:lang w:val="es-ES_tradnl"/>
              </w:rPr>
              <w:t>, los procedimientos del § 5.2 del Artículo 5 del Acuerdo GE89 se aplican únicamente en la banda 230-235</w:t>
            </w:r>
            <w:r w:rsidR="00D60AC3" w:rsidRPr="00D60AC3">
              <w:rPr>
                <w:lang w:val="es-ES_tradnl"/>
              </w:rPr>
              <w:t> </w:t>
            </w:r>
            <w:r w:rsidR="00DF3264" w:rsidRPr="00D60AC3">
              <w:rPr>
                <w:lang w:val="es-ES_tradnl"/>
              </w:rPr>
              <w:t>MHz.</w:t>
            </w:r>
          </w:p>
        </w:tc>
      </w:tr>
    </w:tbl>
    <w:p w:rsidR="0006485F" w:rsidRDefault="0006485F" w:rsidP="00D60AC3">
      <w:pPr>
        <w:rPr>
          <w:lang w:val="es-ES_tradnl"/>
        </w:rPr>
      </w:pPr>
      <w:r>
        <w:rPr>
          <w:lang w:val="es-ES_tradnl"/>
        </w:rPr>
        <w:br w:type="page"/>
      </w:r>
    </w:p>
    <w:p w:rsidR="0006485F" w:rsidRDefault="00DF3264" w:rsidP="0006485F">
      <w:pPr>
        <w:rPr>
          <w:lang w:val="es-ES_tradnl"/>
        </w:rPr>
      </w:pPr>
      <w:r w:rsidRPr="00D60AC3">
        <w:rPr>
          <w:lang w:val="es-ES_tradnl"/>
        </w:rPr>
        <w:lastRenderedPageBreak/>
        <w:t>4</w:t>
      </w:r>
      <w:r w:rsidR="00A24F76" w:rsidRPr="00D60AC3">
        <w:rPr>
          <w:lang w:val="es-ES_tradnl"/>
        </w:rPr>
        <w:t>.2</w:t>
      </w:r>
      <w:r w:rsidR="00A24F76" w:rsidRPr="00D60AC3">
        <w:rPr>
          <w:lang w:val="es-ES_tradnl"/>
        </w:rPr>
        <w:tab/>
        <w:t>Las notificaciones de asignación de frecuencia relacionadas con el servicio de radionavegación aeronáutica de Nigeria, cuya atribución está regulada por el número </w:t>
      </w:r>
      <w:r w:rsidR="00A24F76" w:rsidRPr="00D60AC3">
        <w:rPr>
          <w:rStyle w:val="Artref"/>
          <w:b/>
          <w:color w:val="000000"/>
          <w:lang w:val="es-ES_tradnl"/>
        </w:rPr>
        <w:t>5.251</w:t>
      </w:r>
      <w:r w:rsidR="00A24F76" w:rsidRPr="00D60AC3">
        <w:rPr>
          <w:lang w:val="es-ES_tradnl"/>
        </w:rPr>
        <w:t>, no estarán sujetas al examen mencionado en el § 5.2 del Artículo 5 del Acuerdo, puesto que están sujetas a la aplicación del procedimiento del número </w:t>
      </w:r>
      <w:r w:rsidR="00A24F76" w:rsidRPr="00D60AC3">
        <w:rPr>
          <w:rStyle w:val="Artref"/>
          <w:b/>
          <w:color w:val="000000"/>
          <w:lang w:val="es-ES_tradnl"/>
        </w:rPr>
        <w:t>9.21</w:t>
      </w:r>
      <w:r w:rsidR="00A24F76" w:rsidRPr="00D60AC3">
        <w:rPr>
          <w:lang w:val="es-ES_tradnl"/>
        </w:rPr>
        <w:t>.</w:t>
      </w:r>
    </w:p>
    <w:p w:rsidR="00A24F76" w:rsidRPr="00D60AC3" w:rsidRDefault="00DF3264" w:rsidP="0006485F">
      <w:pPr>
        <w:rPr>
          <w:lang w:val="es-ES_tradnl"/>
        </w:rPr>
      </w:pPr>
      <w:r w:rsidRPr="00D60AC3">
        <w:rPr>
          <w:lang w:val="es-ES_tradnl"/>
        </w:rPr>
        <w:t>4</w:t>
      </w:r>
      <w:r w:rsidR="00A24F76" w:rsidRPr="00D60AC3">
        <w:rPr>
          <w:lang w:val="es-ES_tradnl"/>
        </w:rPr>
        <w:t>.3</w:t>
      </w:r>
      <w:r w:rsidR="00A24F76" w:rsidRPr="00D60AC3">
        <w:rPr>
          <w:lang w:val="es-ES_tradnl"/>
        </w:rPr>
        <w:tab/>
        <w:t xml:space="preserve">Las notificaciones de asignación de frecuencia relacionadas con </w:t>
      </w:r>
      <w:r w:rsidRPr="00D60AC3">
        <w:rPr>
          <w:lang w:val="es-ES_tradnl"/>
        </w:rPr>
        <w:t>el</w:t>
      </w:r>
      <w:r w:rsidR="00A24F76" w:rsidRPr="00D60AC3">
        <w:rPr>
          <w:lang w:val="es-ES_tradnl"/>
        </w:rPr>
        <w:t xml:space="preserve"> servicio </w:t>
      </w:r>
      <w:r w:rsidRPr="00D60AC3">
        <w:rPr>
          <w:lang w:val="es-ES_tradnl"/>
        </w:rPr>
        <w:t>móvil terrestre de</w:t>
      </w:r>
      <w:r w:rsidR="00A24F76" w:rsidRPr="00D60AC3">
        <w:rPr>
          <w:lang w:val="es-ES_tradnl"/>
        </w:rPr>
        <w:t xml:space="preserve"> países mencionados en </w:t>
      </w:r>
      <w:r w:rsidRPr="00D60AC3">
        <w:rPr>
          <w:lang w:val="es-ES_tradnl"/>
        </w:rPr>
        <w:t>el</w:t>
      </w:r>
      <w:r w:rsidR="00A24F76" w:rsidRPr="00D60AC3">
        <w:rPr>
          <w:lang w:val="es-ES_tradnl"/>
        </w:rPr>
        <w:t xml:space="preserve"> número</w:t>
      </w:r>
      <w:r w:rsidRPr="00D60AC3">
        <w:rPr>
          <w:lang w:val="es-ES_tradnl"/>
        </w:rPr>
        <w:t xml:space="preserve"> </w:t>
      </w:r>
      <w:r w:rsidR="00A24F76" w:rsidRPr="00D60AC3">
        <w:rPr>
          <w:rStyle w:val="Artref"/>
          <w:b/>
          <w:color w:val="000000"/>
          <w:lang w:val="es-ES_tradnl"/>
        </w:rPr>
        <w:t>5.164</w:t>
      </w:r>
      <w:r w:rsidR="00A24F76" w:rsidRPr="00D60AC3">
        <w:rPr>
          <w:lang w:val="es-ES_tradnl"/>
        </w:rPr>
        <w:t xml:space="preserve"> no estarán sujetas al examen estipulado en el §</w:t>
      </w:r>
      <w:r w:rsidR="00D60AC3">
        <w:rPr>
          <w:lang w:val="es-ES_tradnl"/>
        </w:rPr>
        <w:t> </w:t>
      </w:r>
      <w:r w:rsidR="00A24F76" w:rsidRPr="00D60AC3">
        <w:rPr>
          <w:lang w:val="es-ES_tradnl"/>
        </w:rPr>
        <w:t xml:space="preserve">5.2 del Artículo 5 del Acuerdo, puesto que en esas atribuciones se estipula que no deben causar interferencia perjudicial al servicio de radiodifusión ni reclamar protección frente a ellas. Por consiguiente, se inscribirán en el Registro en las condiciones mencionadas </w:t>
      </w:r>
      <w:r w:rsidR="00A24F76" w:rsidRPr="00D60AC3">
        <w:rPr>
          <w:spacing w:val="-6"/>
          <w:szCs w:val="24"/>
          <w:lang w:val="es-ES_tradnl"/>
        </w:rPr>
        <w:t>en el número</w:t>
      </w:r>
      <w:r w:rsidR="00D60AC3" w:rsidRPr="00D60AC3">
        <w:rPr>
          <w:spacing w:val="-6"/>
          <w:szCs w:val="24"/>
          <w:lang w:val="es-ES_tradnl"/>
        </w:rPr>
        <w:t> </w:t>
      </w:r>
      <w:r w:rsidR="00A24F76" w:rsidRPr="00D60AC3">
        <w:rPr>
          <w:rStyle w:val="Artref"/>
          <w:b/>
          <w:color w:val="000000"/>
          <w:spacing w:val="-6"/>
          <w:szCs w:val="24"/>
          <w:lang w:val="es-ES_tradnl"/>
        </w:rPr>
        <w:t>5.43</w:t>
      </w:r>
      <w:r w:rsidR="00A24F76" w:rsidRPr="00D60AC3">
        <w:rPr>
          <w:spacing w:val="-6"/>
          <w:szCs w:val="24"/>
          <w:lang w:val="es-ES_tradnl"/>
        </w:rPr>
        <w:t xml:space="preserve"> con respecto al servicio de radiodifusión (símbolo</w:t>
      </w:r>
      <w:r w:rsidR="0046745A" w:rsidRPr="00D60AC3">
        <w:rPr>
          <w:spacing w:val="-6"/>
          <w:szCs w:val="24"/>
          <w:lang w:val="es-ES_tradnl"/>
        </w:rPr>
        <w:t xml:space="preserve"> </w:t>
      </w:r>
      <w:r w:rsidR="00A24F76" w:rsidRPr="00D60AC3">
        <w:rPr>
          <w:spacing w:val="-6"/>
          <w:szCs w:val="24"/>
          <w:lang w:val="es-ES_tradnl"/>
        </w:rPr>
        <w:t>R en la</w:t>
      </w:r>
      <w:r w:rsidR="00A24F76" w:rsidRPr="00D60AC3">
        <w:rPr>
          <w:lang w:val="es-ES_tradnl"/>
        </w:rPr>
        <w:t xml:space="preserve"> Columna</w:t>
      </w:r>
      <w:r w:rsidRPr="00D60AC3">
        <w:rPr>
          <w:lang w:val="es-ES_tradnl"/>
        </w:rPr>
        <w:t> </w:t>
      </w:r>
      <w:r w:rsidR="00A24F76" w:rsidRPr="00D60AC3">
        <w:rPr>
          <w:lang w:val="es-ES_tradnl"/>
        </w:rPr>
        <w:t>13B2).</w:t>
      </w:r>
    </w:p>
    <w:p w:rsidR="00A24F76" w:rsidRPr="00D60AC3" w:rsidRDefault="00A24F76" w:rsidP="00D60AC3">
      <w:pPr>
        <w:rPr>
          <w:lang w:val="es-ES_tradnl"/>
        </w:rPr>
      </w:pPr>
    </w:p>
    <w:p w:rsidR="00A24F76" w:rsidRPr="00D60AC3" w:rsidRDefault="00A24F76">
      <w:pPr>
        <w:jc w:val="center"/>
        <w:rPr>
          <w:lang w:val="es-ES_tradnl"/>
        </w:rPr>
      </w:pPr>
      <w:r w:rsidRPr="00D60AC3">
        <w:rPr>
          <w:lang w:val="es-ES_tradnl"/>
        </w:rPr>
        <w:t>____________________</w:t>
      </w: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pPr>
    </w:p>
    <w:p w:rsidR="00A24F76" w:rsidRPr="00D60AC3" w:rsidRDefault="00A24F76" w:rsidP="00D60AC3">
      <w:pPr>
        <w:rPr>
          <w:lang w:val="es-ES_tradnl"/>
        </w:rPr>
        <w:sectPr w:rsidR="00A24F76" w:rsidRPr="00D60AC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A24F76" w:rsidRPr="00D60AC3" w:rsidRDefault="00A24F76" w:rsidP="00D60AC3">
      <w:pPr>
        <w:rPr>
          <w:lang w:val="es-ES_tradnl"/>
        </w:rPr>
      </w:pPr>
    </w:p>
    <w:sectPr w:rsidR="00A24F76" w:rsidRPr="00D60AC3" w:rsidSect="00D60AC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EC7" w:rsidRDefault="00095EC7">
      <w:r>
        <w:separator/>
      </w:r>
    </w:p>
  </w:endnote>
  <w:endnote w:type="continuationSeparator" w:id="0">
    <w:p w:rsidR="00095EC7" w:rsidRDefault="0009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EC7" w:rsidRDefault="00095EC7">
      <w:r>
        <w:rPr>
          <w:b/>
        </w:rPr>
        <w:t>_______________</w:t>
      </w:r>
    </w:p>
  </w:footnote>
  <w:footnote w:type="continuationSeparator" w:id="0">
    <w:p w:rsidR="00095EC7" w:rsidRDefault="0009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15C1">
      <w:trPr>
        <w:cantSplit/>
      </w:trPr>
      <w:tc>
        <w:tcPr>
          <w:tcW w:w="1701" w:type="dxa"/>
          <w:tcBorders>
            <w:top w:val="single" w:sz="6" w:space="0" w:color="auto"/>
            <w:left w:val="single" w:sz="6" w:space="0" w:color="auto"/>
            <w:bottom w:val="single" w:sz="6" w:space="0" w:color="auto"/>
            <w:right w:val="single" w:sz="6" w:space="0" w:color="auto"/>
          </w:tcBorders>
        </w:tcPr>
        <w:p w:rsidR="00E415C1" w:rsidRDefault="00E415C1">
          <w:pPr>
            <w:pStyle w:val="HeaderRegProc"/>
          </w:pPr>
          <w:r>
            <w:t xml:space="preserve">Parte </w:t>
          </w:r>
          <w:r>
            <w:fldChar w:fldCharType="begin"/>
          </w:r>
          <w:r>
            <w:instrText>styleref href</w:instrText>
          </w:r>
          <w:r>
            <w:fldChar w:fldCharType="separate"/>
          </w:r>
          <w:r w:rsidR="00C627C7">
            <w:rPr>
              <w:noProof/>
            </w:rPr>
            <w:t>A6</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415C1" w:rsidRDefault="00E415C1">
          <w:pPr>
            <w:pStyle w:val="HeaderRegProc"/>
            <w:rPr>
              <w:lang w:val="fr-FR"/>
            </w:rPr>
          </w:pPr>
          <w:r>
            <w:fldChar w:fldCharType="begin"/>
          </w:r>
          <w:r>
            <w:instrText>styleref href2</w:instrText>
          </w:r>
          <w:r>
            <w:fldChar w:fldCharType="separate"/>
          </w:r>
          <w:r w:rsidR="00C627C7">
            <w:rPr>
              <w:noProof/>
            </w:rPr>
            <w:t>GE89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415C1" w:rsidRDefault="00E415C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627C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415C1" w:rsidRDefault="00E415C1" w:rsidP="00C421A1">
          <w:pPr>
            <w:pStyle w:val="HeaderRegProc"/>
            <w:rPr>
              <w:lang w:val="fr-CH"/>
            </w:rPr>
          </w:pPr>
          <w:r>
            <w:rPr>
              <w:lang w:val="fr-CH"/>
            </w:rPr>
            <w:t xml:space="preserve">rev. </w:t>
          </w:r>
          <w:r w:rsidR="00C421A1">
            <w:rPr>
              <w:lang w:val="fr-CH"/>
            </w:rPr>
            <w:t>-</w:t>
          </w:r>
        </w:p>
      </w:tc>
    </w:tr>
  </w:tbl>
  <w:p w:rsidR="00E415C1" w:rsidRDefault="00E415C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421A1" w:rsidTr="00C421A1">
      <w:trPr>
        <w:cantSplit/>
        <w:jc w:val="right"/>
      </w:trPr>
      <w:tc>
        <w:tcPr>
          <w:tcW w:w="1701" w:type="dxa"/>
          <w:tcBorders>
            <w:top w:val="single" w:sz="6" w:space="0" w:color="auto"/>
            <w:left w:val="single" w:sz="6" w:space="0" w:color="auto"/>
            <w:bottom w:val="single" w:sz="6" w:space="0" w:color="auto"/>
            <w:right w:val="single" w:sz="6" w:space="0" w:color="auto"/>
          </w:tcBorders>
        </w:tcPr>
        <w:p w:rsidR="00C421A1" w:rsidRDefault="00C421A1" w:rsidP="00C421A1">
          <w:pPr>
            <w:pStyle w:val="HeaderRegProc"/>
          </w:pPr>
          <w:r>
            <w:t xml:space="preserve">Parte </w:t>
          </w:r>
          <w:r>
            <w:fldChar w:fldCharType="begin"/>
          </w:r>
          <w:r>
            <w:instrText>styleref href</w:instrText>
          </w:r>
          <w:r>
            <w:fldChar w:fldCharType="separate"/>
          </w:r>
          <w:r w:rsidR="00C627C7">
            <w:rPr>
              <w:noProof/>
            </w:rPr>
            <w:t>A6</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421A1" w:rsidRDefault="00C421A1" w:rsidP="00C421A1">
          <w:pPr>
            <w:pStyle w:val="HeaderRegProc"/>
            <w:rPr>
              <w:lang w:val="fr-FR"/>
            </w:rPr>
          </w:pPr>
          <w:r>
            <w:fldChar w:fldCharType="begin"/>
          </w:r>
          <w:r>
            <w:instrText>styleref href2</w:instrText>
          </w:r>
          <w:r>
            <w:fldChar w:fldCharType="separate"/>
          </w:r>
          <w:r w:rsidR="00C627C7">
            <w:rPr>
              <w:noProof/>
            </w:rPr>
            <w:t>GE89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421A1" w:rsidRDefault="00C421A1" w:rsidP="00C4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627C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421A1" w:rsidRDefault="00C421A1" w:rsidP="00C421A1">
          <w:pPr>
            <w:pStyle w:val="HeaderRegProc"/>
            <w:rPr>
              <w:lang w:val="fr-CH"/>
            </w:rPr>
          </w:pPr>
          <w:r>
            <w:rPr>
              <w:lang w:val="fr-CH"/>
            </w:rPr>
            <w:t>rev. -</w:t>
          </w:r>
        </w:p>
      </w:tc>
    </w:tr>
  </w:tbl>
  <w:p w:rsidR="00C421A1" w:rsidRDefault="00C42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F36" w:rsidRDefault="002C2F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264"/>
    <w:rsid w:val="0006485F"/>
    <w:rsid w:val="00095EC7"/>
    <w:rsid w:val="001F6CD2"/>
    <w:rsid w:val="00204663"/>
    <w:rsid w:val="00223736"/>
    <w:rsid w:val="002A10F8"/>
    <w:rsid w:val="002C2F36"/>
    <w:rsid w:val="003860FD"/>
    <w:rsid w:val="0046745A"/>
    <w:rsid w:val="00794D8E"/>
    <w:rsid w:val="00895C84"/>
    <w:rsid w:val="008F54EA"/>
    <w:rsid w:val="0097790F"/>
    <w:rsid w:val="00A24F76"/>
    <w:rsid w:val="00A969D2"/>
    <w:rsid w:val="00BA08BD"/>
    <w:rsid w:val="00C421A1"/>
    <w:rsid w:val="00C627C7"/>
    <w:rsid w:val="00D60AC3"/>
    <w:rsid w:val="00D858BC"/>
    <w:rsid w:val="00DD1872"/>
    <w:rsid w:val="00DF3264"/>
    <w:rsid w:val="00E415C1"/>
    <w:rsid w:val="00E96E48"/>
    <w:rsid w:val="00F21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F24F7"/>
  <w15:docId w15:val="{6E46A40C-C29E-49DB-A15C-50756E15D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TotalTime>
  <Pages>4</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GE89 du RR</dc:subject>
  <dc:creator>Composition des Publications</dc:creator>
  <cp:keywords>FOLIOS:  1  -  4(bl)</cp:keywords>
  <dc:description>Edition 2009:  16.02.2009/DD  (dict. ok)</dc:description>
  <cp:lastModifiedBy>Gachet, Christelle</cp:lastModifiedBy>
  <cp:revision>16</cp:revision>
  <cp:lastPrinted>2017-05-15T11:15:00Z</cp:lastPrinted>
  <dcterms:created xsi:type="dcterms:W3CDTF">2012-10-03T07:09:00Z</dcterms:created>
  <dcterms:modified xsi:type="dcterms:W3CDTF">2017-05-15T11:15:00Z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