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307" w:rsidRDefault="00A85307" w:rsidP="004859A8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 xml:space="preserve">PARTE  </w:t>
      </w:r>
      <w:r>
        <w:rPr>
          <w:rStyle w:val="href"/>
          <w:lang w:val="es-ES"/>
        </w:rPr>
        <w:t>A5</w:t>
      </w:r>
    </w:p>
    <w:p w:rsidR="00A85307" w:rsidRDefault="00A85307" w:rsidP="004859A8">
      <w:pPr>
        <w:pStyle w:val="Parttitle"/>
        <w:rPr>
          <w:lang w:val="es-ES"/>
        </w:rPr>
      </w:pPr>
      <w:r>
        <w:rPr>
          <w:lang w:val="es-ES"/>
        </w:rPr>
        <w:t>Reglas relativas al Acuerdo Regional sobre la utilización de</w:t>
      </w:r>
      <w:r>
        <w:rPr>
          <w:lang w:val="es-ES"/>
        </w:rPr>
        <w:br/>
        <w:t>la banda 87,5-108 MHz por la radiodifusión sonora con</w:t>
      </w:r>
      <w:r>
        <w:rPr>
          <w:lang w:val="es-ES"/>
        </w:rPr>
        <w:br/>
        <w:t>modulación de frecuencia (Ginebra, 1984) (</w:t>
      </w:r>
      <w:r>
        <w:rPr>
          <w:rStyle w:val="href2"/>
        </w:rPr>
        <w:t>GE84</w:t>
      </w:r>
      <w:r>
        <w:rPr>
          <w:lang w:val="es-ES"/>
        </w:rPr>
        <w:t>)</w:t>
      </w:r>
    </w:p>
    <w:p w:rsidR="00F01902" w:rsidRPr="00F01902" w:rsidRDefault="00F01902" w:rsidP="00F01902">
      <w:pPr>
        <w:spacing w:before="0"/>
        <w:rPr>
          <w:lang w:val="es-ES"/>
        </w:rPr>
      </w:pPr>
    </w:p>
    <w:p w:rsidR="00A85307" w:rsidRDefault="00A85307" w:rsidP="004859A8">
      <w:pPr>
        <w:pStyle w:val="Heading1"/>
        <w:rPr>
          <w:lang w:val="es-ES"/>
        </w:rPr>
      </w:pPr>
      <w:r>
        <w:rPr>
          <w:lang w:val="es-ES"/>
        </w:rPr>
        <w:t>1</w:t>
      </w:r>
      <w:r>
        <w:rPr>
          <w:lang w:val="es-ES"/>
        </w:rPr>
        <w:tab/>
        <w:t>Aceptabilidad de las notificaciones</w:t>
      </w:r>
    </w:p>
    <w:p w:rsidR="00A85307" w:rsidRDefault="00A85307">
      <w:pPr>
        <w:rPr>
          <w:lang w:val="es-ES"/>
        </w:rPr>
      </w:pPr>
      <w:r>
        <w:rPr>
          <w:lang w:val="es-ES"/>
        </w:rPr>
        <w:t>Al aplicar el Acuerdo Regional sobre la utilización de la banda 87,5-108 MHz para la radio</w:t>
      </w:r>
      <w:r>
        <w:rPr>
          <w:lang w:val="es-ES"/>
        </w:rPr>
        <w:softHyphen/>
        <w:t>difusión sonora con modulación de frecuencia (Ginebra, 1984), la Oficina utilizará los proce</w:t>
      </w:r>
      <w:r>
        <w:rPr>
          <w:lang w:val="es-ES"/>
        </w:rPr>
        <w:softHyphen/>
        <w:t>dimientos contenidos en los Artículos 4, 5 y 7 del Acuerdo y los criterios técnicos asociados con respecto a las notificaciones recibidas de todas las administraciones que tengan territorios en la zona de planificación (todas las administraciones de la Región 1, la República Islámica del Irán y Afganistán), con la excepción de la Administración de Islandia, siempre que la esta</w:t>
      </w:r>
      <w:r>
        <w:rPr>
          <w:lang w:val="es-ES"/>
        </w:rPr>
        <w:softHyphen/>
        <w:t>ción correspondiente se encuentre situada dentro de la zona de planificación.</w:t>
      </w:r>
    </w:p>
    <w:p w:rsidR="00871E64" w:rsidRPr="00686DEB" w:rsidRDefault="00871E64" w:rsidP="00871E64">
      <w:pPr>
        <w:pStyle w:val="Heading8"/>
      </w:pPr>
      <w:r w:rsidRPr="00686DEB">
        <w:t>Art. 4</w:t>
      </w:r>
      <w:r w:rsidRPr="00686DEB">
        <w:tab/>
      </w:r>
      <w:r w:rsidRPr="00686DEB">
        <w:tab/>
      </w:r>
      <w:r w:rsidRPr="00686DEB">
        <w:rPr>
          <w:bCs/>
          <w:sz w:val="16"/>
          <w:szCs w:val="16"/>
        </w:rPr>
        <w:t xml:space="preserve">(ADD </w:t>
      </w:r>
      <w:r w:rsidRPr="00724F43">
        <w:rPr>
          <w:bCs/>
          <w:sz w:val="16"/>
          <w:szCs w:val="16"/>
        </w:rPr>
        <w:t>RRB19/81</w:t>
      </w:r>
      <w:r w:rsidRPr="00686DEB">
        <w:rPr>
          <w:bCs/>
          <w:sz w:val="16"/>
          <w:szCs w:val="16"/>
        </w:rPr>
        <w:t>)</w:t>
      </w:r>
    </w:p>
    <w:p w:rsidR="00871E64" w:rsidRPr="00E54C6D" w:rsidRDefault="00871E64" w:rsidP="00871E64">
      <w:pPr>
        <w:keepNext/>
        <w:keepLines/>
        <w:spacing w:before="240"/>
        <w:jc w:val="center"/>
        <w:outlineLvl w:val="1"/>
        <w:rPr>
          <w:b/>
          <w:sz w:val="26"/>
        </w:rPr>
      </w:pPr>
      <w:r w:rsidRPr="00E54C6D">
        <w:rPr>
          <w:b/>
          <w:sz w:val="26"/>
        </w:rPr>
        <w:t>Procedimiento para las modificaciones del Plan</w:t>
      </w:r>
    </w:p>
    <w:p w:rsidR="00871E64" w:rsidRPr="00686DEB" w:rsidRDefault="00871E64" w:rsidP="00871E64">
      <w:pPr>
        <w:pStyle w:val="Heading9"/>
      </w:pPr>
      <w:r w:rsidRPr="00686DEB">
        <w:t>4.6.1</w:t>
      </w:r>
    </w:p>
    <w:p w:rsidR="00871E64" w:rsidRPr="00E54C6D" w:rsidRDefault="00871E64" w:rsidP="00871E64">
      <w:r w:rsidRPr="00E54C6D">
        <w:t>Cuando, en aplicación del § 4.6.1 del Acuerdo, una administración no comunique a la Oficina las características definitivas de la asignación, tras un periodo de dos años y 100</w:t>
      </w:r>
      <w:r w:rsidR="00606920">
        <w:t> </w:t>
      </w:r>
      <w:r w:rsidRPr="00E54C6D">
        <w:t>días desde la fecha de su publicación en la Parte A de una Sección Especial GE84, la modificación caducará y se dev</w:t>
      </w:r>
      <w:bookmarkStart w:id="0" w:name="_GoBack"/>
      <w:bookmarkEnd w:id="0"/>
      <w:r w:rsidRPr="00E54C6D">
        <w:t>olverá a la administración notificante. Dos meses antes de que finalice este periodo de dos años y 100</w:t>
      </w:r>
      <w:r w:rsidR="00606920">
        <w:t> </w:t>
      </w:r>
      <w:r w:rsidRPr="00E54C6D">
        <w:t xml:space="preserve">días </w:t>
      </w:r>
      <w:r w:rsidR="003A529A">
        <w:t xml:space="preserve">para la devolución de la modificación </w:t>
      </w:r>
      <w:r w:rsidRPr="00E54C6D">
        <w:t>la Oficina enviará un recordatorio a la administración notificante.</w:t>
      </w:r>
    </w:p>
    <w:p w:rsidR="00871E64" w:rsidRPr="00E54C6D" w:rsidRDefault="00871E64" w:rsidP="00871E64">
      <w:r w:rsidRPr="00E54C6D">
        <w:t>La administración podrá volver a presentar la asignación y seguir el procedimiento completo del Artículo</w:t>
      </w:r>
      <w:r w:rsidR="00606920">
        <w:t> </w:t>
      </w:r>
      <w:r w:rsidRPr="00E54C6D">
        <w:t>4 del Acuerdo. La fecha en que la Oficina reciba la nueva presentación se considerará la nueva fecha de recepción de la modificación propuesta.</w:t>
      </w:r>
    </w:p>
    <w:p w:rsidR="00A85307" w:rsidRDefault="00A85307" w:rsidP="00871E64">
      <w:pPr>
        <w:rPr>
          <w:lang w:val="es-ES"/>
        </w:rPr>
      </w:pPr>
    </w:p>
    <w:p w:rsidR="00871E64" w:rsidRDefault="00871E64" w:rsidP="004859A8">
      <w:pPr>
        <w:rPr>
          <w:lang w:val="es-ES"/>
        </w:rPr>
      </w:pPr>
    </w:p>
    <w:p w:rsidR="00A85307" w:rsidRDefault="00A85307">
      <w:pPr>
        <w:jc w:val="center"/>
      </w:pPr>
      <w:r>
        <w:t>____________________</w:t>
      </w:r>
    </w:p>
    <w:p w:rsidR="00A85307" w:rsidRDefault="00A85307" w:rsidP="004859A8"/>
    <w:p w:rsidR="004859A8" w:rsidRDefault="004859A8" w:rsidP="004859A8">
      <w:pPr>
        <w:rPr>
          <w:lang w:val="en-US"/>
        </w:rPr>
      </w:pPr>
    </w:p>
    <w:p w:rsidR="004859A8" w:rsidRDefault="004859A8" w:rsidP="004859A8">
      <w:pPr>
        <w:rPr>
          <w:lang w:val="en-US"/>
        </w:rPr>
      </w:pPr>
    </w:p>
    <w:p w:rsidR="00F01902" w:rsidRDefault="00F01902" w:rsidP="004859A8">
      <w:pPr>
        <w:rPr>
          <w:lang w:val="en-US"/>
        </w:rPr>
      </w:pPr>
    </w:p>
    <w:p w:rsidR="00A85307" w:rsidRDefault="00A85307" w:rsidP="004859A8">
      <w:pPr>
        <w:rPr>
          <w:lang w:val="en-US"/>
        </w:rPr>
        <w:sectPr w:rsidR="00A8530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A85307" w:rsidRDefault="00A85307" w:rsidP="004859A8">
      <w:pPr>
        <w:rPr>
          <w:lang w:val="en-US"/>
        </w:rPr>
      </w:pPr>
    </w:p>
    <w:sectPr w:rsidR="00A85307" w:rsidSect="004859A8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A0C" w:rsidRDefault="00ED3A0C">
      <w:r>
        <w:separator/>
      </w:r>
    </w:p>
  </w:endnote>
  <w:endnote w:type="continuationSeparator" w:id="0">
    <w:p w:rsidR="00ED3A0C" w:rsidRDefault="00ED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A0C" w:rsidRDefault="00ED3A0C">
      <w:r>
        <w:rPr>
          <w:b/>
        </w:rPr>
        <w:t>_______________</w:t>
      </w:r>
    </w:p>
  </w:footnote>
  <w:footnote w:type="continuationSeparator" w:id="0">
    <w:p w:rsidR="00ED3A0C" w:rsidRDefault="00ED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530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85307" w:rsidRDefault="00A85307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667278">
            <w:rPr>
              <w:noProof/>
            </w:rPr>
            <w:t>A5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85307" w:rsidRDefault="00591416">
          <w:pPr>
            <w:pStyle w:val="HeaderRegProc"/>
            <w:rPr>
              <w:lang w:val="fr-FR"/>
            </w:rPr>
          </w:pPr>
          <w:fldSimple w:instr=" DOCPROPERTY &quot;Header1&quot; \* MERGEFORMAT ">
            <w:r w:rsidR="00667278">
              <w:t>AP</w:t>
            </w:r>
          </w:fldSimple>
          <w:r w:rsidR="00A85307">
            <w:fldChar w:fldCharType="begin"/>
          </w:r>
          <w:r w:rsidR="00A85307">
            <w:instrText>styleref href2</w:instrText>
          </w:r>
          <w:r w:rsidR="00A85307">
            <w:fldChar w:fldCharType="separate"/>
          </w:r>
          <w:r w:rsidR="00667278">
            <w:rPr>
              <w:noProof/>
            </w:rPr>
            <w:t>GE84</w:t>
          </w:r>
          <w:r w:rsidR="00A85307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85307" w:rsidRDefault="00A85307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BA5110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85307" w:rsidRDefault="00A85307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667278">
            <w:rPr>
              <w:lang w:val="fr-CH"/>
            </w:rPr>
            <w:t>-</w:t>
          </w:r>
          <w:r>
            <w:fldChar w:fldCharType="end"/>
          </w:r>
        </w:p>
      </w:tc>
    </w:tr>
  </w:tbl>
  <w:p w:rsidR="00A85307" w:rsidRDefault="00A85307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530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85307" w:rsidRDefault="00A85307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667278">
            <w:rPr>
              <w:noProof/>
            </w:rPr>
            <w:t>A5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85307" w:rsidRDefault="00A85307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667278">
            <w:rPr>
              <w:noProof/>
            </w:rPr>
            <w:t>GE84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85307" w:rsidRDefault="00A85307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67278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85307" w:rsidRDefault="00A85307" w:rsidP="00871E64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71E64">
            <w:t>4</w:t>
          </w:r>
        </w:p>
      </w:tc>
    </w:tr>
  </w:tbl>
  <w:p w:rsidR="00A85307" w:rsidRDefault="00A85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307" w:rsidRDefault="00A853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07"/>
    <w:rsid w:val="000244A2"/>
    <w:rsid w:val="003A529A"/>
    <w:rsid w:val="00455350"/>
    <w:rsid w:val="004859A8"/>
    <w:rsid w:val="00591416"/>
    <w:rsid w:val="00606920"/>
    <w:rsid w:val="00667278"/>
    <w:rsid w:val="007C46BA"/>
    <w:rsid w:val="00871E64"/>
    <w:rsid w:val="00A85307"/>
    <w:rsid w:val="00BA5110"/>
    <w:rsid w:val="00DB3E2C"/>
    <w:rsid w:val="00E110DC"/>
    <w:rsid w:val="00ED3A0C"/>
    <w:rsid w:val="00F0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4D0FA7"/>
  <w15:docId w15:val="{AF4D5DCE-358E-4BD1-A0D5-AB9EC154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link w:val="Heading8Char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character" w:customStyle="1" w:styleId="Heading8Char">
    <w:name w:val="Heading 8 Char"/>
    <w:basedOn w:val="DefaultParagraphFont"/>
    <w:link w:val="Heading8"/>
    <w:rsid w:val="00871E64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1E64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23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GE84 du RR</dc:subject>
  <dc:creator>Composition des Publications</dc:creator>
  <cp:keywords>FOLIOS:  1  -  2(bl)</cp:keywords>
  <dc:description>Edition 2009:  16.02.2009/DD (dict. ok)</dc:description>
  <cp:lastModifiedBy>Martinez Romera, Angel</cp:lastModifiedBy>
  <cp:revision>10</cp:revision>
  <cp:lastPrinted>2019-07-30T08:14:00Z</cp:lastPrinted>
  <dcterms:created xsi:type="dcterms:W3CDTF">2012-10-03T07:01:00Z</dcterms:created>
  <dcterms:modified xsi:type="dcterms:W3CDTF">2019-07-30T08:15:00Z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