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2B7" w:rsidRPr="00376552" w:rsidRDefault="00EA22B7" w:rsidP="00400F7B">
      <w:pPr>
        <w:pStyle w:val="Heading1"/>
        <w:spacing w:before="300"/>
        <w:jc w:val="center"/>
        <w:rPr>
          <w:lang w:val="es-ES_tradnl"/>
        </w:rPr>
      </w:pPr>
      <w:r w:rsidRPr="00376552">
        <w:rPr>
          <w:lang w:val="es-ES_tradnl"/>
        </w:rPr>
        <w:t xml:space="preserve">PARTE  </w:t>
      </w:r>
      <w:r w:rsidRPr="00376552">
        <w:rPr>
          <w:rStyle w:val="href"/>
          <w:lang w:val="es-ES_tradnl"/>
        </w:rPr>
        <w:t>A2</w:t>
      </w:r>
    </w:p>
    <w:p w:rsidR="00EA22B7" w:rsidRPr="00376552" w:rsidRDefault="00EA22B7" w:rsidP="008F6821">
      <w:pPr>
        <w:pStyle w:val="Heading1"/>
        <w:ind w:left="0" w:firstLine="0"/>
        <w:jc w:val="center"/>
        <w:rPr>
          <w:lang w:val="es-ES_tradnl"/>
        </w:rPr>
      </w:pPr>
      <w:r w:rsidRPr="00376552">
        <w:rPr>
          <w:lang w:val="es-ES_tradnl"/>
        </w:rPr>
        <w:t>Reglas relativas al Acuerdo Regional para la Zona Europea de</w:t>
      </w:r>
      <w:r w:rsidR="008F6821">
        <w:rPr>
          <w:lang w:val="es-ES_tradnl"/>
        </w:rPr>
        <w:br/>
      </w:r>
      <w:r w:rsidRPr="00376552">
        <w:rPr>
          <w:lang w:val="es-ES_tradnl"/>
        </w:rPr>
        <w:t>Radiodifusión sobre la utilización de frecuencias por el servicio</w:t>
      </w:r>
      <w:r w:rsidR="008F6821">
        <w:rPr>
          <w:lang w:val="es-ES_tradnl"/>
        </w:rPr>
        <w:br/>
      </w:r>
      <w:r w:rsidRPr="00376552">
        <w:rPr>
          <w:lang w:val="es-ES_tradnl"/>
        </w:rPr>
        <w:t>de</w:t>
      </w:r>
      <w:r w:rsidR="008F6821">
        <w:rPr>
          <w:lang w:val="es-ES_tradnl"/>
        </w:rPr>
        <w:t xml:space="preserve"> </w:t>
      </w:r>
      <w:r w:rsidRPr="00376552">
        <w:rPr>
          <w:lang w:val="es-ES_tradnl"/>
        </w:rPr>
        <w:t>radiodifusión en las bandas de ondas métricas y decimétricas</w:t>
      </w:r>
      <w:r w:rsidRPr="00376552">
        <w:rPr>
          <w:lang w:val="es-ES_tradnl"/>
        </w:rPr>
        <w:br/>
        <w:t>(Estocolmo, 1961) (</w:t>
      </w:r>
      <w:r w:rsidRPr="00376552">
        <w:rPr>
          <w:rStyle w:val="href2"/>
          <w:lang w:val="es-ES_tradnl"/>
        </w:rPr>
        <w:t>ST61</w:t>
      </w:r>
      <w:r w:rsidRPr="00376552">
        <w:rPr>
          <w:lang w:val="es-ES_tradnl"/>
        </w:rPr>
        <w:t>)</w:t>
      </w:r>
    </w:p>
    <w:p w:rsidR="003E28FE" w:rsidRPr="00376552" w:rsidRDefault="003E28FE" w:rsidP="00400F7B">
      <w:pPr>
        <w:pStyle w:val="Heading1"/>
        <w:rPr>
          <w:lang w:val="es-ES_tradnl"/>
        </w:rPr>
      </w:pPr>
      <w:r w:rsidRPr="00376552">
        <w:rPr>
          <w:lang w:val="es-ES_tradnl"/>
        </w:rPr>
        <w:t>1</w:t>
      </w:r>
      <w:r w:rsidRPr="00376552">
        <w:rPr>
          <w:lang w:val="es-ES_tradnl"/>
        </w:rPr>
        <w:tab/>
      </w:r>
      <w:r w:rsidR="00145C0A" w:rsidRPr="00376552">
        <w:rPr>
          <w:lang w:val="es-ES_tradnl"/>
        </w:rPr>
        <w:t>Cometido</w:t>
      </w:r>
      <w:r w:rsidRPr="00376552">
        <w:rPr>
          <w:lang w:val="es-ES_tradnl"/>
        </w:rPr>
        <w:t xml:space="preserve"> del Acuerdo</w:t>
      </w:r>
    </w:p>
    <w:p w:rsidR="003E28FE" w:rsidRPr="00376552" w:rsidRDefault="003E28FE" w:rsidP="00376552">
      <w:pPr>
        <w:rPr>
          <w:lang w:val="es-ES_tradnl"/>
        </w:rPr>
      </w:pPr>
      <w:r w:rsidRPr="00376552">
        <w:rPr>
          <w:lang w:val="es-ES_tradnl"/>
        </w:rPr>
        <w:t xml:space="preserve">Tras las revisiones del Acuerdo ST61 realizadas en 1985 y 2006, y de conformidad con el Cuadro de atribución de bandas de frecuencias contenido en el Artículo </w:t>
      </w:r>
      <w:r w:rsidRPr="00376552">
        <w:rPr>
          <w:rStyle w:val="Artref"/>
          <w:b/>
          <w:color w:val="auto"/>
          <w:lang w:val="es-ES_tradnl"/>
        </w:rPr>
        <w:t>5</w:t>
      </w:r>
      <w:r w:rsidRPr="00376552">
        <w:rPr>
          <w:lang w:val="es-ES_tradnl"/>
        </w:rPr>
        <w:t xml:space="preserve"> del Reglamento de Radiocomunicaciones (RR) (Edición de</w:t>
      </w:r>
      <w:r w:rsidR="00376552" w:rsidRPr="00376552">
        <w:rPr>
          <w:lang w:val="es-ES_tradnl"/>
        </w:rPr>
        <w:t xml:space="preserve"> </w:t>
      </w:r>
      <w:r w:rsidRPr="00376552">
        <w:rPr>
          <w:lang w:val="es-ES_tradnl"/>
        </w:rPr>
        <w:t>2004), el Acuerdo ST61 controla, a partir del 17 </w:t>
      </w:r>
      <w:r w:rsidR="00376552" w:rsidRPr="00376552">
        <w:rPr>
          <w:rFonts w:ascii="Tms Rmn" w:hAnsi="Tms Rmn"/>
          <w:sz w:val="12"/>
          <w:lang w:val="es-ES_tradnl"/>
        </w:rPr>
        <w:t> </w:t>
      </w:r>
      <w:r w:rsidRPr="00376552">
        <w:rPr>
          <w:lang w:val="es-ES_tradnl"/>
        </w:rPr>
        <w:t>de </w:t>
      </w:r>
      <w:r w:rsidR="00376552" w:rsidRPr="00376552">
        <w:rPr>
          <w:rFonts w:ascii="Tms Rmn" w:hAnsi="Tms Rmn"/>
          <w:sz w:val="12"/>
          <w:lang w:val="es-ES_tradnl"/>
        </w:rPr>
        <w:t> </w:t>
      </w:r>
      <w:r w:rsidRPr="00376552">
        <w:rPr>
          <w:lang w:val="es-ES_tradnl"/>
        </w:rPr>
        <w:t>junio de 2006, la utilización de las siguientes bandas de frecuencias por el servicio de radiodifusión</w:t>
      </w:r>
      <w:r w:rsidR="00145C0A" w:rsidRPr="00376552">
        <w:rPr>
          <w:lang w:val="es-ES_tradnl"/>
        </w:rPr>
        <w:t xml:space="preserve"> </w:t>
      </w:r>
      <w:r w:rsidRPr="00376552">
        <w:rPr>
          <w:lang w:val="es-ES_tradnl"/>
        </w:rPr>
        <w:t>dentro de la Zona Europea de Radiodifusión:</w:t>
      </w:r>
    </w:p>
    <w:p w:rsidR="003E28FE" w:rsidRPr="00376552" w:rsidRDefault="003E28FE" w:rsidP="003E28FE">
      <w:pPr>
        <w:pStyle w:val="enumlev1"/>
        <w:rPr>
          <w:lang w:val="es-ES_tradnl"/>
        </w:rPr>
      </w:pPr>
      <w:r w:rsidRPr="00376552">
        <w:rPr>
          <w:lang w:val="es-ES_tradnl"/>
        </w:rPr>
        <w:t>–</w:t>
      </w:r>
      <w:r w:rsidRPr="00376552">
        <w:rPr>
          <w:lang w:val="es-ES_tradnl"/>
        </w:rPr>
        <w:tab/>
        <w:t>47-68 MHz (radiodifusión sonora y televisión);</w:t>
      </w:r>
    </w:p>
    <w:p w:rsidR="003E28FE" w:rsidRPr="00376552" w:rsidRDefault="003E28FE" w:rsidP="003E28FE">
      <w:pPr>
        <w:pStyle w:val="enumlev1"/>
        <w:rPr>
          <w:lang w:val="es-ES_tradnl"/>
        </w:rPr>
      </w:pPr>
      <w:r w:rsidRPr="00376552">
        <w:rPr>
          <w:lang w:val="es-ES_tradnl"/>
        </w:rPr>
        <w:t>–</w:t>
      </w:r>
      <w:r w:rsidRPr="00376552">
        <w:rPr>
          <w:lang w:val="es-ES_tradnl"/>
        </w:rPr>
        <w:tab/>
        <w:t>87,5-100 MHz (televisión); y</w:t>
      </w:r>
    </w:p>
    <w:p w:rsidR="003E28FE" w:rsidRPr="00376552" w:rsidRDefault="003E28FE" w:rsidP="003E28FE">
      <w:pPr>
        <w:pStyle w:val="enumlev1"/>
        <w:rPr>
          <w:lang w:val="es-ES_tradnl"/>
        </w:rPr>
      </w:pPr>
      <w:r w:rsidRPr="00376552">
        <w:rPr>
          <w:lang w:val="es-ES_tradnl"/>
        </w:rPr>
        <w:t>–</w:t>
      </w:r>
      <w:r w:rsidRPr="00376552">
        <w:rPr>
          <w:lang w:val="es-ES_tradnl"/>
        </w:rPr>
        <w:tab/>
        <w:t>162-170 MHz (televisión).</w:t>
      </w:r>
    </w:p>
    <w:p w:rsidR="00EA22B7" w:rsidRPr="00376552" w:rsidRDefault="003E28FE" w:rsidP="00376552">
      <w:pPr>
        <w:pStyle w:val="Heading1"/>
        <w:rPr>
          <w:lang w:val="es-ES_tradnl"/>
        </w:rPr>
      </w:pPr>
      <w:r w:rsidRPr="00376552">
        <w:rPr>
          <w:lang w:val="es-ES_tradnl"/>
        </w:rPr>
        <w:t>2</w:t>
      </w:r>
      <w:r w:rsidR="00EA22B7" w:rsidRPr="00376552">
        <w:rPr>
          <w:lang w:val="es-ES_tradnl"/>
        </w:rPr>
        <w:tab/>
        <w:t>Aceptabilidad de las notificaciones</w:t>
      </w:r>
    </w:p>
    <w:p w:rsidR="00EA22B7" w:rsidRDefault="00EA22B7" w:rsidP="00376552">
      <w:pPr>
        <w:rPr>
          <w:lang w:val="es-ES_tradnl"/>
        </w:rPr>
      </w:pPr>
      <w:r w:rsidRPr="00376552">
        <w:rPr>
          <w:lang w:val="es-ES_tradnl"/>
        </w:rPr>
        <w:t>Al aplicar el Acuerdo Regional para la Zona Europea de Radiodifusión sobre la utilización de frecuencias por el servicio de radiodifusión en las bandas de ondas métricas y decimétricas (Estocolmo, 1961), la Oficina utilizará los procedimientos contenidos en los Artículos 4 y 5 del Acuerdo y los criterios técnicos asociados con respecto a las notificaciones recibidas de todas las administraciones que tengan territorios en la Zona Europea de Radiodifusión, definida en el número</w:t>
      </w:r>
      <w:r w:rsidR="00376552">
        <w:rPr>
          <w:lang w:val="es-ES_tradnl"/>
        </w:rPr>
        <w:t xml:space="preserve"> </w:t>
      </w:r>
      <w:r w:rsidRPr="00376552">
        <w:rPr>
          <w:rStyle w:val="Artref"/>
          <w:b/>
          <w:bCs/>
          <w:color w:val="000000"/>
          <w:lang w:val="es-ES_tradnl"/>
        </w:rPr>
        <w:t>5.14</w:t>
      </w:r>
      <w:r w:rsidRPr="00376552">
        <w:rPr>
          <w:rStyle w:val="Artref0"/>
          <w:b/>
          <w:bCs/>
          <w:lang w:val="es-ES_tradnl"/>
        </w:rPr>
        <w:t xml:space="preserve"> </w:t>
      </w:r>
      <w:r w:rsidRPr="00376552">
        <w:rPr>
          <w:rStyle w:val="Artref0"/>
          <w:lang w:val="es-ES_tradnl"/>
        </w:rPr>
        <w:t>del R</w:t>
      </w:r>
      <w:r w:rsidR="003E28FE" w:rsidRPr="00376552">
        <w:rPr>
          <w:rStyle w:val="Artref0"/>
          <w:lang w:val="es-ES_tradnl"/>
        </w:rPr>
        <w:t>R</w:t>
      </w:r>
      <w:r w:rsidRPr="00376552">
        <w:rPr>
          <w:lang w:val="es-ES_tradnl"/>
        </w:rPr>
        <w:t>, siempre que la esta</w:t>
      </w:r>
      <w:r w:rsidRPr="00376552">
        <w:rPr>
          <w:lang w:val="es-ES_tradnl"/>
        </w:rPr>
        <w:softHyphen/>
        <w:t>ción correspondiente se encuentre situada dentro de la zona de planificación.</w:t>
      </w:r>
    </w:p>
    <w:p w:rsidR="00953F44" w:rsidRPr="00376552" w:rsidRDefault="00953F44" w:rsidP="00953F44">
      <w:pPr>
        <w:spacing w:before="0"/>
        <w:rPr>
          <w:lang w:val="es-ES_tradnl"/>
        </w:rPr>
      </w:pPr>
    </w:p>
    <w:p w:rsidR="00EA22B7" w:rsidRPr="00376552" w:rsidRDefault="00EA22B7" w:rsidP="00376552">
      <w:pPr>
        <w:pStyle w:val="Heading8"/>
        <w:rPr>
          <w:lang w:val="es-ES_tradnl"/>
        </w:rPr>
      </w:pPr>
      <w:r w:rsidRPr="00376552">
        <w:rPr>
          <w:lang w:val="es-ES_tradnl"/>
        </w:rPr>
        <w:t>Art. 2</w:t>
      </w:r>
    </w:p>
    <w:p w:rsidR="00EA22B7" w:rsidRPr="00376552" w:rsidRDefault="00EA22B7" w:rsidP="00376552">
      <w:pPr>
        <w:pStyle w:val="Heading2"/>
        <w:jc w:val="center"/>
        <w:rPr>
          <w:lang w:val="es-ES_tradnl"/>
        </w:rPr>
      </w:pPr>
      <w:r w:rsidRPr="00376552">
        <w:rPr>
          <w:lang w:val="es-ES_tradnl"/>
        </w:rPr>
        <w:t>Ejecución del Acuerdo</w:t>
      </w:r>
    </w:p>
    <w:p w:rsidR="00EA22B7" w:rsidRPr="00376552" w:rsidRDefault="00EA22B7">
      <w:pPr>
        <w:pStyle w:val="Heading9"/>
        <w:rPr>
          <w:lang w:val="es-ES_tradnl"/>
        </w:rPr>
      </w:pPr>
      <w:r w:rsidRPr="00376552">
        <w:rPr>
          <w:lang w:val="es-ES_tradnl"/>
        </w:rPr>
        <w:t>1</w:t>
      </w:r>
    </w:p>
    <w:p w:rsidR="00030EF6" w:rsidRDefault="00EA22B7">
      <w:pPr>
        <w:rPr>
          <w:lang w:val="es-ES_tradnl"/>
        </w:rPr>
      </w:pPr>
      <w:r w:rsidRPr="00376552">
        <w:rPr>
          <w:lang w:val="es-ES_tradnl"/>
        </w:rPr>
        <w:t>1</w:t>
      </w:r>
      <w:r w:rsidRPr="00376552">
        <w:rPr>
          <w:lang w:val="es-ES_tradnl"/>
        </w:rPr>
        <w:tab/>
      </w:r>
      <w:r w:rsidR="00030EF6" w:rsidRPr="00030EF6">
        <w:t>En el examen para determinar la conformidad con el Acuerdo, se considera que una notificación es conforme al Acuerdo cuando las características notificadas son iguales a las del Plan o, en caso de que sean diferentes, cuando no aumentan la probabilidad de interfe</w:t>
      </w:r>
      <w:r w:rsidR="00030EF6">
        <w:t>r</w:t>
      </w:r>
      <w:r w:rsidR="00030EF6" w:rsidRPr="00030EF6">
        <w:t>encia en ningún acimut más allá de la resultante de la inscripción en el Plan.</w:t>
      </w:r>
    </w:p>
    <w:p w:rsidR="00EA22B7" w:rsidRPr="00030EF6" w:rsidRDefault="00EA22B7" w:rsidP="00030EF6"/>
    <w:p w:rsidR="0008259A" w:rsidRPr="00376552" w:rsidRDefault="0008259A">
      <w:pPr>
        <w:rPr>
          <w:lang w:val="es-ES_tradnl"/>
        </w:rPr>
      </w:pPr>
    </w:p>
    <w:p w:rsidR="0008259A" w:rsidRDefault="0008259A">
      <w:pPr>
        <w:rPr>
          <w:lang w:val="es-ES_tradnl"/>
        </w:rPr>
        <w:sectPr w:rsidR="0008259A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EA22B7" w:rsidRPr="00376552" w:rsidRDefault="00EA22B7">
      <w:pPr>
        <w:rPr>
          <w:lang w:val="es-ES_tradnl"/>
        </w:rPr>
      </w:pPr>
      <w:r w:rsidRPr="00376552">
        <w:rPr>
          <w:lang w:val="es-ES_tradnl"/>
        </w:rPr>
        <w:lastRenderedPageBreak/>
        <w:t>2</w:t>
      </w:r>
      <w:r w:rsidRPr="00376552">
        <w:rPr>
          <w:lang w:val="es-ES_tradnl"/>
        </w:rPr>
        <w:tab/>
        <w:t>Las asignaciones que figuran en el Plan pueden contener, además de la potencia radiada aparente (p.r.a.):</w:t>
      </w:r>
    </w:p>
    <w:p w:rsidR="00EA22B7" w:rsidRPr="00376552" w:rsidRDefault="00EA22B7">
      <w:pPr>
        <w:pStyle w:val="enumlev1"/>
        <w:rPr>
          <w:lang w:val="es-ES_tradnl"/>
        </w:rPr>
      </w:pPr>
      <w:r w:rsidRPr="00376552">
        <w:rPr>
          <w:lang w:val="es-ES_tradnl"/>
        </w:rPr>
        <w:t>–</w:t>
      </w:r>
      <w:r w:rsidRPr="00376552">
        <w:rPr>
          <w:lang w:val="es-ES_tradnl"/>
        </w:rPr>
        <w:tab/>
        <w:t>un acimut de radiación máxima;</w:t>
      </w:r>
    </w:p>
    <w:p w:rsidR="00EA22B7" w:rsidRPr="00376552" w:rsidRDefault="00EA22B7">
      <w:pPr>
        <w:pStyle w:val="enumlev1"/>
        <w:rPr>
          <w:lang w:val="es-ES_tradnl"/>
        </w:rPr>
      </w:pPr>
      <w:r w:rsidRPr="00376552">
        <w:rPr>
          <w:lang w:val="es-ES_tradnl"/>
        </w:rPr>
        <w:t>–</w:t>
      </w:r>
      <w:r w:rsidRPr="00376552">
        <w:rPr>
          <w:lang w:val="es-ES_tradnl"/>
        </w:rPr>
        <w:tab/>
        <w:t>en algunos casos, una p.r.a. reducida en uno o más acimutes o en uno o más sectores.</w:t>
      </w:r>
    </w:p>
    <w:p w:rsidR="00EA22B7" w:rsidRPr="00376552" w:rsidRDefault="00EA22B7">
      <w:pPr>
        <w:rPr>
          <w:lang w:val="es-ES_tradnl"/>
        </w:rPr>
      </w:pPr>
      <w:r w:rsidRPr="00376552">
        <w:rPr>
          <w:lang w:val="es-ES_tradnl"/>
        </w:rPr>
        <w:t>3</w:t>
      </w:r>
      <w:r w:rsidRPr="00376552">
        <w:rPr>
          <w:lang w:val="es-ES_tradnl"/>
        </w:rPr>
        <w:tab/>
        <w:t>Se considera que las características de radiación notificadas son conformes al Plan si la p.r.a. en cualquier acimut es igual o inferior a la derivada del Plan mediante una combinación de la p.r.a. máxima y la p.r.a. reducida en los acimutes o sectores.</w:t>
      </w:r>
    </w:p>
    <w:p w:rsidR="00EA22B7" w:rsidRPr="00376552" w:rsidRDefault="00EA22B7" w:rsidP="00376552">
      <w:pPr>
        <w:rPr>
          <w:lang w:val="es-ES_tradnl"/>
        </w:rPr>
      </w:pPr>
      <w:r w:rsidRPr="00376552">
        <w:rPr>
          <w:lang w:val="es-ES_tradnl"/>
        </w:rPr>
        <w:t>4</w:t>
      </w:r>
      <w:r w:rsidRPr="00376552">
        <w:rPr>
          <w:lang w:val="es-ES_tradnl"/>
        </w:rPr>
        <w:tab/>
        <w:t>Se considera que las características de radiación de una asignación son conformes al Plan cuando dicha asignación, notificada en virtud del Artículo</w:t>
      </w:r>
      <w:r w:rsidR="00145C0A" w:rsidRPr="00376552">
        <w:rPr>
          <w:lang w:val="es-ES_tradnl"/>
        </w:rPr>
        <w:t xml:space="preserve"> </w:t>
      </w:r>
      <w:r w:rsidRPr="00376552">
        <w:rPr>
          <w:rStyle w:val="Artref"/>
          <w:b/>
          <w:bCs/>
          <w:color w:val="000000"/>
          <w:lang w:val="es-ES_tradnl"/>
        </w:rPr>
        <w:t>11</w:t>
      </w:r>
      <w:r w:rsidRPr="00376552">
        <w:rPr>
          <w:lang w:val="es-ES_tradnl"/>
        </w:rPr>
        <w:t xml:space="preserve"> </w:t>
      </w:r>
      <w:r w:rsidR="00145C0A" w:rsidRPr="00376552">
        <w:rPr>
          <w:lang w:val="es-ES_tradnl"/>
        </w:rPr>
        <w:t xml:space="preserve">del RR </w:t>
      </w:r>
      <w:r w:rsidRPr="00376552">
        <w:rPr>
          <w:lang w:val="es-ES_tradnl"/>
        </w:rPr>
        <w:t>con un acimut de radiación máxima diferente del acimut que figura en el Plan, satisface la condición enunciada en el §</w:t>
      </w:r>
      <w:r w:rsidR="00376552">
        <w:rPr>
          <w:lang w:val="es-ES_tradnl"/>
        </w:rPr>
        <w:t> </w:t>
      </w:r>
      <w:r w:rsidRPr="00376552">
        <w:rPr>
          <w:lang w:val="es-ES_tradnl"/>
        </w:rPr>
        <w:t>3 anterior.</w:t>
      </w:r>
    </w:p>
    <w:p w:rsidR="00EA22B7" w:rsidRDefault="00EA22B7">
      <w:pPr>
        <w:rPr>
          <w:lang w:val="es-ES_tradnl"/>
        </w:rPr>
      </w:pPr>
      <w:r w:rsidRPr="00376552">
        <w:rPr>
          <w:lang w:val="es-ES_tradnl"/>
        </w:rPr>
        <w:t>5</w:t>
      </w:r>
      <w:r w:rsidRPr="00376552">
        <w:rPr>
          <w:lang w:val="es-ES_tradnl"/>
        </w:rPr>
        <w:tab/>
        <w:t>Cuando se recibe una notificación, para modificación en virtud del Artículo 4 del Acuerdo o del Artículo 5, las distancias de coordinación pertinentes del Acuerdo deberán apli</w:t>
      </w:r>
      <w:r w:rsidRPr="00376552">
        <w:rPr>
          <w:lang w:val="es-ES_tradnl"/>
        </w:rPr>
        <w:softHyphen/>
        <w:t>carse tanto a los sistemas analógicos como a los digitales. Se utilizará un símbolo apropiado para identificar la norma de televisión.</w:t>
      </w:r>
    </w:p>
    <w:p w:rsidR="00871841" w:rsidRDefault="00871841" w:rsidP="00871841"/>
    <w:p w:rsidR="00871841" w:rsidRPr="00D26C0B" w:rsidRDefault="00871841" w:rsidP="00871841">
      <w:pPr>
        <w:pStyle w:val="Heading8"/>
      </w:pPr>
      <w:r w:rsidRPr="00D26C0B">
        <w:t>Art. 4</w:t>
      </w:r>
      <w:r>
        <w:tab/>
      </w:r>
      <w:r>
        <w:tab/>
      </w:r>
      <w:r w:rsidRPr="004807E2">
        <w:rPr>
          <w:sz w:val="16"/>
          <w:szCs w:val="16"/>
        </w:rPr>
        <w:t xml:space="preserve">(ADD </w:t>
      </w:r>
      <w:r w:rsidRPr="00724F43">
        <w:rPr>
          <w:bCs/>
          <w:sz w:val="16"/>
          <w:szCs w:val="16"/>
        </w:rPr>
        <w:t>RRB19/81</w:t>
      </w:r>
      <w:r w:rsidRPr="004807E2">
        <w:rPr>
          <w:sz w:val="16"/>
          <w:szCs w:val="16"/>
        </w:rPr>
        <w:t>)</w:t>
      </w:r>
    </w:p>
    <w:p w:rsidR="00871841" w:rsidRPr="00D10DAE" w:rsidRDefault="00871841" w:rsidP="00871841">
      <w:pPr>
        <w:keepNext/>
        <w:keepLines/>
        <w:spacing w:before="240"/>
        <w:jc w:val="center"/>
        <w:outlineLvl w:val="1"/>
        <w:rPr>
          <w:b/>
          <w:sz w:val="26"/>
          <w:u w:val="single"/>
        </w:rPr>
      </w:pPr>
      <w:r w:rsidRPr="00D10DAE">
        <w:rPr>
          <w:b/>
          <w:sz w:val="26"/>
        </w:rPr>
        <w:t>Cambios en las características de las estaciones contempladas por el Acuerdo</w:t>
      </w:r>
    </w:p>
    <w:p w:rsidR="00871841" w:rsidRPr="00D10DAE" w:rsidRDefault="00871841" w:rsidP="00871841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280"/>
        <w:ind w:right="8646"/>
        <w:outlineLvl w:val="8"/>
        <w:rPr>
          <w:b/>
        </w:rPr>
      </w:pPr>
      <w:r w:rsidRPr="00D10DAE">
        <w:rPr>
          <w:b/>
        </w:rPr>
        <w:t>1.3</w:t>
      </w:r>
    </w:p>
    <w:p w:rsidR="00871841" w:rsidRPr="00D10DAE" w:rsidRDefault="00871841" w:rsidP="00871841">
      <w:r w:rsidRPr="00D10DAE">
        <w:t xml:space="preserve">Cuando, en aplicación de lo dispuesto en los § 1.3 y 2.1.4 del Artículo 4 del Acuerdo, una administración </w:t>
      </w:r>
      <w:r w:rsidR="00336EAD">
        <w:t xml:space="preserve">no </w:t>
      </w:r>
      <w:r w:rsidRPr="00D10DAE">
        <w:t>comunica a la Oficina las características definitivas de la asignación, tras un periodo</w:t>
      </w:r>
      <w:bookmarkStart w:id="0" w:name="_GoBack"/>
      <w:bookmarkEnd w:id="0"/>
      <w:r w:rsidRPr="00D10DAE">
        <w:t xml:space="preserve"> de dos años y 12 semanas desde su publicación en la Parte</w:t>
      </w:r>
      <w:r w:rsidR="00336EAD">
        <w:t> </w:t>
      </w:r>
      <w:r w:rsidRPr="00D10DAE">
        <w:t xml:space="preserve">A de una Sección especial ST61, la modificación caducará y se devolverá a la administración notificante. Dos meses antes de que finalice este periodo de dos años y 12 semanas </w:t>
      </w:r>
      <w:r w:rsidR="00336EAD">
        <w:t xml:space="preserve">para la devolución de la modificación </w:t>
      </w:r>
      <w:r w:rsidRPr="00D10DAE">
        <w:t>la Oficina enviará un recordatorio a la administración notificante.</w:t>
      </w:r>
    </w:p>
    <w:p w:rsidR="00871841" w:rsidRPr="00D10DAE" w:rsidRDefault="00871841" w:rsidP="00871841">
      <w:r w:rsidRPr="00D10DAE">
        <w:t>La administración podrá volver a presentar la asignación y seguir el procedimiento completo del Artículo 4 del Acuerdo. La fecha en que la Oficina reciba la nueva presentación se considerará la nueva fecha de recepción de la modificación propuesta.</w:t>
      </w:r>
    </w:p>
    <w:p w:rsidR="00871841" w:rsidRPr="00376552" w:rsidRDefault="00871841">
      <w:pPr>
        <w:rPr>
          <w:lang w:val="es-ES_tradnl"/>
        </w:rPr>
      </w:pPr>
    </w:p>
    <w:p w:rsidR="00EA22B7" w:rsidRPr="00376552" w:rsidRDefault="00EA22B7" w:rsidP="00376552">
      <w:pPr>
        <w:rPr>
          <w:lang w:val="es-ES_tradnl"/>
        </w:rPr>
      </w:pPr>
    </w:p>
    <w:p w:rsidR="00EA22B7" w:rsidRPr="00376552" w:rsidRDefault="00EA22B7" w:rsidP="00376552">
      <w:pPr>
        <w:jc w:val="center"/>
        <w:rPr>
          <w:lang w:val="es-ES_tradnl"/>
        </w:rPr>
      </w:pPr>
      <w:r w:rsidRPr="00376552">
        <w:rPr>
          <w:lang w:val="es-ES_tradnl"/>
        </w:rPr>
        <w:t>____________________</w:t>
      </w:r>
    </w:p>
    <w:p w:rsidR="00EA22B7" w:rsidRPr="00376552" w:rsidRDefault="00EA22B7" w:rsidP="00376552">
      <w:pPr>
        <w:rPr>
          <w:lang w:val="es-ES_tradnl"/>
        </w:rPr>
      </w:pPr>
    </w:p>
    <w:p w:rsidR="00EA22B7" w:rsidRDefault="00EA22B7" w:rsidP="00376552">
      <w:pPr>
        <w:rPr>
          <w:lang w:val="es-ES_tradnl"/>
        </w:rPr>
      </w:pPr>
    </w:p>
    <w:p w:rsidR="0008259A" w:rsidRDefault="0008259A" w:rsidP="00376552">
      <w:pPr>
        <w:rPr>
          <w:lang w:val="es-ES_tradnl"/>
        </w:rPr>
      </w:pPr>
    </w:p>
    <w:p w:rsidR="0008259A" w:rsidRDefault="0008259A" w:rsidP="00376552">
      <w:pPr>
        <w:rPr>
          <w:lang w:val="es-ES_tradnl"/>
        </w:rPr>
        <w:sectPr w:rsidR="0008259A">
          <w:headerReference w:type="even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08259A" w:rsidRPr="00376552" w:rsidRDefault="0008259A" w:rsidP="00376552">
      <w:pPr>
        <w:rPr>
          <w:lang w:val="es-ES_tradnl"/>
        </w:rPr>
      </w:pPr>
    </w:p>
    <w:p w:rsidR="00EA22B7" w:rsidRPr="00376552" w:rsidRDefault="00EA22B7" w:rsidP="00376552">
      <w:pPr>
        <w:rPr>
          <w:lang w:val="es-ES_tradnl"/>
        </w:rPr>
      </w:pPr>
    </w:p>
    <w:p w:rsidR="00EA22B7" w:rsidRPr="00376552" w:rsidRDefault="00EA22B7" w:rsidP="00376552">
      <w:pPr>
        <w:rPr>
          <w:lang w:val="es-ES_tradnl"/>
        </w:rPr>
        <w:sectPr w:rsidR="00EA22B7" w:rsidRPr="00376552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EA22B7" w:rsidRPr="00376552" w:rsidRDefault="00EA22B7" w:rsidP="00376552">
      <w:pPr>
        <w:rPr>
          <w:lang w:val="es-ES_tradnl"/>
        </w:rPr>
      </w:pPr>
    </w:p>
    <w:sectPr w:rsidR="00EA22B7" w:rsidRPr="00376552" w:rsidSect="00376552">
      <w:headerReference w:type="first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52D" w:rsidRDefault="005E352D">
      <w:r>
        <w:separator/>
      </w:r>
    </w:p>
  </w:endnote>
  <w:endnote w:type="continuationSeparator" w:id="0">
    <w:p w:rsidR="005E352D" w:rsidRDefault="005E3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52D" w:rsidRDefault="005E352D">
      <w:r>
        <w:rPr>
          <w:b/>
        </w:rPr>
        <w:t>_______________</w:t>
      </w:r>
    </w:p>
  </w:footnote>
  <w:footnote w:type="continuationSeparator" w:id="0">
    <w:p w:rsidR="005E352D" w:rsidRDefault="005E3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765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552" w:rsidRDefault="00376552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583B89">
            <w:rPr>
              <w:noProof/>
            </w:rPr>
            <w:t>A2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552" w:rsidRDefault="00376552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583B89">
            <w:rPr>
              <w:noProof/>
            </w:rPr>
            <w:t>ST61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552" w:rsidRDefault="00376552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8259A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552" w:rsidRDefault="0008259A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</w:p>
      </w:tc>
    </w:tr>
  </w:tbl>
  <w:p w:rsidR="00376552" w:rsidRDefault="00376552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7655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552" w:rsidRDefault="00376552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583B89">
            <w:rPr>
              <w:noProof/>
            </w:rPr>
            <w:t>A2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552" w:rsidRDefault="00376552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583B89">
            <w:rPr>
              <w:noProof/>
            </w:rPr>
            <w:t>ST61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552" w:rsidRDefault="00376552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83B89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552" w:rsidRDefault="00376552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rev.-</w:t>
          </w:r>
        </w:p>
      </w:tc>
    </w:tr>
  </w:tbl>
  <w:p w:rsidR="00376552" w:rsidRDefault="003765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8259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8259A" w:rsidRDefault="0008259A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583B89">
            <w:rPr>
              <w:noProof/>
            </w:rPr>
            <w:t>A2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8259A" w:rsidRDefault="0008259A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583B89">
            <w:rPr>
              <w:noProof/>
            </w:rPr>
            <w:t>ST61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8259A" w:rsidRDefault="0008259A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83B89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8259A" w:rsidRDefault="0008259A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rev.4</w:t>
          </w:r>
        </w:p>
      </w:tc>
    </w:tr>
  </w:tbl>
  <w:p w:rsidR="0008259A" w:rsidRDefault="0008259A">
    <w:pPr>
      <w:rPr>
        <w:lang w:val="fr-C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8259A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8259A" w:rsidRDefault="0008259A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583B89">
            <w:rPr>
              <w:noProof/>
            </w:rPr>
            <w:t>A2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8259A" w:rsidRDefault="0008259A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583B89">
            <w:rPr>
              <w:noProof/>
            </w:rPr>
            <w:t>ST61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8259A" w:rsidRDefault="0008259A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83B89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8259A" w:rsidRDefault="0008259A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rev.-</w:t>
          </w:r>
        </w:p>
      </w:tc>
    </w:tr>
  </w:tbl>
  <w:p w:rsidR="0008259A" w:rsidRDefault="000825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552" w:rsidRDefault="00376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2B7"/>
    <w:rsid w:val="00030EF6"/>
    <w:rsid w:val="0008259A"/>
    <w:rsid w:val="00145C0A"/>
    <w:rsid w:val="00336EAD"/>
    <w:rsid w:val="00376552"/>
    <w:rsid w:val="003E28FE"/>
    <w:rsid w:val="00400F7B"/>
    <w:rsid w:val="00502E42"/>
    <w:rsid w:val="00583B89"/>
    <w:rsid w:val="005E352D"/>
    <w:rsid w:val="006D6914"/>
    <w:rsid w:val="00711A18"/>
    <w:rsid w:val="00813D5F"/>
    <w:rsid w:val="00871841"/>
    <w:rsid w:val="008F6821"/>
    <w:rsid w:val="00922054"/>
    <w:rsid w:val="00953F44"/>
    <w:rsid w:val="0098763A"/>
    <w:rsid w:val="00A0466A"/>
    <w:rsid w:val="00A66342"/>
    <w:rsid w:val="00B26823"/>
    <w:rsid w:val="00B86714"/>
    <w:rsid w:val="00EA22B7"/>
    <w:rsid w:val="00EE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566F888"/>
  <w15:docId w15:val="{5D79F8CA-87DE-4290-8AC1-678050DAE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19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ST61 du RR</dc:subject>
  <dc:creator>Composition des Publications</dc:creator>
  <cp:keywords>FOLIOS:  1  -  2</cp:keywords>
  <dc:description>Edition 2009:  16.02.2009/DD (dict. ok)</dc:description>
  <cp:lastModifiedBy>Martinez Romera, Angel</cp:lastModifiedBy>
  <cp:revision>12</cp:revision>
  <cp:lastPrinted>2019-07-30T08:06:00Z</cp:lastPrinted>
  <dcterms:created xsi:type="dcterms:W3CDTF">2012-10-03T07:08:00Z</dcterms:created>
  <dcterms:modified xsi:type="dcterms:W3CDTF">2019-07-30T08:15:00Z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