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F37" w:rsidRPr="00EA169A" w:rsidRDefault="00EA169A" w:rsidP="00C70342">
      <w:pPr>
        <w:pStyle w:val="Heading1"/>
        <w:spacing w:before="300"/>
        <w:ind w:left="0" w:firstLine="0"/>
        <w:jc w:val="center"/>
        <w:rPr>
          <w:lang w:val="es-ES_tradnl"/>
        </w:rPr>
      </w:pPr>
      <w:r w:rsidRPr="00777C85">
        <w:rPr>
          <w:color w:val="000000"/>
          <w:lang w:val="es-ES_tradnl"/>
        </w:rPr>
        <w:t>Reglas relativas a</w:t>
      </w:r>
      <w:r>
        <w:rPr>
          <w:color w:val="000000"/>
          <w:lang w:val="es-ES_tradnl"/>
        </w:rPr>
        <w:t xml:space="preserve"> </w:t>
      </w:r>
      <w:r w:rsidRPr="00777C85">
        <w:rPr>
          <w:color w:val="000000"/>
          <w:lang w:val="es-ES_tradnl"/>
        </w:rPr>
        <w:t>l</w:t>
      </w:r>
      <w:r>
        <w:rPr>
          <w:color w:val="000000"/>
          <w:lang w:val="es-ES_tradnl"/>
        </w:rPr>
        <w:t>a</w:t>
      </w:r>
    </w:p>
    <w:p w:rsidR="00EA169A" w:rsidRPr="005F553C" w:rsidRDefault="00EA169A" w:rsidP="00EA169A">
      <w:pPr>
        <w:pStyle w:val="ResNo"/>
        <w:jc w:val="center"/>
      </w:pPr>
      <w:bookmarkStart w:id="0" w:name="_Toc328141243"/>
      <w:r w:rsidRPr="005F553C">
        <w:t>RESOLUCIÓN 49 (Rev. CMR-15)</w:t>
      </w:r>
      <w:bookmarkEnd w:id="0"/>
    </w:p>
    <w:p w:rsidR="00EA169A" w:rsidRPr="00EA169A" w:rsidRDefault="00EA169A" w:rsidP="00EA169A">
      <w:pPr>
        <w:pStyle w:val="Restitle"/>
        <w:rPr>
          <w:lang w:val="es-ES_tradnl"/>
        </w:rPr>
      </w:pPr>
      <w:bookmarkStart w:id="1" w:name="_Toc320536462"/>
      <w:bookmarkStart w:id="2" w:name="_Toc328141244"/>
      <w:r w:rsidRPr="00EA169A">
        <w:rPr>
          <w:lang w:val="es-ES_tradnl"/>
        </w:rPr>
        <w:t>Debida diligencia administrativa aplicable a ciertos servicios</w:t>
      </w:r>
      <w:r w:rsidRPr="00EA169A">
        <w:rPr>
          <w:lang w:val="es-ES_tradnl"/>
        </w:rPr>
        <w:br/>
        <w:t>de radiocomunicaciones por satélite</w:t>
      </w:r>
      <w:bookmarkEnd w:id="1"/>
      <w:bookmarkEnd w:id="2"/>
    </w:p>
    <w:p w:rsidR="00EA169A" w:rsidRPr="00EA169A" w:rsidRDefault="00EA169A" w:rsidP="00EA169A">
      <w:pPr>
        <w:rPr>
          <w:lang w:val="es-ES_tradnl"/>
        </w:rPr>
      </w:pPr>
      <w:r w:rsidRPr="00EA169A">
        <w:rPr>
          <w:szCs w:val="24"/>
          <w:lang w:val="es-ES_tradnl"/>
        </w:rPr>
        <w:t xml:space="preserve">De conformidad con el </w:t>
      </w:r>
      <w:r w:rsidRPr="00EA169A">
        <w:rPr>
          <w:i/>
          <w:iCs/>
          <w:szCs w:val="24"/>
          <w:lang w:val="es-ES_tradnl"/>
        </w:rPr>
        <w:t xml:space="preserve">resuelve </w:t>
      </w:r>
      <w:r w:rsidRPr="00EA169A">
        <w:rPr>
          <w:szCs w:val="24"/>
          <w:lang w:val="es-ES_tradnl"/>
        </w:rPr>
        <w:t xml:space="preserve">1 de la presente Resolución, </w:t>
      </w:r>
      <w:r w:rsidRPr="00EA169A">
        <w:rPr>
          <w:lang w:val="es-ES_tradnl"/>
        </w:rPr>
        <w:t>el procedimiento de debida diligencia administrativa descrito en el Anexo 1 a la presente Resolución se aplicará a partir del 22 de noviembre de 1997 a las redes o sistemas de satélites de los servicios fijo por satélite, móvil por satélite o de radiodifusión por satélite respecto de los cuales la Oficina haya recibido después del 22 de noviembre de 1997 información para la publicación anticipada de acuerdo con el número </w:t>
      </w:r>
      <w:r w:rsidRPr="00EA169A">
        <w:rPr>
          <w:b/>
          <w:bCs/>
          <w:lang w:val="es-ES_tradnl"/>
        </w:rPr>
        <w:t>9.2B</w:t>
      </w:r>
      <w:r w:rsidRPr="00EA169A">
        <w:rPr>
          <w:lang w:val="es-ES_tradnl"/>
        </w:rPr>
        <w:t>.</w:t>
      </w:r>
    </w:p>
    <w:p w:rsidR="00EA169A" w:rsidRPr="00EA169A" w:rsidRDefault="00EA169A" w:rsidP="00EA169A">
      <w:pPr>
        <w:rPr>
          <w:lang w:val="es-ES_tradnl"/>
        </w:rPr>
      </w:pPr>
      <w:r w:rsidRPr="00EA169A">
        <w:rPr>
          <w:lang w:val="es-ES_tradnl"/>
        </w:rPr>
        <w:t xml:space="preserve">La CMR-15 suprimió la presentación de API para sistemas de satélite sujetos al procedimiento de coordinación de la Sección II del Artículo </w:t>
      </w:r>
      <w:r w:rsidRPr="00EA169A">
        <w:rPr>
          <w:b/>
          <w:bCs/>
          <w:lang w:val="es-ES_tradnl"/>
        </w:rPr>
        <w:t>9</w:t>
      </w:r>
      <w:r w:rsidRPr="00EA169A">
        <w:rPr>
          <w:lang w:val="es-ES_tradnl"/>
        </w:rPr>
        <w:t xml:space="preserve"> y modificó en consecuencia los números </w:t>
      </w:r>
      <w:r w:rsidRPr="00EA169A">
        <w:rPr>
          <w:b/>
          <w:bCs/>
          <w:lang w:val="es-ES_tradnl"/>
        </w:rPr>
        <w:t>9.1</w:t>
      </w:r>
      <w:r w:rsidRPr="00EA169A">
        <w:rPr>
          <w:lang w:val="es-ES_tradnl"/>
        </w:rPr>
        <w:t xml:space="preserve"> y </w:t>
      </w:r>
      <w:r w:rsidRPr="00EA169A">
        <w:rPr>
          <w:b/>
          <w:bCs/>
          <w:lang w:val="es-ES_tradnl"/>
        </w:rPr>
        <w:t>9.2</w:t>
      </w:r>
      <w:r w:rsidRPr="00EA169A">
        <w:rPr>
          <w:lang w:val="es-ES_tradnl"/>
        </w:rPr>
        <w:t xml:space="preserve">, de modo que el número </w:t>
      </w:r>
      <w:r w:rsidRPr="00EA169A">
        <w:rPr>
          <w:b/>
          <w:bCs/>
          <w:lang w:val="es-ES_tradnl"/>
        </w:rPr>
        <w:t xml:space="preserve">9.2B </w:t>
      </w:r>
      <w:r w:rsidRPr="00EA169A">
        <w:rPr>
          <w:lang w:val="es-ES_tradnl"/>
        </w:rPr>
        <w:t xml:space="preserve">se aplica sólo a sistemas de satélites no sujetos al procedimiento de coordinación de la Sección II del Artículo </w:t>
      </w:r>
      <w:r w:rsidRPr="00EA169A">
        <w:rPr>
          <w:b/>
          <w:bCs/>
          <w:lang w:val="es-ES_tradnl"/>
        </w:rPr>
        <w:t>9</w:t>
      </w:r>
      <w:r w:rsidRPr="00EA169A">
        <w:rPr>
          <w:lang w:val="es-ES_tradnl"/>
        </w:rPr>
        <w:t>.</w:t>
      </w:r>
    </w:p>
    <w:p w:rsidR="00F72E88" w:rsidRPr="00EA169A" w:rsidRDefault="00EA169A" w:rsidP="00EA169A">
      <w:pPr>
        <w:rPr>
          <w:lang w:val="es-ES_tradnl"/>
        </w:rPr>
      </w:pPr>
      <w:r w:rsidRPr="00EA169A">
        <w:rPr>
          <w:lang w:val="es-ES_tradnl"/>
        </w:rPr>
        <w:t xml:space="preserve">De conformidad con la nota 4 (número </w:t>
      </w:r>
      <w:r w:rsidRPr="00EA169A">
        <w:rPr>
          <w:b/>
          <w:bCs/>
          <w:lang w:val="es-ES_tradnl"/>
        </w:rPr>
        <w:t>A.9.4</w:t>
      </w:r>
      <w:r w:rsidRPr="00EA169A">
        <w:rPr>
          <w:lang w:val="es-ES_tradnl"/>
        </w:rPr>
        <w:t xml:space="preserve">) al título del Artículo </w:t>
      </w:r>
      <w:r w:rsidRPr="00EA169A">
        <w:rPr>
          <w:b/>
          <w:bCs/>
          <w:lang w:val="es-ES_tradnl"/>
        </w:rPr>
        <w:t>9</w:t>
      </w:r>
      <w:r w:rsidRPr="00EA169A">
        <w:rPr>
          <w:lang w:val="es-ES_tradnl"/>
        </w:rPr>
        <w:t xml:space="preserve"> y § 1 al Anexo 1 a la Resolución </w:t>
      </w:r>
      <w:r w:rsidRPr="00EA169A">
        <w:rPr>
          <w:b/>
          <w:bCs/>
          <w:lang w:val="es-ES_tradnl"/>
        </w:rPr>
        <w:t>49 (Rev. WRC-15)</w:t>
      </w:r>
      <w:r w:rsidRPr="00EA169A">
        <w:rPr>
          <w:lang w:val="es-ES_tradnl"/>
        </w:rPr>
        <w:t xml:space="preserve">, la Resolución </w:t>
      </w:r>
      <w:r w:rsidRPr="00EA169A">
        <w:rPr>
          <w:b/>
          <w:bCs/>
          <w:lang w:val="es-ES_tradnl"/>
        </w:rPr>
        <w:t xml:space="preserve">49 </w:t>
      </w:r>
      <w:r w:rsidRPr="00EA169A">
        <w:rPr>
          <w:lang w:val="es-ES_tradnl"/>
        </w:rPr>
        <w:t xml:space="preserve">seguirá aplicándose con respecto a aquellas redes y sistemas de satélite sujetos a coordinación con arreglo a los números </w:t>
      </w:r>
      <w:r w:rsidRPr="00EA169A">
        <w:rPr>
          <w:b/>
          <w:bCs/>
          <w:lang w:val="es-ES_tradnl"/>
        </w:rPr>
        <w:t>9.7</w:t>
      </w:r>
      <w:r w:rsidRPr="00EA169A">
        <w:rPr>
          <w:lang w:val="es-ES_tradnl"/>
        </w:rPr>
        <w:t xml:space="preserve">, </w:t>
      </w:r>
      <w:r w:rsidRPr="00EA169A">
        <w:rPr>
          <w:b/>
          <w:bCs/>
          <w:lang w:val="es-ES_tradnl"/>
        </w:rPr>
        <w:t>9.11</w:t>
      </w:r>
      <w:r w:rsidRPr="00EA169A">
        <w:rPr>
          <w:lang w:val="es-ES_tradnl"/>
        </w:rPr>
        <w:t xml:space="preserve">, </w:t>
      </w:r>
      <w:r w:rsidRPr="00EA169A">
        <w:rPr>
          <w:b/>
          <w:bCs/>
          <w:lang w:val="es-ES_tradnl"/>
        </w:rPr>
        <w:t>9.12</w:t>
      </w:r>
      <w:r w:rsidRPr="00EA169A">
        <w:rPr>
          <w:lang w:val="es-ES_tradnl"/>
        </w:rPr>
        <w:t xml:space="preserve">, </w:t>
      </w:r>
      <w:r w:rsidRPr="00EA169A">
        <w:rPr>
          <w:b/>
          <w:bCs/>
          <w:lang w:val="es-ES_tradnl"/>
        </w:rPr>
        <w:t>9.12A</w:t>
      </w:r>
      <w:r w:rsidRPr="00EA169A">
        <w:rPr>
          <w:lang w:val="es-ES_tradnl"/>
        </w:rPr>
        <w:t xml:space="preserve"> y </w:t>
      </w:r>
      <w:r w:rsidRPr="00EA169A">
        <w:rPr>
          <w:b/>
          <w:bCs/>
          <w:lang w:val="es-ES_tradnl"/>
        </w:rPr>
        <w:t>9.13</w:t>
      </w:r>
      <w:r w:rsidRPr="00EA169A">
        <w:rPr>
          <w:lang w:val="es-ES_tradnl"/>
        </w:rPr>
        <w:t xml:space="preserve">. La Junta entiende que el </w:t>
      </w:r>
      <w:r w:rsidRPr="00EA169A">
        <w:rPr>
          <w:i/>
          <w:iCs/>
          <w:lang w:val="es-ES_tradnl"/>
        </w:rPr>
        <w:t xml:space="preserve">resuelve </w:t>
      </w:r>
      <w:r w:rsidRPr="00EA169A">
        <w:rPr>
          <w:lang w:val="es-ES_tradnl"/>
        </w:rPr>
        <w:t xml:space="preserve">1 de la Resolución </w:t>
      </w:r>
      <w:r w:rsidRPr="00EA169A">
        <w:rPr>
          <w:b/>
          <w:bCs/>
          <w:lang w:val="es-ES_tradnl"/>
        </w:rPr>
        <w:t xml:space="preserve">49 (Rev. CMR-15) </w:t>
      </w:r>
      <w:r w:rsidRPr="00EA169A">
        <w:rPr>
          <w:lang w:val="es-ES_tradnl"/>
        </w:rPr>
        <w:t xml:space="preserve">también es aplicable a los sistemas o redes de satélite del servicio fijo por satélite, </w:t>
      </w:r>
      <w:r w:rsidRPr="00EA169A">
        <w:rPr>
          <w:color w:val="000000"/>
          <w:lang w:val="es-ES_tradnl"/>
        </w:rPr>
        <w:t xml:space="preserve">móvil por satélite o de radiodifusión por satélite cuya información de publicación anticipada </w:t>
      </w:r>
      <w:r w:rsidRPr="00EA169A">
        <w:rPr>
          <w:lang w:val="es-ES_tradnl"/>
        </w:rPr>
        <w:t xml:space="preserve">fue publicada con arreglo al número </w:t>
      </w:r>
      <w:r w:rsidRPr="00EA169A">
        <w:rPr>
          <w:b/>
          <w:bCs/>
          <w:lang w:val="es-ES_tradnl"/>
        </w:rPr>
        <w:t>9.1A</w:t>
      </w:r>
      <w:r w:rsidRPr="00EA169A">
        <w:rPr>
          <w:lang w:val="es-ES_tradnl"/>
        </w:rPr>
        <w:t>.</w:t>
      </w:r>
    </w:p>
    <w:p w:rsidR="00685F37" w:rsidRPr="00EA169A" w:rsidRDefault="00685F37" w:rsidP="00C70342">
      <w:pPr>
        <w:rPr>
          <w:lang w:val="es-ES_tradnl"/>
        </w:rPr>
      </w:pPr>
    </w:p>
    <w:p w:rsidR="00685F37" w:rsidRPr="00C70342" w:rsidRDefault="00685F37" w:rsidP="00C70342">
      <w:pPr>
        <w:jc w:val="center"/>
        <w:rPr>
          <w:color w:val="000000"/>
          <w:lang w:val="fr-FR"/>
        </w:rPr>
      </w:pPr>
      <w:r w:rsidRPr="00C70342">
        <w:rPr>
          <w:color w:val="000000"/>
          <w:lang w:val="fr-FR"/>
        </w:rPr>
        <w:t>____________________</w:t>
      </w:r>
    </w:p>
    <w:p w:rsidR="00685F37" w:rsidRDefault="00685F37" w:rsidP="00C70342">
      <w:pPr>
        <w:rPr>
          <w:lang w:val="fr-FR"/>
        </w:rPr>
      </w:pPr>
    </w:p>
    <w:p w:rsidR="00E31449" w:rsidRDefault="00E31449" w:rsidP="00C70342">
      <w:pPr>
        <w:rPr>
          <w:lang w:val="fr-FR"/>
        </w:rPr>
      </w:pPr>
    </w:p>
    <w:p w:rsidR="00E31449" w:rsidRPr="00C70342" w:rsidRDefault="00E31449" w:rsidP="00C70342">
      <w:pPr>
        <w:rPr>
          <w:lang w:val="fr-FR"/>
        </w:rPr>
      </w:pPr>
      <w:bookmarkStart w:id="3" w:name="_GoBack"/>
      <w:bookmarkEnd w:id="3"/>
    </w:p>
    <w:p w:rsidR="00C70342" w:rsidRPr="00C70342" w:rsidRDefault="00C70342" w:rsidP="00C70342">
      <w:pPr>
        <w:rPr>
          <w:lang w:val="fr-FR"/>
        </w:rPr>
      </w:pPr>
    </w:p>
    <w:p w:rsidR="00685F37" w:rsidRPr="00C70342" w:rsidRDefault="00685F37" w:rsidP="00C70342">
      <w:pPr>
        <w:rPr>
          <w:lang w:val="fr-FR"/>
        </w:rPr>
        <w:sectPr w:rsidR="00685F37" w:rsidRPr="00C70342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685F37" w:rsidRPr="00C70342" w:rsidRDefault="00685F37" w:rsidP="00C70342">
      <w:pPr>
        <w:rPr>
          <w:lang w:val="fr-FR"/>
        </w:rPr>
      </w:pPr>
    </w:p>
    <w:sectPr w:rsidR="00685F37" w:rsidRPr="00C70342" w:rsidSect="00C70342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CEF" w:rsidRDefault="00F86CEF">
      <w:r>
        <w:separator/>
      </w:r>
    </w:p>
  </w:endnote>
  <w:endnote w:type="continuationSeparator" w:id="0">
    <w:p w:rsidR="00F86CEF" w:rsidRDefault="00F86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CEF" w:rsidRDefault="00F86CEF">
      <w:r>
        <w:rPr>
          <w:b/>
        </w:rPr>
        <w:t>_______________</w:t>
      </w:r>
    </w:p>
  </w:footnote>
  <w:footnote w:type="continuationSeparator" w:id="0">
    <w:p w:rsidR="00F86CEF" w:rsidRDefault="00F86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85F3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685F37">
          <w:pPr>
            <w:pStyle w:val="HeaderRegProc"/>
          </w:pPr>
          <w:proofErr w:type="spellStart"/>
          <w:r>
            <w:t>Partie</w:t>
          </w:r>
          <w:proofErr w:type="spellEnd"/>
          <w:r>
            <w:t xml:space="preserve"> </w:t>
          </w:r>
          <w:r w:rsidR="00945D29">
            <w:fldChar w:fldCharType="begin"/>
          </w:r>
          <w:r w:rsidR="00945D29">
            <w:instrText>styleref href</w:instrText>
          </w:r>
          <w:r w:rsidR="00945D29">
            <w:fldChar w:fldCharType="separate"/>
          </w:r>
          <w:r w:rsidR="007D3608">
            <w:rPr>
              <w:b/>
              <w:bCs w:val="0"/>
              <w:noProof/>
              <w:lang w:val="en-US"/>
            </w:rPr>
            <w:t>Error! No text of specified style in document.</w:t>
          </w:r>
          <w:r w:rsidR="00945D29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EA169A">
          <w:pPr>
            <w:pStyle w:val="HeaderRegProc"/>
            <w:rPr>
              <w:lang w:val="fr-FR"/>
            </w:rPr>
          </w:pPr>
          <w:fldSimple w:instr=" DOCPROPERTY &quot;Header1&quot; \* MERGEFORMAT ">
            <w:r w:rsidR="007D3608">
              <w:t>AP</w:t>
            </w:r>
          </w:fldSimple>
          <w:r w:rsidR="00945D29">
            <w:fldChar w:fldCharType="begin"/>
          </w:r>
          <w:r w:rsidR="00945D29">
            <w:instrText>styleref href2</w:instrText>
          </w:r>
          <w:r w:rsidR="00945D29">
            <w:fldChar w:fldCharType="separate"/>
          </w:r>
          <w:r w:rsidR="007D3608">
            <w:rPr>
              <w:b/>
              <w:bCs w:val="0"/>
              <w:noProof/>
              <w:lang w:val="en-US"/>
            </w:rPr>
            <w:t>Error! No text of specified style in document.</w:t>
          </w:r>
          <w:r w:rsidR="00945D29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685F37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685F37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rév</w:t>
          </w:r>
          <w:proofErr w:type="spellEnd"/>
          <w:r>
            <w:rPr>
              <w:lang w:val="fr-CH"/>
            </w:rPr>
            <w:t>.</w:t>
          </w:r>
          <w:fldSimple w:instr=" DOCPROPERTY &quot;Header10&quot; \* MERGEFORMAT ">
            <w:r w:rsidR="007D3608" w:rsidRPr="007D3608">
              <w:rPr>
                <w:lang w:val="fr-CH"/>
              </w:rPr>
              <w:t>-</w:t>
            </w:r>
          </w:fldSimple>
        </w:p>
      </w:tc>
    </w:tr>
  </w:tbl>
  <w:p w:rsidR="00685F37" w:rsidRDefault="00685F37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85F3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685F37" w:rsidP="0069495E">
          <w:pPr>
            <w:pStyle w:val="HeaderRegProc"/>
          </w:pPr>
          <w:r>
            <w:t>Parte A</w:t>
          </w:r>
          <w:r w:rsidR="00F72E88">
            <w:t>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685F37" w:rsidP="00F72E88">
          <w:pPr>
            <w:pStyle w:val="HeaderRegProc"/>
            <w:rPr>
              <w:lang w:val="fr-FR"/>
            </w:rPr>
          </w:pPr>
          <w:r>
            <w:t>RES</w:t>
          </w:r>
          <w:r w:rsidR="00F72E88"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69495E" w:rsidP="0069495E">
          <w:pPr>
            <w:pStyle w:val="HeaderRegProc"/>
            <w:rPr>
              <w:lang w:val="fr-CH"/>
            </w:rPr>
          </w:pPr>
          <w:proofErr w:type="spellStart"/>
          <w:r>
            <w:rPr>
              <w:lang w:val="fr-FR"/>
            </w:rPr>
            <w:t>pá</w:t>
          </w:r>
          <w:r w:rsidR="00685F37">
            <w:rPr>
              <w:lang w:val="fr-FR"/>
            </w:rPr>
            <w:t>g</w:t>
          </w:r>
          <w:r>
            <w:rPr>
              <w:lang w:val="fr-FR"/>
            </w:rPr>
            <w:t>ina</w:t>
          </w:r>
          <w:proofErr w:type="spellEnd"/>
          <w:r w:rsidR="00685F37">
            <w:rPr>
              <w:lang w:val="fr-FR"/>
            </w:rPr>
            <w:t xml:space="preserve"> </w:t>
          </w:r>
          <w:r w:rsidR="00685F37">
            <w:rPr>
              <w:rStyle w:val="PageNumber"/>
            </w:rPr>
            <w:fldChar w:fldCharType="begin"/>
          </w:r>
          <w:r w:rsidR="00685F37">
            <w:rPr>
              <w:rStyle w:val="PageNumber"/>
            </w:rPr>
            <w:instrText xml:space="preserve"> PAGE </w:instrText>
          </w:r>
          <w:r w:rsidR="00685F37">
            <w:rPr>
              <w:rStyle w:val="PageNumber"/>
            </w:rPr>
            <w:fldChar w:fldCharType="separate"/>
          </w:r>
          <w:r w:rsidR="007D3608">
            <w:rPr>
              <w:rStyle w:val="PageNumber"/>
              <w:noProof/>
            </w:rPr>
            <w:t>1</w:t>
          </w:r>
          <w:r w:rsidR="00685F37"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685F37" w:rsidRDefault="00685F37" w:rsidP="00C23C4E">
          <w:pPr>
            <w:pStyle w:val="HeaderRegProc"/>
            <w:rPr>
              <w:lang w:val="fr-CH"/>
            </w:rPr>
          </w:pPr>
          <w:proofErr w:type="spellStart"/>
          <w:r>
            <w:rPr>
              <w:lang w:val="fr-CH"/>
            </w:rPr>
            <w:t>r</w:t>
          </w:r>
          <w:r w:rsidR="0069495E">
            <w:rPr>
              <w:lang w:val="fr-CH"/>
            </w:rPr>
            <w:t>e</w:t>
          </w:r>
          <w:r>
            <w:rPr>
              <w:lang w:val="fr-CH"/>
            </w:rPr>
            <w:t>v</w:t>
          </w:r>
          <w:proofErr w:type="spellEnd"/>
          <w:r>
            <w:rPr>
              <w:lang w:val="fr-CH"/>
            </w:rPr>
            <w:t>.</w:t>
          </w:r>
          <w:r w:rsidR="00C23C4E">
            <w:t xml:space="preserve"> -</w:t>
          </w:r>
        </w:p>
      </w:tc>
    </w:tr>
  </w:tbl>
  <w:p w:rsidR="00685F37" w:rsidRDefault="00685F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F37" w:rsidRDefault="00685F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mirrorMargin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5F37"/>
    <w:rsid w:val="0009727A"/>
    <w:rsid w:val="004A5AC3"/>
    <w:rsid w:val="00685F37"/>
    <w:rsid w:val="0069495E"/>
    <w:rsid w:val="00737239"/>
    <w:rsid w:val="007D3608"/>
    <w:rsid w:val="009162CF"/>
    <w:rsid w:val="00945D29"/>
    <w:rsid w:val="00C23C4E"/>
    <w:rsid w:val="00C5503D"/>
    <w:rsid w:val="00C70342"/>
    <w:rsid w:val="00E31449"/>
    <w:rsid w:val="00EA169A"/>
    <w:rsid w:val="00F72E88"/>
    <w:rsid w:val="00F8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DE46237-2B0A-4266-9CA5-41AA43EEA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ResNo">
    <w:name w:val="Res_No"/>
    <w:basedOn w:val="Normal"/>
    <w:next w:val="Restitle"/>
    <w:rsid w:val="00EA169A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b/>
      <w:sz w:val="2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C79C4-C8E1-4CD8-9DCC-BE7439E12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10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</dc:subject>
  <dc:creator>Composition des Publications</dc:creator>
  <cp:keywords>FOLIOS:  1  -  2(bl)</cp:keywords>
  <dc:description>Edition 2009:   10.03.2009/DD (dict. ok)</dc:description>
  <cp:lastModifiedBy>Catalano Moreira, Rossana</cp:lastModifiedBy>
  <cp:revision>13</cp:revision>
  <cp:lastPrinted>2017-04-06T09:06:00Z</cp:lastPrinted>
  <dcterms:created xsi:type="dcterms:W3CDTF">2012-08-08T15:46:00Z</dcterms:created>
  <dcterms:modified xsi:type="dcterms:W3CDTF">2017-04-06T09:06:00Z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