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B05" w:rsidRPr="00AF7598" w:rsidRDefault="005B0B05">
      <w:pPr>
        <w:pStyle w:val="Heading1"/>
        <w:spacing w:before="300"/>
        <w:jc w:val="center"/>
        <w:rPr>
          <w:lang w:val="es-ES_tradnl"/>
        </w:rPr>
      </w:pPr>
      <w:r w:rsidRPr="00AF7598">
        <w:rPr>
          <w:lang w:val="es-ES_tradnl"/>
        </w:rPr>
        <w:t>Reglas relativas al</w:t>
      </w:r>
    </w:p>
    <w:p w:rsidR="005B0B05" w:rsidRDefault="005B0B05">
      <w:pPr>
        <w:pStyle w:val="Heading2"/>
        <w:jc w:val="center"/>
        <w:rPr>
          <w:lang w:val="es-ES_tradnl"/>
        </w:rPr>
      </w:pPr>
      <w:r w:rsidRPr="00AF7598">
        <w:rPr>
          <w:lang w:val="es-ES_tradnl"/>
        </w:rPr>
        <w:t xml:space="preserve">ARTÍCULO </w:t>
      </w:r>
      <w:r w:rsidR="00AF7598" w:rsidRPr="00AF7598">
        <w:rPr>
          <w:lang w:val="es-ES_tradnl"/>
        </w:rPr>
        <w:t xml:space="preserve"> </w:t>
      </w:r>
      <w:r w:rsidRPr="00AF7598">
        <w:rPr>
          <w:rStyle w:val="href2"/>
          <w:lang w:val="es-ES_tradnl"/>
        </w:rPr>
        <w:t>22</w:t>
      </w:r>
      <w:r w:rsidRPr="00AF7598">
        <w:rPr>
          <w:lang w:val="es-ES_tradnl"/>
        </w:rPr>
        <w:t xml:space="preserve"> del RR</w:t>
      </w:r>
    </w:p>
    <w:p w:rsidR="00340B6E" w:rsidRPr="00340B6E" w:rsidRDefault="00340B6E" w:rsidP="00340B6E">
      <w:pPr>
        <w:rPr>
          <w:lang w:val="es-ES_tradnl"/>
        </w:rPr>
      </w:pPr>
    </w:p>
    <w:p w:rsidR="005B0B05" w:rsidRPr="00AF7598" w:rsidRDefault="005B0B05" w:rsidP="001A0250">
      <w:pPr>
        <w:pStyle w:val="Heading8"/>
        <w:rPr>
          <w:lang w:val="es-ES_tradnl"/>
        </w:rPr>
      </w:pPr>
      <w:r w:rsidRPr="00AF7598">
        <w:rPr>
          <w:lang w:val="es-ES_tradnl"/>
        </w:rPr>
        <w:t>22.10</w:t>
      </w:r>
      <w:bookmarkStart w:id="0" w:name="_GoBack"/>
      <w:bookmarkEnd w:id="0"/>
    </w:p>
    <w:p w:rsidR="005B0B05" w:rsidRPr="00AF7598" w:rsidRDefault="005B0B05">
      <w:pPr>
        <w:rPr>
          <w:lang w:val="es-ES_tradnl"/>
        </w:rPr>
      </w:pPr>
      <w:r w:rsidRPr="00AF7598">
        <w:rPr>
          <w:lang w:val="es-ES_tradnl"/>
        </w:rPr>
        <w:t xml:space="preserve">La Junta determina que esta disposición significa que corresponde a la administración interesada decidir si puede o no cumplir el límite especificado en el número </w:t>
      </w:r>
      <w:r w:rsidRPr="00AF7598">
        <w:rPr>
          <w:rStyle w:val="Artref"/>
          <w:b/>
          <w:bCs/>
          <w:color w:val="000000"/>
          <w:lang w:val="es-ES_tradnl"/>
        </w:rPr>
        <w:t>22.8</w:t>
      </w:r>
      <w:r w:rsidRPr="00AF7598">
        <w:rPr>
          <w:lang w:val="es-ES_tradnl"/>
        </w:rPr>
        <w:t xml:space="preserve">. En lo </w:t>
      </w:r>
      <w:proofErr w:type="gramStart"/>
      <w:r w:rsidRPr="00AF7598">
        <w:rPr>
          <w:lang w:val="es-ES_tradnl"/>
        </w:rPr>
        <w:t>tocante</w:t>
      </w:r>
      <w:proofErr w:type="gramEnd"/>
      <w:r w:rsidRPr="00AF7598">
        <w:rPr>
          <w:lang w:val="es-ES_tradnl"/>
        </w:rPr>
        <w:t xml:space="preserve"> al examen que efectúa la Oficina de la conformidad con respecto al número </w:t>
      </w:r>
      <w:r w:rsidRPr="00AF7598">
        <w:rPr>
          <w:rStyle w:val="Artref"/>
          <w:b/>
          <w:bCs/>
          <w:color w:val="000000"/>
          <w:lang w:val="es-ES_tradnl"/>
        </w:rPr>
        <w:t>22.10</w:t>
      </w:r>
      <w:r w:rsidRPr="00AF7598">
        <w:rPr>
          <w:lang w:val="es-ES_tradnl"/>
        </w:rPr>
        <w:t xml:space="preserve">, la Oficina formulará una conclusión favorable con respecto al número </w:t>
      </w:r>
      <w:r w:rsidRPr="00AF7598">
        <w:rPr>
          <w:rStyle w:val="Artref"/>
          <w:b/>
          <w:bCs/>
          <w:color w:val="000000"/>
          <w:lang w:val="es-ES_tradnl"/>
        </w:rPr>
        <w:t>11.31</w:t>
      </w:r>
      <w:r w:rsidRPr="00AF7598">
        <w:rPr>
          <w:lang w:val="es-ES_tradnl"/>
        </w:rPr>
        <w:t xml:space="preserve"> al examinar la validez de la tolerancia longitudinal únicamente en los siguientes casos:</w:t>
      </w:r>
    </w:p>
    <w:p w:rsidR="005B0B05" w:rsidRPr="00AF7598" w:rsidRDefault="005B0B05">
      <w:pPr>
        <w:pStyle w:val="enumlev1"/>
        <w:rPr>
          <w:lang w:val="es-ES_tradnl"/>
        </w:rPr>
      </w:pPr>
      <w:r w:rsidRPr="00AF7598">
        <w:rPr>
          <w:i/>
          <w:lang w:val="es-ES_tradnl"/>
        </w:rPr>
        <w:t>a)</w:t>
      </w:r>
      <w:r w:rsidRPr="00AF7598">
        <w:rPr>
          <w:lang w:val="es-ES_tradnl"/>
        </w:rPr>
        <w:tab/>
        <w:t xml:space="preserve">si la tolerancia está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o</w:t>
      </w:r>
    </w:p>
    <w:p w:rsidR="005B0B05" w:rsidRPr="00AF7598" w:rsidRDefault="005B0B05">
      <w:pPr>
        <w:pStyle w:val="enumlev1"/>
        <w:spacing w:line="270" w:lineRule="exact"/>
        <w:rPr>
          <w:lang w:val="es-ES_tradnl"/>
        </w:rPr>
      </w:pPr>
      <w:r w:rsidRPr="00AF7598">
        <w:rPr>
          <w:i/>
          <w:lang w:val="es-ES_tradnl"/>
        </w:rPr>
        <w:t>b)</w:t>
      </w:r>
      <w:r w:rsidRPr="00AF7598">
        <w:rPr>
          <w:lang w:val="es-ES_tradnl"/>
        </w:rPr>
        <w:tab/>
        <w:t xml:space="preserve">si la administración indica que su estación espacial puede ser mantenida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de ser necesario.</w:t>
      </w:r>
    </w:p>
    <w:p w:rsidR="005B0B05" w:rsidRPr="00AF7598" w:rsidRDefault="005B0B05" w:rsidP="001A0250">
      <w:pPr>
        <w:pStyle w:val="Heading8"/>
        <w:rPr>
          <w:lang w:val="es-ES_tradnl"/>
        </w:rPr>
      </w:pPr>
      <w:r w:rsidRPr="00AF7598">
        <w:rPr>
          <w:lang w:val="es-ES_tradnl"/>
        </w:rPr>
        <w:t>22.14</w:t>
      </w:r>
    </w:p>
    <w:p w:rsidR="005B0B05" w:rsidRPr="00AF7598" w:rsidRDefault="005B0B05" w:rsidP="00AF7598">
      <w:pPr>
        <w:spacing w:line="270" w:lineRule="exact"/>
        <w:rPr>
          <w:lang w:val="es-ES_tradnl"/>
        </w:rPr>
      </w:pPr>
      <w:r w:rsidRPr="00AF7598">
        <w:rPr>
          <w:lang w:val="es-ES_tradnl"/>
        </w:rPr>
        <w:t>Se aplican los comentarios a las Reglas de Procedimiento relativas al número</w:t>
      </w:r>
      <w:r w:rsidR="00AF7598" w:rsidRPr="00AF7598">
        <w:rPr>
          <w:lang w:val="es-ES_tradnl"/>
        </w:rPr>
        <w:t xml:space="preserve"> </w:t>
      </w:r>
      <w:r w:rsidRPr="00AF7598">
        <w:rPr>
          <w:rStyle w:val="Artref"/>
          <w:b/>
          <w:bCs/>
          <w:color w:val="000000"/>
          <w:lang w:val="es-ES_tradnl"/>
        </w:rPr>
        <w:t>22.10</w:t>
      </w:r>
      <w:r w:rsidRPr="00AF7598">
        <w:rPr>
          <w:lang w:val="es-ES_tradnl"/>
        </w:rPr>
        <w:t xml:space="preserve"> susti</w:t>
      </w:r>
      <w:r w:rsidR="00AF7598" w:rsidRPr="00AF7598">
        <w:rPr>
          <w:lang w:val="es-ES_tradnl"/>
        </w:rPr>
        <w:softHyphen/>
      </w:r>
      <w:r w:rsidRPr="00AF7598">
        <w:rPr>
          <w:lang w:val="es-ES_tradnl"/>
        </w:rPr>
        <w:t xml:space="preserve">tuyendo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por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0,5°.</w:t>
      </w:r>
    </w:p>
    <w:p w:rsidR="005B0B05" w:rsidRPr="00AF7598" w:rsidRDefault="005B0B05">
      <w:pPr>
        <w:pStyle w:val="Heading8"/>
        <w:rPr>
          <w:lang w:val="es-ES_tradnl"/>
        </w:rPr>
      </w:pPr>
      <w:r w:rsidRPr="00AF7598">
        <w:rPr>
          <w:lang w:val="es-ES_tradnl"/>
        </w:rPr>
        <w:t>22.19</w:t>
      </w:r>
    </w:p>
    <w:p w:rsidR="005B0B05" w:rsidRPr="00AF7598" w:rsidRDefault="005B0B05">
      <w:pPr>
        <w:rPr>
          <w:lang w:val="es-ES_tradnl"/>
        </w:rPr>
      </w:pPr>
      <w:r w:rsidRPr="00AF7598">
        <w:rPr>
          <w:lang w:val="es-ES_tradnl"/>
        </w:rPr>
        <w:t>En el caso de la precisión de puntería no hay un valor obligatorio que deba respetarse. La administración tiene que indicar que su estación espacial puede ser mantenida dentro de los límites especificados en esta disposición. En ausencia de una declaración en tal sentido la Oficina formulará una conclusión desfavorable con respecto al número </w:t>
      </w:r>
      <w:r w:rsidRPr="00AF7598">
        <w:rPr>
          <w:rStyle w:val="Artref"/>
          <w:b/>
          <w:bCs/>
          <w:color w:val="000000"/>
          <w:lang w:val="es-ES_tradnl"/>
        </w:rPr>
        <w:t>11.31</w:t>
      </w:r>
      <w:r w:rsidRPr="00AF7598">
        <w:rPr>
          <w:lang w:val="es-ES_tradnl"/>
        </w:rPr>
        <w:t>.</w:t>
      </w:r>
    </w:p>
    <w:p w:rsidR="005B0B05" w:rsidRPr="00AF7598" w:rsidRDefault="005B0B05">
      <w:pPr>
        <w:rPr>
          <w:lang w:val="es-ES_tradnl"/>
        </w:rPr>
      </w:pPr>
    </w:p>
    <w:p w:rsidR="005B0B05" w:rsidRPr="00AF7598" w:rsidRDefault="005B0B05">
      <w:pPr>
        <w:jc w:val="center"/>
        <w:rPr>
          <w:lang w:val="es-ES_tradnl"/>
        </w:rPr>
      </w:pPr>
      <w:r w:rsidRPr="00AF7598">
        <w:rPr>
          <w:lang w:val="es-ES_tradnl"/>
        </w:rPr>
        <w:t>____________________</w:t>
      </w:r>
    </w:p>
    <w:p w:rsidR="005B0B05" w:rsidRPr="00AF7598" w:rsidRDefault="005B0B05" w:rsidP="00AF7598">
      <w:pPr>
        <w:rPr>
          <w:lang w:val="es-ES_tradnl"/>
        </w:rPr>
      </w:pPr>
    </w:p>
    <w:p w:rsidR="005B0B05" w:rsidRPr="00AF7598" w:rsidRDefault="005B0B05" w:rsidP="00AF7598">
      <w:pPr>
        <w:rPr>
          <w:lang w:val="es-ES_tradnl"/>
        </w:rPr>
      </w:pPr>
    </w:p>
    <w:p w:rsidR="005B0B05" w:rsidRPr="00AF7598" w:rsidRDefault="005B0B05" w:rsidP="00AF7598">
      <w:pPr>
        <w:rPr>
          <w:lang w:val="es-ES_tradnl"/>
        </w:rPr>
      </w:pPr>
    </w:p>
    <w:p w:rsidR="005B0B05" w:rsidRPr="00AF7598" w:rsidRDefault="005B0B05" w:rsidP="00AF7598">
      <w:pPr>
        <w:rPr>
          <w:lang w:val="es-ES_tradnl"/>
        </w:rPr>
      </w:pPr>
    </w:p>
    <w:p w:rsidR="005B0B05" w:rsidRPr="00AF7598" w:rsidRDefault="005B0B05" w:rsidP="00AF7598">
      <w:pPr>
        <w:rPr>
          <w:lang w:val="es-ES_tradnl"/>
        </w:rPr>
      </w:pPr>
    </w:p>
    <w:p w:rsidR="00AF7598" w:rsidRPr="00AF7598" w:rsidRDefault="00AF7598" w:rsidP="00AF7598">
      <w:pPr>
        <w:rPr>
          <w:lang w:val="es-ES_tradnl"/>
        </w:rPr>
      </w:pPr>
    </w:p>
    <w:p w:rsidR="005B0B05" w:rsidRPr="00AF7598" w:rsidRDefault="005B0B05" w:rsidP="00AF7598">
      <w:pPr>
        <w:rPr>
          <w:lang w:val="es-ES_tradnl"/>
        </w:rPr>
        <w:sectPr w:rsidR="005B0B05" w:rsidRPr="00AF7598">
          <w:headerReference w:type="first" r:id="rId7"/>
          <w:footnotePr>
            <w:pos w:val="beneathText"/>
          </w:footnotePr>
          <w:type w:val="oddPage"/>
          <w:pgSz w:w="11907" w:h="16840" w:code="9"/>
          <w:pgMar w:top="1701" w:right="851" w:bottom="1134" w:left="1985" w:header="720" w:footer="482" w:gutter="0"/>
          <w:cols w:space="720"/>
          <w:vAlign w:val="both"/>
          <w:titlePg/>
        </w:sectPr>
      </w:pPr>
    </w:p>
    <w:p w:rsidR="005B0B05" w:rsidRPr="00AF7598" w:rsidRDefault="005B0B05" w:rsidP="00AF7598">
      <w:pPr>
        <w:rPr>
          <w:lang w:val="es-ES_tradnl"/>
        </w:rPr>
      </w:pPr>
    </w:p>
    <w:sectPr w:rsidR="005B0B05" w:rsidRPr="00AF7598">
      <w:headerReference w:type="even" r:id="rId8"/>
      <w:headerReference w:type="default" r:id="rId9"/>
      <w:footerReference w:type="even" r:id="rId1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7F2" w:rsidRDefault="00EC27F2">
      <w:r>
        <w:separator/>
      </w:r>
    </w:p>
  </w:endnote>
  <w:endnote w:type="continuationSeparator" w:id="0">
    <w:p w:rsidR="00EC27F2" w:rsidRDefault="00EC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B05" w:rsidRDefault="005B0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7F2" w:rsidRDefault="00EC27F2">
      <w:r>
        <w:rPr>
          <w:b/>
        </w:rPr>
        <w:t>_______________</w:t>
      </w:r>
    </w:p>
  </w:footnote>
  <w:footnote w:type="continuationSeparator" w:id="0">
    <w:p w:rsidR="00EC27F2" w:rsidRDefault="00EC2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es-ES_tradnl"/>
            </w:rPr>
          </w:pPr>
          <w:r>
            <w:fldChar w:fldCharType="begin"/>
          </w:r>
          <w:r>
            <w:rPr>
              <w:lang w:val="es-ES_tradnl"/>
            </w:rPr>
            <w:instrText xml:space="preserve"> DOCPROPERTY "Header" \* MERGEFORMAT </w:instrText>
          </w:r>
          <w:r>
            <w:fldChar w:fldCharType="separate"/>
          </w:r>
          <w:r w:rsidR="00AF7598">
            <w:rPr>
              <w:lang w:val="es-ES_tradnl"/>
            </w:rPr>
            <w:t>AR</w:t>
          </w:r>
          <w:r>
            <w:fldChar w:fldCharType="end"/>
          </w:r>
          <w:r>
            <w:fldChar w:fldCharType="begin"/>
          </w:r>
          <w:r>
            <w:rPr>
              <w:lang w:val="es-ES_tradnl"/>
            </w:rPr>
            <w:instrText>styleref href2</w:instrText>
          </w:r>
          <w:r>
            <w:fldChar w:fldCharType="separate"/>
          </w:r>
          <w:r w:rsidR="00EC21BD">
            <w:rPr>
              <w:noProof/>
            </w:rPr>
            <w:t>22</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C21B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AF7598">
            <w:rPr>
              <w:lang w:val="fr-CH"/>
            </w:rPr>
            <w:t>-</w:t>
          </w:r>
          <w:r>
            <w:fldChar w:fldCharType="end"/>
          </w:r>
        </w:p>
      </w:tc>
    </w:tr>
  </w:tbl>
  <w:p w:rsidR="005B0B05" w:rsidRDefault="005B0B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B05" w:rsidRDefault="005B0B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pPr>
          <w:r>
            <w:t xml:space="preserve">Parte </w:t>
          </w:r>
          <w:r>
            <w:fldChar w:fldCharType="begin"/>
          </w:r>
          <w:r>
            <w:instrText>styleref href</w:instrText>
          </w:r>
          <w:r>
            <w:fldChar w:fldCharType="separate"/>
          </w:r>
          <w:r w:rsidR="00AF7598">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fr-FR"/>
            </w:rPr>
          </w:pPr>
          <w:fldSimple w:instr=" DOCPROPERTY &quot;Header&quot; \* MERGEFORMAT ">
            <w:r w:rsidR="00AF7598">
              <w:t>AR</w:t>
            </w:r>
          </w:fldSimple>
          <w:r>
            <w:fldChar w:fldCharType="begin"/>
          </w:r>
          <w:r>
            <w:instrText>styleref href2</w:instrText>
          </w:r>
          <w:r>
            <w:fldChar w:fldCharType="separate"/>
          </w:r>
          <w:r w:rsidR="00AF7598">
            <w:rPr>
              <w:noProof/>
            </w:rPr>
            <w:t>22</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B0B05" w:rsidRDefault="005B0B05">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AF7598">
            <w:rPr>
              <w:lang w:val="fr-CH"/>
            </w:rPr>
            <w:t>-</w:t>
          </w:r>
          <w:r>
            <w:fldChar w:fldCharType="end"/>
          </w:r>
        </w:p>
      </w:tc>
    </w:tr>
  </w:tbl>
  <w:p w:rsidR="005B0B05" w:rsidRDefault="005B0B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B05"/>
    <w:rsid w:val="001A0250"/>
    <w:rsid w:val="00340B6E"/>
    <w:rsid w:val="0053642D"/>
    <w:rsid w:val="005B0B05"/>
    <w:rsid w:val="00766D72"/>
    <w:rsid w:val="00A43919"/>
    <w:rsid w:val="00AF7598"/>
    <w:rsid w:val="00B60096"/>
    <w:rsid w:val="00EC21BD"/>
    <w:rsid w:val="00EC27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22</dc:subject>
  <dc:creator>Composition des Publications</dc:creator>
  <cp:keywords>Folios: 1 - 2 (blanc)</cp:keywords>
  <dc:description>Edition 2009:    13.02.2009/DD (dict. ok)</dc:description>
  <cp:lastModifiedBy>De Nicola, Simon</cp:lastModifiedBy>
  <cp:revision>2</cp:revision>
  <cp:lastPrinted>2005-05-13T16:21:00Z</cp:lastPrinted>
  <dcterms:created xsi:type="dcterms:W3CDTF">2012-10-02T09:54:00Z</dcterms:created>
  <dcterms:modified xsi:type="dcterms:W3CDTF">2012-10-02T09:54:00Z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