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EC8" w:rsidRPr="006E5EF8" w:rsidRDefault="00A24EC8" w:rsidP="00DA28BB">
      <w:pPr>
        <w:pStyle w:val="AnnexNoTitle"/>
        <w:spacing w:before="240"/>
        <w:rPr>
          <w:lang w:val="es-ES"/>
        </w:rPr>
      </w:pPr>
      <w:r w:rsidRPr="006E5EF8">
        <w:rPr>
          <w:lang w:val="es-ES"/>
        </w:rPr>
        <w:t>Reglas relativas a la</w:t>
      </w:r>
      <w:r w:rsidR="00E600FF">
        <w:rPr>
          <w:lang w:val="es-ES"/>
        </w:rPr>
        <w:t xml:space="preserve"> t</w:t>
      </w:r>
      <w:r w:rsidRPr="006E5EF8">
        <w:rPr>
          <w:lang w:val="es-ES"/>
        </w:rPr>
        <w:t xml:space="preserve">ramitación por la Oficina de Radiocomunicaciones de solicitudes de coordinación con arreglo al Artículo 9 o notificaciones con arreglo al Artículo 11 del Reglamento de Radiocomunicaciones presentadas a la Oficina a partir del día siguiente de una CMR pero antes de </w:t>
      </w:r>
      <w:r w:rsidR="00DA28BB">
        <w:rPr>
          <w:lang w:val="es-ES"/>
        </w:rPr>
        <w:br/>
      </w:r>
      <w:r w:rsidRPr="006E5EF8">
        <w:rPr>
          <w:lang w:val="es-ES"/>
        </w:rPr>
        <w:t xml:space="preserve">la fecha efectiva de entrada en vigor de las atribuciones </w:t>
      </w:r>
      <w:r w:rsidR="00DA28BB">
        <w:rPr>
          <w:lang w:val="es-ES"/>
        </w:rPr>
        <w:br/>
      </w:r>
      <w:r w:rsidRPr="006E5EF8">
        <w:rPr>
          <w:lang w:val="es-ES"/>
        </w:rPr>
        <w:t>de frecuencias nuevas o actualizadas en la CMR</w:t>
      </w:r>
      <w:r w:rsidR="00DA28BB">
        <w:rPr>
          <w:rStyle w:val="FootnoteReference"/>
          <w:lang w:val="es-ES"/>
        </w:rPr>
        <w:footnoteReference w:id="1"/>
      </w:r>
    </w:p>
    <w:p w:rsidR="00A24EC8" w:rsidRPr="006E5EF8" w:rsidRDefault="00A24EC8" w:rsidP="00A24EC8">
      <w:pPr>
        <w:rPr>
          <w:color w:val="000000"/>
          <w:lang w:val="es-ES"/>
        </w:rPr>
      </w:pPr>
      <w:r w:rsidRPr="006E5EF8">
        <w:rPr>
          <w:lang w:val="es-ES"/>
        </w:rPr>
        <w:t xml:space="preserve">En el caso de solicitudes de coordinación o formularios de notificación que contengan una asignación de frecuencia en virtud de una atribución nueva o actualizada adoptada por una CMR y recibidas por la Oficina a partir del día siguiente de la Conferencia, la conformidad de las asignaciones con el Cuadro de atribución de bandas de frecuencias se determinará con arreglo a lo dispuesto en el número </w:t>
      </w:r>
      <w:r w:rsidRPr="006E5EF8">
        <w:rPr>
          <w:b/>
          <w:bCs/>
          <w:color w:val="000000"/>
          <w:lang w:val="es-ES"/>
        </w:rPr>
        <w:t>9.35</w:t>
      </w:r>
      <w:r w:rsidRPr="006E5EF8">
        <w:rPr>
          <w:lang w:val="es-ES"/>
        </w:rPr>
        <w:t xml:space="preserve"> (en lo que respecta a la conformidad con el número </w:t>
      </w:r>
      <w:r w:rsidRPr="006E5EF8">
        <w:rPr>
          <w:b/>
          <w:bCs/>
          <w:color w:val="000000"/>
          <w:lang w:val="es-ES"/>
        </w:rPr>
        <w:t>11.31</w:t>
      </w:r>
      <w:r w:rsidRPr="006E5EF8">
        <w:rPr>
          <w:lang w:val="es-ES"/>
        </w:rPr>
        <w:t xml:space="preserve">) o con arreglo al número </w:t>
      </w:r>
      <w:r w:rsidRPr="006E5EF8">
        <w:rPr>
          <w:b/>
          <w:bCs/>
          <w:lang w:val="es-ES"/>
        </w:rPr>
        <w:t>11.31</w:t>
      </w:r>
      <w:r w:rsidRPr="006E5EF8">
        <w:rPr>
          <w:lang w:val="es-ES"/>
        </w:rPr>
        <w:t xml:space="preserve">, según corresponda, y las conclusiones de la Oficina reflejarán el estado de la asignación de frecuencias en lo que respecta a la conformidad con el Cuadro de atribución de frecuencias. La Junta decidió que las siguientes categorías </w:t>
      </w:r>
      <w:r w:rsidRPr="006E5EF8">
        <w:rPr>
          <w:color w:val="000000"/>
          <w:lang w:val="es-ES"/>
        </w:rPr>
        <w:t xml:space="preserve">de conclusión del número </w:t>
      </w:r>
      <w:r w:rsidRPr="006E5EF8">
        <w:rPr>
          <w:b/>
          <w:bCs/>
          <w:color w:val="000000"/>
          <w:lang w:val="es-ES"/>
        </w:rPr>
        <w:t>11.31</w:t>
      </w:r>
      <w:r w:rsidRPr="006E5EF8">
        <w:rPr>
          <w:color w:val="000000"/>
          <w:lang w:val="es-ES"/>
        </w:rPr>
        <w:t xml:space="preserve"> se formularán con arreglo a la fecha de recepción de la solicitud de coordinación o de la notificación de que se trate y las fechas de puesta en servicio de la asignación de frecuencias:</w:t>
      </w:r>
    </w:p>
    <w:p w:rsidR="00A24EC8" w:rsidRPr="006E5EF8" w:rsidRDefault="00A24EC8" w:rsidP="00A24EC8">
      <w:pPr>
        <w:pStyle w:val="enumlev1"/>
        <w:rPr>
          <w:lang w:val="es-ES"/>
        </w:rPr>
      </w:pPr>
      <w:r w:rsidRPr="006E5EF8">
        <w:rPr>
          <w:lang w:val="es-ES"/>
        </w:rPr>
        <w:t>a)</w:t>
      </w:r>
      <w:r w:rsidRPr="006E5EF8">
        <w:rPr>
          <w:lang w:val="es-ES"/>
        </w:rPr>
        <w:tab/>
        <w:t>la conclusión será favorable si, en la fecha en la que la Oficina reciba la solicitud de coordinación o la información de notificación, la atribución de frecuencias en cuestión está en vigor;</w:t>
      </w:r>
    </w:p>
    <w:p w:rsidR="00A24EC8" w:rsidRPr="006E5EF8" w:rsidRDefault="00A24EC8" w:rsidP="00A24EC8">
      <w:pPr>
        <w:pStyle w:val="enumlev1"/>
        <w:rPr>
          <w:lang w:val="es-ES"/>
        </w:rPr>
      </w:pPr>
      <w:r w:rsidRPr="006E5EF8">
        <w:rPr>
          <w:iCs/>
          <w:lang w:val="es-ES"/>
        </w:rPr>
        <w:t>b)</w:t>
      </w:r>
      <w:r w:rsidRPr="006E5EF8">
        <w:rPr>
          <w:lang w:val="es-ES"/>
        </w:rPr>
        <w:tab/>
        <w:t>la conclusión será desfavorable si, en la fecha en la que la Oficina reciba la solicitud de coordinación o la información de notificación, la atribución de frecuencias en cuestión no ha sido adoptada aún por la Conferencia;</w:t>
      </w:r>
    </w:p>
    <w:p w:rsidR="00A24EC8" w:rsidRPr="006E5EF8" w:rsidRDefault="00A24EC8" w:rsidP="00A24EC8">
      <w:pPr>
        <w:pStyle w:val="enumlev1"/>
        <w:rPr>
          <w:lang w:val="es-ES"/>
        </w:rPr>
      </w:pPr>
      <w:r w:rsidRPr="006E5EF8">
        <w:rPr>
          <w:iCs/>
          <w:lang w:val="es-ES"/>
        </w:rPr>
        <w:t>c)</w:t>
      </w:r>
      <w:r w:rsidRPr="006E5EF8">
        <w:rPr>
          <w:lang w:val="es-ES"/>
        </w:rPr>
        <w:tab/>
        <w:t>la conclusión será «favorable con reservas» si, en la fecha en la que la Oficina reciba la solicitud de coordinación o la información de notificación, la atribución en cuestión ha sido adoptada por la Conferencia pero aún no están en vigor. Esta conclusión permitirá iniciar el procedimiento de coordinación para la red</w:t>
      </w:r>
      <w:r w:rsidRPr="006E5EF8">
        <w:rPr>
          <w:sz w:val="20"/>
          <w:lang w:val="es-ES"/>
        </w:rPr>
        <w:t xml:space="preserve"> </w:t>
      </w:r>
      <w:r w:rsidRPr="006E5EF8">
        <w:rPr>
          <w:lang w:val="es-ES"/>
        </w:rPr>
        <w:t>en</w:t>
      </w:r>
      <w:r w:rsidRPr="006E5EF8">
        <w:rPr>
          <w:sz w:val="20"/>
          <w:lang w:val="es-ES"/>
        </w:rPr>
        <w:t xml:space="preserve"> </w:t>
      </w:r>
      <w:r w:rsidRPr="006E5EF8">
        <w:rPr>
          <w:lang w:val="es-ES"/>
        </w:rPr>
        <w:t>cuestión</w:t>
      </w:r>
      <w:r w:rsidRPr="006E5EF8">
        <w:rPr>
          <w:sz w:val="20"/>
          <w:lang w:val="es-ES"/>
        </w:rPr>
        <w:t xml:space="preserve"> </w:t>
      </w:r>
      <w:r w:rsidRPr="006E5EF8">
        <w:rPr>
          <w:lang w:val="es-ES"/>
        </w:rPr>
        <w:t>a fin de coordinar sus</w:t>
      </w:r>
      <w:r w:rsidRPr="006E5EF8">
        <w:rPr>
          <w:sz w:val="20"/>
          <w:lang w:val="es-ES"/>
        </w:rPr>
        <w:t xml:space="preserve"> </w:t>
      </w:r>
      <w:r w:rsidRPr="006E5EF8">
        <w:rPr>
          <w:lang w:val="es-ES"/>
        </w:rPr>
        <w:t>asignaciones</w:t>
      </w:r>
      <w:r w:rsidRPr="006E5EF8">
        <w:rPr>
          <w:sz w:val="20"/>
          <w:lang w:val="es-ES"/>
        </w:rPr>
        <w:t xml:space="preserve"> </w:t>
      </w:r>
      <w:r w:rsidRPr="006E5EF8">
        <w:rPr>
          <w:lang w:val="es-ES"/>
        </w:rPr>
        <w:t>y</w:t>
      </w:r>
      <w:r w:rsidRPr="006E5EF8">
        <w:rPr>
          <w:sz w:val="20"/>
          <w:lang w:val="es-ES"/>
        </w:rPr>
        <w:t xml:space="preserve"> </w:t>
      </w:r>
      <w:r w:rsidRPr="006E5EF8">
        <w:rPr>
          <w:lang w:val="es-ES"/>
        </w:rPr>
        <w:t>tenerla en cuenta</w:t>
      </w:r>
      <w:r w:rsidRPr="006E5EF8">
        <w:rPr>
          <w:sz w:val="20"/>
          <w:lang w:val="es-ES"/>
        </w:rPr>
        <w:t xml:space="preserve"> </w:t>
      </w:r>
      <w:r w:rsidRPr="006E5EF8">
        <w:rPr>
          <w:lang w:val="es-ES"/>
        </w:rPr>
        <w:t>al</w:t>
      </w:r>
      <w:r w:rsidRPr="006E5EF8">
        <w:rPr>
          <w:sz w:val="20"/>
          <w:lang w:val="es-ES"/>
        </w:rPr>
        <w:t xml:space="preserve"> </w:t>
      </w:r>
      <w:r w:rsidRPr="006E5EF8">
        <w:rPr>
          <w:lang w:val="es-ES"/>
        </w:rPr>
        <w:t>aplicar</w:t>
      </w:r>
      <w:r w:rsidRPr="006E5EF8">
        <w:rPr>
          <w:sz w:val="20"/>
          <w:lang w:val="es-ES"/>
        </w:rPr>
        <w:t xml:space="preserve"> </w:t>
      </w:r>
      <w:r w:rsidRPr="006E5EF8">
        <w:rPr>
          <w:lang w:val="es-ES"/>
        </w:rPr>
        <w:t>el</w:t>
      </w:r>
      <w:r w:rsidRPr="006E5EF8">
        <w:rPr>
          <w:sz w:val="20"/>
          <w:lang w:val="es-ES"/>
        </w:rPr>
        <w:t xml:space="preserve"> </w:t>
      </w:r>
      <w:r w:rsidRPr="006E5EF8">
        <w:rPr>
          <w:lang w:val="es-ES"/>
        </w:rPr>
        <w:t>número</w:t>
      </w:r>
      <w:r w:rsidRPr="006E5EF8">
        <w:rPr>
          <w:sz w:val="20"/>
          <w:lang w:val="es-ES"/>
        </w:rPr>
        <w:t> </w:t>
      </w:r>
      <w:r w:rsidRPr="006E5EF8">
        <w:rPr>
          <w:b/>
          <w:bCs/>
          <w:lang w:val="es-ES"/>
        </w:rPr>
        <w:t>9.27</w:t>
      </w:r>
      <w:r w:rsidRPr="006E5EF8">
        <w:rPr>
          <w:lang w:val="es-ES"/>
        </w:rPr>
        <w:t xml:space="preserve"> y, en el caso de una red no sujeta a la Sección II del Artículo 9, tramitarse con arreglo al número </w:t>
      </w:r>
      <w:r w:rsidRPr="006E5EF8">
        <w:rPr>
          <w:b/>
          <w:bCs/>
          <w:lang w:val="es-ES"/>
        </w:rPr>
        <w:t>11.36</w:t>
      </w:r>
      <w:r w:rsidRPr="006E5EF8">
        <w:rPr>
          <w:lang w:val="es-ES"/>
        </w:rPr>
        <w:t>;</w:t>
      </w:r>
    </w:p>
    <w:p w:rsidR="00A24EC8" w:rsidRPr="006E5EF8" w:rsidRDefault="00A24EC8" w:rsidP="00A24EC8">
      <w:pPr>
        <w:pStyle w:val="enumlev1"/>
        <w:rPr>
          <w:lang w:val="es-ES"/>
        </w:rPr>
      </w:pPr>
      <w:bookmarkStart w:id="0" w:name="lt_pId092"/>
      <w:r w:rsidRPr="006E5EF8">
        <w:rPr>
          <w:lang w:val="es-ES"/>
        </w:rPr>
        <w:t>d)</w:t>
      </w:r>
      <w:r w:rsidRPr="006E5EF8">
        <w:rPr>
          <w:lang w:val="es-ES"/>
        </w:rPr>
        <w:tab/>
        <w:t>la conclusión «favorable con reservas» pasará a ser favorable después de la fecha de entrada en vigor de la atribución de frecuencias previa confirmación de que la fecha de puesta en servicio de la asignación de frecuencias se produce de hecho después de la fecha de entrada en vigor de la atribución de frecuencias en cuestión. En otro caso, la conclusión pasará a ser desfavorable.</w:t>
      </w:r>
    </w:p>
    <w:p w:rsidR="00A24EC8" w:rsidRDefault="00A24EC8" w:rsidP="00EA5510">
      <w:pPr>
        <w:spacing w:line="270" w:lineRule="exact"/>
        <w:rPr>
          <w:lang w:val="es-ES"/>
        </w:rPr>
      </w:pPr>
      <w:r w:rsidRPr="006E5EF8">
        <w:rPr>
          <w:lang w:val="es-ES"/>
        </w:rPr>
        <w:t>Salvo en lo que respecta al examen de conformidad con la atribución de frecuencias arriba mencionada, las solicitudes de coordina</w:t>
      </w:r>
      <w:bookmarkStart w:id="1" w:name="_GoBack"/>
      <w:bookmarkEnd w:id="1"/>
      <w:r w:rsidRPr="006E5EF8">
        <w:rPr>
          <w:lang w:val="es-ES"/>
        </w:rPr>
        <w:t xml:space="preserve">ción y las notificaciones en cuestión se examinarán con arreglo al número </w:t>
      </w:r>
      <w:r w:rsidRPr="006E5EF8">
        <w:rPr>
          <w:b/>
          <w:bCs/>
          <w:lang w:val="es-ES"/>
        </w:rPr>
        <w:t>9.36</w:t>
      </w:r>
      <w:r w:rsidRPr="006E5EF8">
        <w:rPr>
          <w:lang w:val="es-ES"/>
        </w:rPr>
        <w:t xml:space="preserve"> y respecto de su conformidad con los números </w:t>
      </w:r>
      <w:r w:rsidRPr="006E5EF8">
        <w:rPr>
          <w:b/>
          <w:bCs/>
          <w:lang w:val="es-ES"/>
        </w:rPr>
        <w:t>11.31</w:t>
      </w:r>
      <w:r w:rsidRPr="006E5EF8">
        <w:rPr>
          <w:lang w:val="es-ES"/>
        </w:rPr>
        <w:t xml:space="preserve"> y </w:t>
      </w:r>
      <w:r w:rsidRPr="006E5EF8">
        <w:rPr>
          <w:b/>
          <w:bCs/>
          <w:lang w:val="es-ES"/>
        </w:rPr>
        <w:t>11.32</w:t>
      </w:r>
      <w:r w:rsidRPr="006E5EF8">
        <w:rPr>
          <w:lang w:val="es-ES"/>
        </w:rPr>
        <w:t xml:space="preserve"> utilizando las condiciones que se aplican a la atribución de frecuencias nueva o actualizada en la fecha de entrada en vigor de dicha atribución tal y como fue adoptada por la CMR (por ejemplo los límites de potencia, los criterios de coordinación, etc.).</w:t>
      </w:r>
      <w:bookmarkEnd w:id="0"/>
    </w:p>
    <w:p w:rsidR="000A3673" w:rsidRPr="0090341E" w:rsidRDefault="009B0BD8" w:rsidP="009B0BD8">
      <w:pPr>
        <w:jc w:val="center"/>
        <w:rPr>
          <w:lang w:val="es-ES_tradnl"/>
        </w:rPr>
      </w:pPr>
      <w:r>
        <w:rPr>
          <w:lang w:val="es-ES_tradnl"/>
        </w:rPr>
        <w:t>______________</w:t>
      </w:r>
    </w:p>
    <w:sectPr w:rsidR="000A3673" w:rsidRPr="0090341E" w:rsidSect="00EA5510">
      <w:headerReference w:type="default" r:id="rId8"/>
      <w:footnotePr>
        <w:pos w:val="beneathText"/>
      </w:footnotePr>
      <w:pgSz w:w="11907" w:h="16840" w:code="9"/>
      <w:pgMar w:top="1701" w:right="851" w:bottom="851" w:left="1985" w:header="720" w:footer="482" w:gutter="0"/>
      <w:cols w:space="720"/>
      <w:vAlign w:val="both"/>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A32" w:rsidRDefault="008D4A32">
      <w:r>
        <w:separator/>
      </w:r>
    </w:p>
  </w:endnote>
  <w:endnote w:type="continuationSeparator" w:id="0">
    <w:p w:rsidR="008D4A32" w:rsidRDefault="008D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A32" w:rsidRDefault="008D4A32">
      <w:r>
        <w:rPr>
          <w:b/>
        </w:rPr>
        <w:t>_______________</w:t>
      </w:r>
    </w:p>
  </w:footnote>
  <w:footnote w:type="continuationSeparator" w:id="0">
    <w:p w:rsidR="008D4A32" w:rsidRDefault="008D4A32">
      <w:r>
        <w:continuationSeparator/>
      </w:r>
    </w:p>
  </w:footnote>
  <w:footnote w:id="1">
    <w:p w:rsidR="00DA28BB" w:rsidRPr="00DA28BB" w:rsidRDefault="00DA28BB">
      <w:pPr>
        <w:pStyle w:val="FootnoteText"/>
        <w:rPr>
          <w:lang w:val="es-ES_tradnl"/>
        </w:rPr>
      </w:pPr>
      <w:r>
        <w:rPr>
          <w:rStyle w:val="FootnoteReference"/>
        </w:rPr>
        <w:footnoteRef/>
      </w:r>
      <w:r w:rsidRPr="00DA28BB">
        <w:rPr>
          <w:lang w:val="es-ES_tradnl"/>
        </w:rPr>
        <w:t xml:space="preserve"> </w:t>
      </w:r>
      <w:r>
        <w:rPr>
          <w:lang w:val="es-ES_tradnl"/>
        </w:rPr>
        <w:tab/>
      </w:r>
      <w:r w:rsidRPr="00173BA2">
        <w:rPr>
          <w:lang w:val="es-ES"/>
        </w:rPr>
        <w:t xml:space="preserve">Esta Regla de Procedimiento hace referencia a los Artículos </w:t>
      </w:r>
      <w:r w:rsidRPr="004C415C">
        <w:rPr>
          <w:lang w:val="es-ES"/>
        </w:rPr>
        <w:t>9</w:t>
      </w:r>
      <w:r>
        <w:rPr>
          <w:lang w:val="es-ES"/>
        </w:rPr>
        <w:t xml:space="preserve"> y </w:t>
      </w:r>
      <w:r w:rsidRPr="004C415C">
        <w:rPr>
          <w:lang w:val="es-ES"/>
        </w:rPr>
        <w:t>11</w:t>
      </w:r>
      <w:r>
        <w:rPr>
          <w:lang w:val="es-ES"/>
        </w:rPr>
        <w:t xml:space="preserve"> del Reglamento de Radiocomunicaciones</w:t>
      </w:r>
      <w:r w:rsidRPr="00396042">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992"/>
      <w:gridCol w:w="3401"/>
      <w:gridCol w:w="1701"/>
      <w:gridCol w:w="1701"/>
    </w:tblGrid>
    <w:tr w:rsidR="00EA5510" w:rsidRPr="0092159C" w:rsidTr="00EA5510">
      <w:trPr>
        <w:cantSplit/>
        <w:jc w:val="right"/>
      </w:trPr>
      <w:tc>
        <w:tcPr>
          <w:tcW w:w="992" w:type="dxa"/>
          <w:tcBorders>
            <w:top w:val="single" w:sz="6" w:space="0" w:color="auto"/>
            <w:left w:val="single" w:sz="6" w:space="0" w:color="auto"/>
            <w:bottom w:val="single" w:sz="6" w:space="0" w:color="auto"/>
            <w:right w:val="single" w:sz="6" w:space="0" w:color="auto"/>
          </w:tcBorders>
        </w:tcPr>
        <w:p w:rsidR="00EA5510" w:rsidRDefault="00EA5510" w:rsidP="00EA5510">
          <w:pPr>
            <w:pStyle w:val="HeaderRegProc"/>
            <w:rPr>
              <w:color w:val="000000"/>
            </w:rPr>
          </w:pPr>
          <w:r>
            <w:rPr>
              <w:color w:val="000000"/>
            </w:rPr>
            <w:t>Parte A1</w:t>
          </w:r>
        </w:p>
      </w:tc>
      <w:tc>
        <w:tcPr>
          <w:tcW w:w="3401" w:type="dxa"/>
          <w:tcBorders>
            <w:top w:val="single" w:sz="6" w:space="0" w:color="auto"/>
            <w:left w:val="single" w:sz="6" w:space="0" w:color="auto"/>
            <w:bottom w:val="single" w:sz="6" w:space="0" w:color="auto"/>
            <w:right w:val="single" w:sz="6" w:space="0" w:color="auto"/>
          </w:tcBorders>
        </w:tcPr>
        <w:p w:rsidR="00EA5510" w:rsidRDefault="00E600FF" w:rsidP="00EA5510">
          <w:pPr>
            <w:pStyle w:val="HeaderRegProc"/>
            <w:rPr>
              <w:color w:val="000000"/>
              <w:lang w:val="es-ES_tradnl"/>
            </w:rPr>
          </w:pPr>
          <w:r>
            <w:t>F</w:t>
          </w:r>
          <w:r w:rsidR="00EA5510" w:rsidRPr="006E5EF8">
            <w:t>echa efectiva de entrada en vigor</w:t>
          </w:r>
        </w:p>
      </w:tc>
      <w:tc>
        <w:tcPr>
          <w:tcW w:w="1701" w:type="dxa"/>
          <w:tcBorders>
            <w:top w:val="single" w:sz="6" w:space="0" w:color="auto"/>
            <w:left w:val="single" w:sz="6" w:space="0" w:color="auto"/>
            <w:bottom w:val="single" w:sz="6" w:space="0" w:color="auto"/>
            <w:right w:val="single" w:sz="6" w:space="0" w:color="auto"/>
          </w:tcBorders>
        </w:tcPr>
        <w:p w:rsidR="00EA5510" w:rsidRDefault="00EA5510" w:rsidP="00EA5510">
          <w:pPr>
            <w:pStyle w:val="HeaderRegProc"/>
            <w:rPr>
              <w:color w:val="000000"/>
              <w:lang w:val="es-ES_tradnl"/>
            </w:rPr>
          </w:pPr>
          <w:r>
            <w:rPr>
              <w:color w:val="000000"/>
              <w:lang w:val="es-ES_tradnl"/>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4C415C">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EA5510" w:rsidRDefault="00EA5510" w:rsidP="00EA5510">
          <w:pPr>
            <w:pStyle w:val="HeaderRegProc"/>
            <w:rPr>
              <w:color w:val="000000"/>
              <w:lang w:val="es-ES_tradnl"/>
            </w:rPr>
          </w:pPr>
          <w:r>
            <w:rPr>
              <w:color w:val="000000"/>
              <w:lang w:val="es-ES_tradnl"/>
            </w:rPr>
            <w:t xml:space="preserve">rev. </w:t>
          </w:r>
          <w:r w:rsidR="006435C7">
            <w:rPr>
              <w:color w:val="000000"/>
              <w:lang w:val="es-ES_tradnl"/>
            </w:rPr>
            <w:t>-</w:t>
          </w:r>
        </w:p>
      </w:tc>
    </w:tr>
  </w:tbl>
  <w:p w:rsidR="00EA5510" w:rsidRDefault="00EA5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5821AA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
  <w:rsids>
    <w:rsidRoot w:val="000A3673"/>
    <w:rsid w:val="0002745A"/>
    <w:rsid w:val="00032BB2"/>
    <w:rsid w:val="00045024"/>
    <w:rsid w:val="00050B0C"/>
    <w:rsid w:val="00051F85"/>
    <w:rsid w:val="000639D1"/>
    <w:rsid w:val="000A3673"/>
    <w:rsid w:val="000C2B0E"/>
    <w:rsid w:val="000E037E"/>
    <w:rsid w:val="000E3057"/>
    <w:rsid w:val="000E4B99"/>
    <w:rsid w:val="000E58F2"/>
    <w:rsid w:val="000E6ED3"/>
    <w:rsid w:val="00100F40"/>
    <w:rsid w:val="00104F54"/>
    <w:rsid w:val="001068DF"/>
    <w:rsid w:val="001125E4"/>
    <w:rsid w:val="001131A8"/>
    <w:rsid w:val="00120114"/>
    <w:rsid w:val="00125E58"/>
    <w:rsid w:val="00130C69"/>
    <w:rsid w:val="001320CA"/>
    <w:rsid w:val="0013219F"/>
    <w:rsid w:val="00146CB2"/>
    <w:rsid w:val="00151FFA"/>
    <w:rsid w:val="0016252D"/>
    <w:rsid w:val="00173BA2"/>
    <w:rsid w:val="00180AEF"/>
    <w:rsid w:val="00190A7B"/>
    <w:rsid w:val="001A1A1B"/>
    <w:rsid w:val="001C083C"/>
    <w:rsid w:val="001D5A90"/>
    <w:rsid w:val="0021638A"/>
    <w:rsid w:val="00221A7C"/>
    <w:rsid w:val="0023715A"/>
    <w:rsid w:val="00246C44"/>
    <w:rsid w:val="00263535"/>
    <w:rsid w:val="00285996"/>
    <w:rsid w:val="00291CA2"/>
    <w:rsid w:val="002A3DBA"/>
    <w:rsid w:val="002B54A0"/>
    <w:rsid w:val="002C508F"/>
    <w:rsid w:val="002C62EC"/>
    <w:rsid w:val="002D00D4"/>
    <w:rsid w:val="002D5A2F"/>
    <w:rsid w:val="002D6821"/>
    <w:rsid w:val="002D6D6C"/>
    <w:rsid w:val="002E10E1"/>
    <w:rsid w:val="002F30C2"/>
    <w:rsid w:val="003004D4"/>
    <w:rsid w:val="00310E1F"/>
    <w:rsid w:val="0034410E"/>
    <w:rsid w:val="003502D6"/>
    <w:rsid w:val="00361BC0"/>
    <w:rsid w:val="00396042"/>
    <w:rsid w:val="003A6C7E"/>
    <w:rsid w:val="003E65BD"/>
    <w:rsid w:val="003E7B00"/>
    <w:rsid w:val="004010F5"/>
    <w:rsid w:val="00407072"/>
    <w:rsid w:val="004129CA"/>
    <w:rsid w:val="00431A57"/>
    <w:rsid w:val="004360D0"/>
    <w:rsid w:val="00440372"/>
    <w:rsid w:val="00453A7D"/>
    <w:rsid w:val="00454A46"/>
    <w:rsid w:val="00455C84"/>
    <w:rsid w:val="00472864"/>
    <w:rsid w:val="004A0E94"/>
    <w:rsid w:val="004C118C"/>
    <w:rsid w:val="004C415C"/>
    <w:rsid w:val="004C47D4"/>
    <w:rsid w:val="004D0935"/>
    <w:rsid w:val="004E15D0"/>
    <w:rsid w:val="004E751A"/>
    <w:rsid w:val="004E7970"/>
    <w:rsid w:val="005117F3"/>
    <w:rsid w:val="005260D4"/>
    <w:rsid w:val="005313E9"/>
    <w:rsid w:val="00547D1B"/>
    <w:rsid w:val="00583FD2"/>
    <w:rsid w:val="00584905"/>
    <w:rsid w:val="00593288"/>
    <w:rsid w:val="00593BF1"/>
    <w:rsid w:val="0059738E"/>
    <w:rsid w:val="005A2A3A"/>
    <w:rsid w:val="005A4BB0"/>
    <w:rsid w:val="005A751D"/>
    <w:rsid w:val="005B2FEC"/>
    <w:rsid w:val="005C7EFA"/>
    <w:rsid w:val="005D124F"/>
    <w:rsid w:val="005E17BD"/>
    <w:rsid w:val="005E51EE"/>
    <w:rsid w:val="005E6401"/>
    <w:rsid w:val="005F74EA"/>
    <w:rsid w:val="006030F4"/>
    <w:rsid w:val="00606576"/>
    <w:rsid w:val="00630E6C"/>
    <w:rsid w:val="006379BA"/>
    <w:rsid w:val="00641976"/>
    <w:rsid w:val="006435C7"/>
    <w:rsid w:val="00651525"/>
    <w:rsid w:val="0065178B"/>
    <w:rsid w:val="0065312C"/>
    <w:rsid w:val="00663A2D"/>
    <w:rsid w:val="00665803"/>
    <w:rsid w:val="00670477"/>
    <w:rsid w:val="00677A35"/>
    <w:rsid w:val="006A164E"/>
    <w:rsid w:val="006B7075"/>
    <w:rsid w:val="006B78E0"/>
    <w:rsid w:val="006C4572"/>
    <w:rsid w:val="006C4E8F"/>
    <w:rsid w:val="006D1083"/>
    <w:rsid w:val="006F54F4"/>
    <w:rsid w:val="00703D75"/>
    <w:rsid w:val="00716E3B"/>
    <w:rsid w:val="00735551"/>
    <w:rsid w:val="0075135F"/>
    <w:rsid w:val="007572EC"/>
    <w:rsid w:val="00767ECF"/>
    <w:rsid w:val="0077185F"/>
    <w:rsid w:val="0079203B"/>
    <w:rsid w:val="007942A4"/>
    <w:rsid w:val="007A6624"/>
    <w:rsid w:val="007B0A1F"/>
    <w:rsid w:val="007C533F"/>
    <w:rsid w:val="007D3497"/>
    <w:rsid w:val="007E583B"/>
    <w:rsid w:val="007E6474"/>
    <w:rsid w:val="007E78D4"/>
    <w:rsid w:val="007E7D1C"/>
    <w:rsid w:val="007F2CC1"/>
    <w:rsid w:val="007F67CE"/>
    <w:rsid w:val="008307BF"/>
    <w:rsid w:val="00836B42"/>
    <w:rsid w:val="008372CB"/>
    <w:rsid w:val="008556EB"/>
    <w:rsid w:val="00857835"/>
    <w:rsid w:val="00874375"/>
    <w:rsid w:val="0088293C"/>
    <w:rsid w:val="00886F63"/>
    <w:rsid w:val="00891190"/>
    <w:rsid w:val="008A0577"/>
    <w:rsid w:val="008A5214"/>
    <w:rsid w:val="008B3CC4"/>
    <w:rsid w:val="008D18F9"/>
    <w:rsid w:val="008D4A32"/>
    <w:rsid w:val="008D78C4"/>
    <w:rsid w:val="008E5B5A"/>
    <w:rsid w:val="008F4DDC"/>
    <w:rsid w:val="008F5B06"/>
    <w:rsid w:val="0090024B"/>
    <w:rsid w:val="0090341E"/>
    <w:rsid w:val="0091281B"/>
    <w:rsid w:val="0092159C"/>
    <w:rsid w:val="00936C70"/>
    <w:rsid w:val="00966779"/>
    <w:rsid w:val="0097032F"/>
    <w:rsid w:val="009B0BD8"/>
    <w:rsid w:val="009D179B"/>
    <w:rsid w:val="009E1ED4"/>
    <w:rsid w:val="009F10EC"/>
    <w:rsid w:val="009F2D77"/>
    <w:rsid w:val="009F2F6B"/>
    <w:rsid w:val="00A02E0E"/>
    <w:rsid w:val="00A02EF1"/>
    <w:rsid w:val="00A24EC8"/>
    <w:rsid w:val="00A26115"/>
    <w:rsid w:val="00A26C0B"/>
    <w:rsid w:val="00A270BB"/>
    <w:rsid w:val="00A2764E"/>
    <w:rsid w:val="00A33677"/>
    <w:rsid w:val="00A3748C"/>
    <w:rsid w:val="00A37CBD"/>
    <w:rsid w:val="00A578B8"/>
    <w:rsid w:val="00A64772"/>
    <w:rsid w:val="00A64C0B"/>
    <w:rsid w:val="00A923A9"/>
    <w:rsid w:val="00AB4437"/>
    <w:rsid w:val="00AC3933"/>
    <w:rsid w:val="00AC768F"/>
    <w:rsid w:val="00AD58EA"/>
    <w:rsid w:val="00AF1C9F"/>
    <w:rsid w:val="00B15434"/>
    <w:rsid w:val="00B164EF"/>
    <w:rsid w:val="00B31FFF"/>
    <w:rsid w:val="00B345A2"/>
    <w:rsid w:val="00B37DED"/>
    <w:rsid w:val="00B427FB"/>
    <w:rsid w:val="00B53B6A"/>
    <w:rsid w:val="00B54889"/>
    <w:rsid w:val="00B8442F"/>
    <w:rsid w:val="00B84D6E"/>
    <w:rsid w:val="00B9389D"/>
    <w:rsid w:val="00B93D37"/>
    <w:rsid w:val="00B97451"/>
    <w:rsid w:val="00BA1476"/>
    <w:rsid w:val="00BA372B"/>
    <w:rsid w:val="00BA393F"/>
    <w:rsid w:val="00BA411E"/>
    <w:rsid w:val="00BA5433"/>
    <w:rsid w:val="00BB31B5"/>
    <w:rsid w:val="00BB31FE"/>
    <w:rsid w:val="00BC3431"/>
    <w:rsid w:val="00BC46A9"/>
    <w:rsid w:val="00BD1183"/>
    <w:rsid w:val="00BD1C50"/>
    <w:rsid w:val="00BD5CBC"/>
    <w:rsid w:val="00BE1A92"/>
    <w:rsid w:val="00BE50C4"/>
    <w:rsid w:val="00C02D08"/>
    <w:rsid w:val="00C667A9"/>
    <w:rsid w:val="00C7081F"/>
    <w:rsid w:val="00C82F2B"/>
    <w:rsid w:val="00C85530"/>
    <w:rsid w:val="00C8570D"/>
    <w:rsid w:val="00C91A9C"/>
    <w:rsid w:val="00C96407"/>
    <w:rsid w:val="00CA1F4C"/>
    <w:rsid w:val="00CA4E54"/>
    <w:rsid w:val="00CA7181"/>
    <w:rsid w:val="00CB4729"/>
    <w:rsid w:val="00CD2311"/>
    <w:rsid w:val="00CF0433"/>
    <w:rsid w:val="00CF75AB"/>
    <w:rsid w:val="00D12378"/>
    <w:rsid w:val="00D170BB"/>
    <w:rsid w:val="00D2064F"/>
    <w:rsid w:val="00D3517D"/>
    <w:rsid w:val="00D424A8"/>
    <w:rsid w:val="00D43C3C"/>
    <w:rsid w:val="00D52D75"/>
    <w:rsid w:val="00D61DEB"/>
    <w:rsid w:val="00D908B6"/>
    <w:rsid w:val="00D9362A"/>
    <w:rsid w:val="00D964F9"/>
    <w:rsid w:val="00D96DDE"/>
    <w:rsid w:val="00DA28BB"/>
    <w:rsid w:val="00DD28CC"/>
    <w:rsid w:val="00DE0066"/>
    <w:rsid w:val="00E006AF"/>
    <w:rsid w:val="00E03EB1"/>
    <w:rsid w:val="00E06D24"/>
    <w:rsid w:val="00E10450"/>
    <w:rsid w:val="00E10583"/>
    <w:rsid w:val="00E22864"/>
    <w:rsid w:val="00E271CF"/>
    <w:rsid w:val="00E4699B"/>
    <w:rsid w:val="00E53E1F"/>
    <w:rsid w:val="00E600FF"/>
    <w:rsid w:val="00E62768"/>
    <w:rsid w:val="00E70F2A"/>
    <w:rsid w:val="00E73AFC"/>
    <w:rsid w:val="00E764EE"/>
    <w:rsid w:val="00E84BBD"/>
    <w:rsid w:val="00E95A9B"/>
    <w:rsid w:val="00EA2D92"/>
    <w:rsid w:val="00EA479E"/>
    <w:rsid w:val="00EA5510"/>
    <w:rsid w:val="00EC62E5"/>
    <w:rsid w:val="00EE7874"/>
    <w:rsid w:val="00EF0F74"/>
    <w:rsid w:val="00F0147F"/>
    <w:rsid w:val="00F05DA2"/>
    <w:rsid w:val="00F14EBB"/>
    <w:rsid w:val="00F363D2"/>
    <w:rsid w:val="00F7786B"/>
    <w:rsid w:val="00F847E9"/>
    <w:rsid w:val="00FC54B6"/>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906E82A-21E6-4127-8E2A-2D55A10F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F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51F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51FFA"/>
    <w:pPr>
      <w:spacing w:before="480"/>
      <w:outlineLvl w:val="1"/>
    </w:pPr>
    <w:rPr>
      <w:sz w:val="26"/>
    </w:rPr>
  </w:style>
  <w:style w:type="paragraph" w:styleId="Heading3">
    <w:name w:val="heading 3"/>
    <w:basedOn w:val="Heading1"/>
    <w:next w:val="Normal"/>
    <w:qFormat/>
    <w:rsid w:val="00151FFA"/>
    <w:pPr>
      <w:spacing w:before="360"/>
      <w:outlineLvl w:val="2"/>
    </w:pPr>
    <w:rPr>
      <w:sz w:val="24"/>
    </w:rPr>
  </w:style>
  <w:style w:type="paragraph" w:styleId="Heading4">
    <w:name w:val="heading 4"/>
    <w:basedOn w:val="Heading3"/>
    <w:next w:val="Normal"/>
    <w:qFormat/>
    <w:rsid w:val="00151FFA"/>
    <w:pPr>
      <w:outlineLvl w:val="3"/>
    </w:pPr>
  </w:style>
  <w:style w:type="paragraph" w:styleId="Heading5">
    <w:name w:val="heading 5"/>
    <w:basedOn w:val="Heading3"/>
    <w:next w:val="Normal"/>
    <w:qFormat/>
    <w:rsid w:val="00151FFA"/>
    <w:pPr>
      <w:outlineLvl w:val="4"/>
    </w:pPr>
  </w:style>
  <w:style w:type="paragraph" w:styleId="Heading6">
    <w:name w:val="heading 6"/>
    <w:basedOn w:val="Heading3"/>
    <w:next w:val="Normal"/>
    <w:qFormat/>
    <w:rsid w:val="00151FFA"/>
    <w:pPr>
      <w:outlineLvl w:val="5"/>
    </w:pPr>
  </w:style>
  <w:style w:type="paragraph" w:styleId="Heading7">
    <w:name w:val="heading 7"/>
    <w:basedOn w:val="Heading3"/>
    <w:next w:val="Normal"/>
    <w:qFormat/>
    <w:rsid w:val="00151FFA"/>
    <w:pPr>
      <w:outlineLvl w:val="6"/>
    </w:pPr>
  </w:style>
  <w:style w:type="paragraph" w:styleId="Heading8">
    <w:name w:val="heading 8"/>
    <w:basedOn w:val="Heading3"/>
    <w:next w:val="Normal"/>
    <w:qFormat/>
    <w:rsid w:val="00151F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51F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51FFA"/>
    <w:rPr>
      <w:vertAlign w:val="superscript"/>
    </w:rPr>
  </w:style>
  <w:style w:type="paragraph" w:styleId="TOC8">
    <w:name w:val="toc 8"/>
    <w:basedOn w:val="Normal"/>
    <w:next w:val="Normal"/>
    <w:semiHidden/>
    <w:rsid w:val="00151FFA"/>
    <w:pPr>
      <w:tabs>
        <w:tab w:val="left" w:pos="7711"/>
        <w:tab w:val="right" w:leader="dot" w:pos="9725"/>
      </w:tabs>
      <w:ind w:left="6350"/>
    </w:pPr>
  </w:style>
  <w:style w:type="paragraph" w:styleId="TOC7">
    <w:name w:val="toc 7"/>
    <w:basedOn w:val="Normal"/>
    <w:next w:val="Normal"/>
    <w:semiHidden/>
    <w:rsid w:val="00151FFA"/>
    <w:pPr>
      <w:tabs>
        <w:tab w:val="left" w:pos="6350"/>
        <w:tab w:val="right" w:leader="dot" w:pos="9725"/>
      </w:tabs>
      <w:ind w:left="5103"/>
    </w:pPr>
  </w:style>
  <w:style w:type="paragraph" w:styleId="TOC6">
    <w:name w:val="toc 6"/>
    <w:basedOn w:val="TOC4"/>
    <w:next w:val="Normal"/>
    <w:semiHidden/>
    <w:rsid w:val="00151FFA"/>
    <w:pPr>
      <w:ind w:left="3913"/>
    </w:pPr>
  </w:style>
  <w:style w:type="paragraph" w:styleId="TOC4">
    <w:name w:val="toc 4"/>
    <w:basedOn w:val="TOC3"/>
    <w:next w:val="Normal"/>
    <w:semiHidden/>
    <w:rsid w:val="00151FFA"/>
    <w:pPr>
      <w:tabs>
        <w:tab w:val="clear" w:pos="2268"/>
      </w:tabs>
      <w:spacing w:before="80"/>
      <w:ind w:left="3119" w:hanging="851"/>
    </w:pPr>
  </w:style>
  <w:style w:type="paragraph" w:styleId="TOC3">
    <w:name w:val="toc 3"/>
    <w:basedOn w:val="TOC2"/>
    <w:next w:val="Normal"/>
    <w:semiHidden/>
    <w:rsid w:val="00151FFA"/>
    <w:pPr>
      <w:tabs>
        <w:tab w:val="clear" w:pos="1985"/>
        <w:tab w:val="left" w:pos="2268"/>
      </w:tabs>
      <w:ind w:left="2268" w:hanging="2268"/>
    </w:pPr>
  </w:style>
  <w:style w:type="paragraph" w:styleId="TOC2">
    <w:name w:val="toc 2"/>
    <w:basedOn w:val="TOC1"/>
    <w:next w:val="Normal"/>
    <w:semiHidden/>
    <w:rsid w:val="00151F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51F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51FFA"/>
    <w:pPr>
      <w:tabs>
        <w:tab w:val="clear" w:pos="2268"/>
        <w:tab w:val="left" w:pos="3062"/>
      </w:tabs>
      <w:ind w:left="3062" w:hanging="3062"/>
    </w:pPr>
  </w:style>
  <w:style w:type="paragraph" w:styleId="Index1">
    <w:name w:val="index 1"/>
    <w:basedOn w:val="Normal"/>
    <w:next w:val="Normal"/>
    <w:semiHidden/>
    <w:rsid w:val="00151FFA"/>
  </w:style>
  <w:style w:type="paragraph" w:styleId="Footer">
    <w:name w:val="footer"/>
    <w:basedOn w:val="Normal"/>
    <w:rsid w:val="00151FFA"/>
    <w:pPr>
      <w:tabs>
        <w:tab w:val="left" w:pos="567"/>
        <w:tab w:val="center" w:pos="3742"/>
        <w:tab w:val="right" w:pos="6974"/>
      </w:tabs>
    </w:pPr>
  </w:style>
  <w:style w:type="paragraph" w:styleId="Header">
    <w:name w:val="header"/>
    <w:aliases w:val="encabezado"/>
    <w:basedOn w:val="Normal"/>
    <w:rsid w:val="00151FFA"/>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51FFA"/>
    <w:rPr>
      <w:position w:val="6"/>
      <w:sz w:val="16"/>
    </w:rPr>
  </w:style>
  <w:style w:type="paragraph" w:styleId="FootnoteText">
    <w:name w:val="footnote text"/>
    <w:aliases w:val="footnote text"/>
    <w:basedOn w:val="Normal"/>
    <w:link w:val="FootnoteTextChar"/>
    <w:rsid w:val="00151F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51FFA"/>
    <w:pPr>
      <w:spacing w:before="120"/>
      <w:ind w:left="1134"/>
    </w:pPr>
  </w:style>
  <w:style w:type="paragraph" w:customStyle="1" w:styleId="TableLegend">
    <w:name w:val="Table_Legend"/>
    <w:basedOn w:val="TableText"/>
    <w:next w:val="Normal"/>
    <w:rsid w:val="00151FFA"/>
    <w:pPr>
      <w:keepNext/>
      <w:tabs>
        <w:tab w:val="left" w:pos="284"/>
        <w:tab w:val="left" w:pos="567"/>
        <w:tab w:val="left" w:pos="851"/>
        <w:tab w:val="left" w:pos="1134"/>
      </w:tabs>
      <w:spacing w:before="120" w:after="0"/>
    </w:pPr>
  </w:style>
  <w:style w:type="paragraph" w:customStyle="1" w:styleId="TableText">
    <w:name w:val="Table_Text"/>
    <w:basedOn w:val="Normal"/>
    <w:rsid w:val="00151F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51FFA"/>
    <w:pPr>
      <w:spacing w:before="0"/>
    </w:pPr>
    <w:rPr>
      <w:b/>
    </w:rPr>
  </w:style>
  <w:style w:type="paragraph" w:customStyle="1" w:styleId="Table">
    <w:name w:val="Table_#"/>
    <w:basedOn w:val="Normal"/>
    <w:next w:val="TableTitle"/>
    <w:rsid w:val="00151F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151FFA"/>
    <w:pPr>
      <w:tabs>
        <w:tab w:val="clear" w:pos="2268"/>
        <w:tab w:val="left" w:pos="2608"/>
        <w:tab w:val="left" w:pos="3345"/>
      </w:tabs>
      <w:spacing w:before="120"/>
      <w:ind w:left="454" w:hanging="454"/>
    </w:pPr>
  </w:style>
  <w:style w:type="paragraph" w:customStyle="1" w:styleId="enumlev2">
    <w:name w:val="enumlev2"/>
    <w:basedOn w:val="enumlev1"/>
    <w:rsid w:val="00151FFA"/>
    <w:pPr>
      <w:tabs>
        <w:tab w:val="left" w:pos="907"/>
      </w:tabs>
      <w:ind w:left="908"/>
    </w:pPr>
  </w:style>
  <w:style w:type="paragraph" w:customStyle="1" w:styleId="enumlev3">
    <w:name w:val="enumlev3"/>
    <w:basedOn w:val="enumlev2"/>
    <w:rsid w:val="00151FFA"/>
    <w:pPr>
      <w:tabs>
        <w:tab w:val="clear" w:pos="1134"/>
        <w:tab w:val="clear" w:pos="1871"/>
        <w:tab w:val="clear" w:pos="2608"/>
        <w:tab w:val="left" w:pos="1361"/>
      </w:tabs>
      <w:ind w:left="1361"/>
    </w:pPr>
  </w:style>
  <w:style w:type="paragraph" w:customStyle="1" w:styleId="Figure">
    <w:name w:val="Figure"/>
    <w:basedOn w:val="Normal"/>
    <w:rsid w:val="00151FFA"/>
    <w:pPr>
      <w:keepNext/>
      <w:keepLines/>
      <w:spacing w:before="240"/>
      <w:jc w:val="center"/>
    </w:pPr>
  </w:style>
  <w:style w:type="paragraph" w:customStyle="1" w:styleId="FigureLegend">
    <w:name w:val="Figure_Legend"/>
    <w:basedOn w:val="TableLegend"/>
    <w:next w:val="Figure0"/>
    <w:rsid w:val="00151FFA"/>
  </w:style>
  <w:style w:type="paragraph" w:customStyle="1" w:styleId="Figure0">
    <w:name w:val="Figure_#"/>
    <w:basedOn w:val="Table"/>
    <w:next w:val="FigureTitle"/>
    <w:rsid w:val="00151FFA"/>
  </w:style>
  <w:style w:type="paragraph" w:customStyle="1" w:styleId="FigureTitle">
    <w:name w:val="Figure_Title"/>
    <w:basedOn w:val="TableTitle"/>
    <w:next w:val="Normal"/>
    <w:rsid w:val="00151FFA"/>
    <w:pPr>
      <w:spacing w:after="720"/>
    </w:pPr>
  </w:style>
  <w:style w:type="paragraph" w:customStyle="1" w:styleId="Annex">
    <w:name w:val="Annex_#"/>
    <w:basedOn w:val="Art"/>
    <w:next w:val="AnnexRef"/>
    <w:rsid w:val="00151FFA"/>
  </w:style>
  <w:style w:type="paragraph" w:customStyle="1" w:styleId="Art">
    <w:name w:val="Art_#"/>
    <w:basedOn w:val="Normal"/>
    <w:next w:val="Arttitle"/>
    <w:rsid w:val="00151FFA"/>
    <w:pPr>
      <w:keepNext/>
      <w:keepLines/>
      <w:spacing w:before="720"/>
      <w:jc w:val="center"/>
    </w:pPr>
    <w:rPr>
      <w:sz w:val="28"/>
    </w:rPr>
  </w:style>
  <w:style w:type="paragraph" w:customStyle="1" w:styleId="Arttitle">
    <w:name w:val="Art_title"/>
    <w:next w:val="Normalaftertitle"/>
    <w:rsid w:val="00151F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51FFA"/>
    <w:pPr>
      <w:spacing w:before="360"/>
    </w:pPr>
  </w:style>
  <w:style w:type="paragraph" w:customStyle="1" w:styleId="AnnexRef">
    <w:name w:val="Annex_Ref"/>
    <w:basedOn w:val="Normal"/>
    <w:rsid w:val="00151FFA"/>
    <w:pPr>
      <w:jc w:val="center"/>
    </w:pPr>
  </w:style>
  <w:style w:type="paragraph" w:customStyle="1" w:styleId="AnnexTitle">
    <w:name w:val="Annex_Title"/>
    <w:basedOn w:val="Arttitle"/>
    <w:next w:val="Normal"/>
    <w:rsid w:val="00151FFA"/>
    <w:pPr>
      <w:spacing w:after="0"/>
    </w:pPr>
  </w:style>
  <w:style w:type="paragraph" w:customStyle="1" w:styleId="Appendix">
    <w:name w:val="Appendix_#"/>
    <w:basedOn w:val="Art"/>
    <w:next w:val="AppendixTitle"/>
    <w:rsid w:val="00151FFA"/>
  </w:style>
  <w:style w:type="paragraph" w:customStyle="1" w:styleId="AppendixTitle">
    <w:name w:val="Appendix_Title"/>
    <w:basedOn w:val="Arttitle"/>
    <w:next w:val="Normal"/>
    <w:rsid w:val="00151FFA"/>
  </w:style>
  <w:style w:type="paragraph" w:customStyle="1" w:styleId="headfoot">
    <w:name w:val="head_foot"/>
    <w:basedOn w:val="Normal"/>
    <w:next w:val="Normalaftertitle"/>
    <w:rsid w:val="00151FFA"/>
    <w:pPr>
      <w:spacing w:before="0"/>
    </w:pPr>
    <w:rPr>
      <w:b/>
      <w:color w:val="FFFFFF"/>
      <w:sz w:val="8"/>
    </w:rPr>
  </w:style>
  <w:style w:type="paragraph" w:customStyle="1" w:styleId="AppendixRef">
    <w:name w:val="Appendix_Ref"/>
    <w:basedOn w:val="AnnexRef"/>
    <w:next w:val="AppendixTitle"/>
    <w:rsid w:val="00151FFA"/>
  </w:style>
  <w:style w:type="paragraph" w:customStyle="1" w:styleId="RefTitle">
    <w:name w:val="Ref_Title"/>
    <w:basedOn w:val="Normal"/>
    <w:next w:val="RefText"/>
    <w:rsid w:val="00151FFA"/>
    <w:pPr>
      <w:spacing w:before="480"/>
      <w:jc w:val="left"/>
    </w:pPr>
    <w:rPr>
      <w:b/>
    </w:rPr>
  </w:style>
  <w:style w:type="paragraph" w:customStyle="1" w:styleId="RefText">
    <w:name w:val="Ref_Text"/>
    <w:basedOn w:val="Normal"/>
    <w:rsid w:val="00151FFA"/>
  </w:style>
  <w:style w:type="paragraph" w:customStyle="1" w:styleId="listitem">
    <w:name w:val="listitem"/>
    <w:basedOn w:val="Normal"/>
    <w:rsid w:val="00151FFA"/>
    <w:pPr>
      <w:keepLines/>
      <w:spacing w:before="0"/>
      <w:jc w:val="left"/>
    </w:pPr>
  </w:style>
  <w:style w:type="paragraph" w:customStyle="1" w:styleId="TableRef">
    <w:name w:val="Table_Ref"/>
    <w:basedOn w:val="Normal"/>
    <w:next w:val="TableTitle"/>
    <w:rsid w:val="00151FFA"/>
    <w:pPr>
      <w:keepNext/>
      <w:spacing w:before="567"/>
      <w:jc w:val="center"/>
    </w:pPr>
    <w:rPr>
      <w:sz w:val="18"/>
    </w:rPr>
  </w:style>
  <w:style w:type="paragraph" w:customStyle="1" w:styleId="Signcountry">
    <w:name w:val="Sign_country"/>
    <w:basedOn w:val="Normal"/>
    <w:next w:val="SignPart"/>
    <w:rsid w:val="00151FFA"/>
    <w:pPr>
      <w:keepNext/>
      <w:keepLines/>
      <w:spacing w:before="240" w:after="57"/>
      <w:jc w:val="left"/>
    </w:pPr>
    <w:rPr>
      <w:b/>
    </w:rPr>
  </w:style>
  <w:style w:type="paragraph" w:customStyle="1" w:styleId="SignPart">
    <w:name w:val="Sign_Part"/>
    <w:basedOn w:val="Signcountry"/>
    <w:rsid w:val="00151FFA"/>
    <w:pPr>
      <w:keepNext w:val="0"/>
      <w:keepLines w:val="0"/>
      <w:spacing w:before="0"/>
      <w:ind w:left="284"/>
    </w:pPr>
    <w:rPr>
      <w:b w:val="0"/>
      <w:smallCaps/>
    </w:rPr>
  </w:style>
  <w:style w:type="paragraph" w:customStyle="1" w:styleId="Chap">
    <w:name w:val="Chap_#"/>
    <w:basedOn w:val="Art"/>
    <w:next w:val="Chaptitle"/>
    <w:rsid w:val="00151FFA"/>
    <w:pPr>
      <w:spacing w:before="1200"/>
    </w:pPr>
    <w:rPr>
      <w:sz w:val="32"/>
    </w:rPr>
  </w:style>
  <w:style w:type="paragraph" w:customStyle="1" w:styleId="Chaptitle">
    <w:name w:val="Chap_title"/>
    <w:basedOn w:val="Arttitle"/>
    <w:next w:val="Art"/>
    <w:rsid w:val="00151FFA"/>
    <w:rPr>
      <w:sz w:val="32"/>
    </w:rPr>
  </w:style>
  <w:style w:type="paragraph" w:customStyle="1" w:styleId="Protfin">
    <w:name w:val="Prot_fin"/>
    <w:basedOn w:val="Normal"/>
    <w:next w:val="Normalaftertitle"/>
    <w:rsid w:val="00151FFA"/>
    <w:pPr>
      <w:pageBreakBefore/>
      <w:spacing w:before="720" w:after="240"/>
      <w:jc w:val="center"/>
    </w:pPr>
    <w:rPr>
      <w:b/>
    </w:rPr>
  </w:style>
  <w:style w:type="paragraph" w:customStyle="1" w:styleId="Prot">
    <w:name w:val="Prot_#"/>
    <w:basedOn w:val="Normal"/>
    <w:next w:val="Protlang"/>
    <w:rsid w:val="00151FFA"/>
    <w:pPr>
      <w:keepNext/>
      <w:spacing w:before="240"/>
      <w:jc w:val="center"/>
    </w:pPr>
  </w:style>
  <w:style w:type="paragraph" w:customStyle="1" w:styleId="Protlang">
    <w:name w:val="Prot_lang"/>
    <w:basedOn w:val="Prot"/>
    <w:next w:val="Protpays"/>
    <w:rsid w:val="00151F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151FFA"/>
    <w:pPr>
      <w:framePr w:wrap="auto"/>
      <w:spacing w:before="113" w:line="199" w:lineRule="exact"/>
      <w:jc w:val="left"/>
    </w:pPr>
  </w:style>
  <w:style w:type="paragraph" w:customStyle="1" w:styleId="Prottexte">
    <w:name w:val="Prot_texte"/>
    <w:basedOn w:val="Protlang"/>
    <w:rsid w:val="00151FFA"/>
    <w:pPr>
      <w:keepNext w:val="0"/>
      <w:keepLines w:val="0"/>
      <w:framePr w:wrap="auto"/>
      <w:spacing w:before="113" w:line="199" w:lineRule="exact"/>
      <w:jc w:val="both"/>
    </w:pPr>
    <w:rPr>
      <w:i w:val="0"/>
    </w:rPr>
  </w:style>
  <w:style w:type="paragraph" w:customStyle="1" w:styleId="Protcall">
    <w:name w:val="Prot_call"/>
    <w:basedOn w:val="Prottexte"/>
    <w:next w:val="Prottexte"/>
    <w:rsid w:val="00151FFA"/>
    <w:pPr>
      <w:keepNext/>
      <w:keepLines/>
      <w:framePr w:wrap="auto" w:xAlign="left"/>
      <w:spacing w:before="170"/>
      <w:ind w:left="794"/>
      <w:jc w:val="left"/>
    </w:pPr>
    <w:rPr>
      <w:i/>
    </w:rPr>
  </w:style>
  <w:style w:type="paragraph" w:customStyle="1" w:styleId="Res">
    <w:name w:val="Res_#"/>
    <w:basedOn w:val="Art"/>
    <w:next w:val="Restitle"/>
    <w:rsid w:val="00151FFA"/>
  </w:style>
  <w:style w:type="paragraph" w:customStyle="1" w:styleId="Restitle">
    <w:name w:val="Res_title"/>
    <w:basedOn w:val="Arttitle"/>
    <w:next w:val="headfoot"/>
    <w:rsid w:val="00151FFA"/>
    <w:pPr>
      <w:spacing w:after="120"/>
    </w:pPr>
  </w:style>
  <w:style w:type="paragraph" w:customStyle="1" w:styleId="Rec">
    <w:name w:val="Rec_#"/>
    <w:basedOn w:val="Res"/>
    <w:next w:val="Rectitle"/>
    <w:rsid w:val="00151FFA"/>
  </w:style>
  <w:style w:type="paragraph" w:customStyle="1" w:styleId="Rectitle">
    <w:name w:val="Rec_title"/>
    <w:basedOn w:val="Restitle"/>
    <w:next w:val="headfoot"/>
    <w:rsid w:val="00151FFA"/>
  </w:style>
  <w:style w:type="paragraph" w:customStyle="1" w:styleId="Equation">
    <w:name w:val="Equation"/>
    <w:basedOn w:val="Normal"/>
    <w:rsid w:val="00151FFA"/>
    <w:pPr>
      <w:tabs>
        <w:tab w:val="clear" w:pos="1871"/>
        <w:tab w:val="clear" w:pos="2268"/>
        <w:tab w:val="center" w:pos="4678"/>
        <w:tab w:val="right" w:pos="9356"/>
      </w:tabs>
      <w:jc w:val="left"/>
    </w:pPr>
  </w:style>
  <w:style w:type="paragraph" w:customStyle="1" w:styleId="Note">
    <w:name w:val="Note"/>
    <w:basedOn w:val="Normal"/>
    <w:rsid w:val="00151FFA"/>
    <w:pPr>
      <w:tabs>
        <w:tab w:val="left" w:pos="284"/>
      </w:tabs>
      <w:spacing w:before="160"/>
    </w:pPr>
    <w:rPr>
      <w:sz w:val="20"/>
    </w:rPr>
  </w:style>
  <w:style w:type="paragraph" w:customStyle="1" w:styleId="Signcountry0">
    <w:name w:val="Sign country"/>
    <w:basedOn w:val="Normal"/>
    <w:next w:val="Signpart0"/>
    <w:rsid w:val="00151FFA"/>
    <w:pPr>
      <w:keepNext/>
      <w:keepLines/>
      <w:spacing w:before="240" w:after="57"/>
      <w:jc w:val="left"/>
    </w:pPr>
    <w:rPr>
      <w:b/>
    </w:rPr>
  </w:style>
  <w:style w:type="paragraph" w:customStyle="1" w:styleId="Signpart0">
    <w:name w:val="Sign part"/>
    <w:basedOn w:val="Signcountry0"/>
    <w:rsid w:val="00151FFA"/>
    <w:pPr>
      <w:keepNext w:val="0"/>
      <w:keepLines w:val="0"/>
      <w:spacing w:before="0"/>
      <w:ind w:left="284"/>
    </w:pPr>
    <w:rPr>
      <w:b w:val="0"/>
      <w:smallCaps/>
    </w:rPr>
  </w:style>
  <w:style w:type="paragraph" w:customStyle="1" w:styleId="Section1">
    <w:name w:val="Section_1"/>
    <w:basedOn w:val="Normal"/>
    <w:rsid w:val="00151F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51FFA"/>
    <w:pPr>
      <w:pageBreakBefore/>
      <w:spacing w:before="720" w:after="240"/>
      <w:jc w:val="center"/>
    </w:pPr>
    <w:rPr>
      <w:b/>
    </w:rPr>
  </w:style>
  <w:style w:type="paragraph" w:customStyle="1" w:styleId="Prot0">
    <w:name w:val="Prot #"/>
    <w:basedOn w:val="Normal"/>
    <w:next w:val="Protlang0"/>
    <w:rsid w:val="00151FFA"/>
    <w:pPr>
      <w:keepNext/>
      <w:spacing w:before="240"/>
      <w:jc w:val="center"/>
    </w:pPr>
  </w:style>
  <w:style w:type="paragraph" w:customStyle="1" w:styleId="Protlang0">
    <w:name w:val="Prot lang"/>
    <w:basedOn w:val="Prot0"/>
    <w:next w:val="Protpays0"/>
    <w:rsid w:val="00151F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51FFA"/>
    <w:pPr>
      <w:framePr w:wrap="auto"/>
      <w:spacing w:before="113" w:line="199" w:lineRule="exact"/>
      <w:jc w:val="left"/>
    </w:pPr>
  </w:style>
  <w:style w:type="paragraph" w:customStyle="1" w:styleId="Prottexte0">
    <w:name w:val="Prot texte"/>
    <w:basedOn w:val="Protlang0"/>
    <w:rsid w:val="00151FFA"/>
    <w:pPr>
      <w:keepNext w:val="0"/>
      <w:keepLines w:val="0"/>
      <w:framePr w:wrap="auto"/>
      <w:spacing w:before="113" w:line="199" w:lineRule="exact"/>
      <w:jc w:val="both"/>
    </w:pPr>
    <w:rPr>
      <w:i w:val="0"/>
    </w:rPr>
  </w:style>
  <w:style w:type="paragraph" w:customStyle="1" w:styleId="Protcall0">
    <w:name w:val="Prot call"/>
    <w:basedOn w:val="Prottexte0"/>
    <w:next w:val="Prottexte0"/>
    <w:rsid w:val="00151FFA"/>
    <w:pPr>
      <w:keepNext/>
      <w:keepLines/>
      <w:framePr w:wrap="auto" w:xAlign="left"/>
      <w:spacing w:before="170"/>
      <w:ind w:left="794"/>
      <w:jc w:val="left"/>
    </w:pPr>
    <w:rPr>
      <w:i/>
    </w:rPr>
  </w:style>
  <w:style w:type="character" w:styleId="PageNumber">
    <w:name w:val="page number"/>
    <w:basedOn w:val="DefaultParagraphFont"/>
    <w:rsid w:val="00151FFA"/>
  </w:style>
  <w:style w:type="paragraph" w:customStyle="1" w:styleId="TableFin">
    <w:name w:val="Table_Fin"/>
    <w:basedOn w:val="Normal"/>
    <w:rsid w:val="004E15D0"/>
    <w:pPr>
      <w:tabs>
        <w:tab w:val="clear" w:pos="1134"/>
      </w:tabs>
      <w:spacing w:before="0"/>
    </w:pPr>
    <w:rPr>
      <w:sz w:val="6"/>
      <w:szCs w:val="6"/>
    </w:rPr>
  </w:style>
  <w:style w:type="paragraph" w:customStyle="1" w:styleId="MEP">
    <w:name w:val="MEP"/>
    <w:basedOn w:val="Normal"/>
    <w:rsid w:val="00151FFA"/>
  </w:style>
  <w:style w:type="paragraph" w:customStyle="1" w:styleId="head">
    <w:name w:val="head"/>
    <w:basedOn w:val="headfoot"/>
    <w:rsid w:val="00151FFA"/>
  </w:style>
  <w:style w:type="paragraph" w:customStyle="1" w:styleId="foot">
    <w:name w:val="foot"/>
    <w:basedOn w:val="headfoot"/>
    <w:rsid w:val="00151FFA"/>
  </w:style>
  <w:style w:type="character" w:customStyle="1" w:styleId="href">
    <w:name w:val="href"/>
    <w:basedOn w:val="DefaultParagraphFont"/>
    <w:rsid w:val="00151FFA"/>
  </w:style>
  <w:style w:type="paragraph" w:customStyle="1" w:styleId="Section2">
    <w:name w:val="Section_2"/>
    <w:basedOn w:val="Section1"/>
    <w:rsid w:val="00151FFA"/>
    <w:pPr>
      <w:jc w:val="left"/>
    </w:pPr>
    <w:rPr>
      <w:b w:val="0"/>
      <w:i/>
    </w:rPr>
  </w:style>
  <w:style w:type="paragraph" w:customStyle="1" w:styleId="Section3">
    <w:name w:val="Section_3"/>
    <w:basedOn w:val="Section1"/>
    <w:rsid w:val="00151FFA"/>
    <w:rPr>
      <w:b w:val="0"/>
    </w:rPr>
  </w:style>
  <w:style w:type="paragraph" w:customStyle="1" w:styleId="EquationLegend">
    <w:name w:val="Equation_Legend"/>
    <w:basedOn w:val="NormalIndent"/>
    <w:rsid w:val="00151FFA"/>
  </w:style>
  <w:style w:type="paragraph" w:customStyle="1" w:styleId="Call">
    <w:name w:val="Call"/>
    <w:basedOn w:val="Normal"/>
    <w:next w:val="Normal"/>
    <w:rsid w:val="00151FFA"/>
    <w:pPr>
      <w:tabs>
        <w:tab w:val="clear" w:pos="1871"/>
        <w:tab w:val="clear" w:pos="2268"/>
      </w:tabs>
      <w:spacing w:before="360"/>
      <w:ind w:left="1134"/>
    </w:pPr>
    <w:rPr>
      <w:i/>
    </w:rPr>
  </w:style>
  <w:style w:type="paragraph" w:customStyle="1" w:styleId="Headingb">
    <w:name w:val="Heading b"/>
    <w:basedOn w:val="Heading3"/>
    <w:rsid w:val="00151FFA"/>
    <w:pPr>
      <w:spacing w:before="400"/>
      <w:ind w:left="0" w:firstLine="0"/>
      <w:outlineLvl w:val="9"/>
    </w:pPr>
  </w:style>
  <w:style w:type="paragraph" w:customStyle="1" w:styleId="TableHead">
    <w:name w:val="Table_Head"/>
    <w:basedOn w:val="TableText"/>
    <w:next w:val="TableText"/>
    <w:rsid w:val="00151FFA"/>
    <w:pPr>
      <w:spacing w:before="80" w:after="80"/>
      <w:jc w:val="center"/>
    </w:pPr>
    <w:rPr>
      <w:b/>
    </w:rPr>
  </w:style>
  <w:style w:type="paragraph" w:customStyle="1" w:styleId="Line">
    <w:name w:val="Line"/>
    <w:basedOn w:val="Normal"/>
    <w:next w:val="Normal"/>
    <w:rsid w:val="00151F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51FFA"/>
    <w:rPr>
      <w:b w:val="0"/>
      <w:i/>
    </w:rPr>
  </w:style>
  <w:style w:type="paragraph" w:styleId="TableofFigures">
    <w:name w:val="table of figures"/>
    <w:basedOn w:val="Normal"/>
    <w:next w:val="Normal"/>
    <w:semiHidden/>
    <w:rsid w:val="00151F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51F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51FFA"/>
    <w:rPr>
      <w:sz w:val="16"/>
    </w:rPr>
  </w:style>
  <w:style w:type="paragraph" w:styleId="CommentText">
    <w:name w:val="annotation text"/>
    <w:basedOn w:val="Normal"/>
    <w:semiHidden/>
    <w:rsid w:val="00151FFA"/>
    <w:rPr>
      <w:sz w:val="20"/>
      <w:lang w:val="fr-FR"/>
    </w:rPr>
  </w:style>
  <w:style w:type="paragraph" w:customStyle="1" w:styleId="Tabletext0">
    <w:name w:val="Table_text"/>
    <w:basedOn w:val="Normal"/>
    <w:rsid w:val="00151F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51F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51FFA"/>
    <w:pPr>
      <w:keepNext/>
      <w:spacing w:before="80" w:after="80"/>
      <w:jc w:val="center"/>
    </w:pPr>
    <w:rPr>
      <w:b/>
    </w:rPr>
  </w:style>
  <w:style w:type="character" w:customStyle="1" w:styleId="Artrefdef">
    <w:name w:val="Art_ref_def"/>
    <w:basedOn w:val="DefaultParagraphFont"/>
    <w:rsid w:val="00151FFA"/>
  </w:style>
  <w:style w:type="character" w:customStyle="1" w:styleId="Apprefdef">
    <w:name w:val="App_ref_def"/>
    <w:basedOn w:val="DefaultParagraphFont"/>
    <w:rsid w:val="00151FFA"/>
  </w:style>
  <w:style w:type="character" w:customStyle="1" w:styleId="Resrefdef">
    <w:name w:val="Res_ref_def"/>
    <w:basedOn w:val="DefaultParagraphFont"/>
    <w:rsid w:val="00151FFA"/>
  </w:style>
  <w:style w:type="paragraph" w:customStyle="1" w:styleId="HeaderRegProc">
    <w:name w:val="Header_RegProc"/>
    <w:basedOn w:val="Normal"/>
    <w:rsid w:val="00151F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51FFA"/>
    <w:pPr>
      <w:tabs>
        <w:tab w:val="clear" w:pos="907"/>
        <w:tab w:val="left" w:pos="1814"/>
      </w:tabs>
      <w:spacing w:before="80"/>
      <w:ind w:left="1815"/>
    </w:pPr>
    <w:rPr>
      <w:lang w:val="fr-CH"/>
    </w:rPr>
  </w:style>
  <w:style w:type="character" w:customStyle="1" w:styleId="href2">
    <w:name w:val="href2"/>
    <w:basedOn w:val="href"/>
    <w:rsid w:val="00151FFA"/>
  </w:style>
  <w:style w:type="character" w:customStyle="1" w:styleId="Style1">
    <w:name w:val="Style1"/>
    <w:basedOn w:val="DefaultParagraphFont"/>
    <w:rsid w:val="00151FFA"/>
  </w:style>
  <w:style w:type="character" w:customStyle="1" w:styleId="Appdef">
    <w:name w:val="App_def"/>
    <w:basedOn w:val="DefaultParagraphFont"/>
    <w:rsid w:val="00151FFA"/>
    <w:rPr>
      <w:b/>
      <w:color w:val="FFCC00"/>
    </w:rPr>
  </w:style>
  <w:style w:type="character" w:customStyle="1" w:styleId="Appref">
    <w:name w:val="App_ref"/>
    <w:basedOn w:val="DefaultParagraphFont"/>
    <w:rsid w:val="00151FFA"/>
    <w:rPr>
      <w:color w:val="3366FF"/>
    </w:rPr>
  </w:style>
  <w:style w:type="character" w:customStyle="1" w:styleId="Artdef">
    <w:name w:val="Art_def"/>
    <w:basedOn w:val="DefaultParagraphFont"/>
    <w:rsid w:val="00151FFA"/>
    <w:rPr>
      <w:b/>
      <w:color w:val="FFCC00"/>
    </w:rPr>
  </w:style>
  <w:style w:type="character" w:customStyle="1" w:styleId="Artref">
    <w:name w:val="Art_ref"/>
    <w:basedOn w:val="DefaultParagraphFont"/>
    <w:rsid w:val="00151FFA"/>
    <w:rPr>
      <w:color w:val="3366FF"/>
    </w:rPr>
  </w:style>
  <w:style w:type="character" w:customStyle="1" w:styleId="Recdef">
    <w:name w:val="Rec_def"/>
    <w:basedOn w:val="DefaultParagraphFont"/>
    <w:rsid w:val="00151FFA"/>
    <w:rPr>
      <w:b/>
      <w:color w:val="FFCC00"/>
    </w:rPr>
  </w:style>
  <w:style w:type="character" w:customStyle="1" w:styleId="Recref">
    <w:name w:val="Rec_ref"/>
    <w:basedOn w:val="DefaultParagraphFont"/>
    <w:rsid w:val="00151FFA"/>
    <w:rPr>
      <w:color w:val="3366FF"/>
    </w:rPr>
  </w:style>
  <w:style w:type="character" w:customStyle="1" w:styleId="Resdef">
    <w:name w:val="Res_def"/>
    <w:basedOn w:val="DefaultParagraphFont"/>
    <w:rsid w:val="00151FFA"/>
    <w:rPr>
      <w:b/>
      <w:color w:val="FFCC00"/>
    </w:rPr>
  </w:style>
  <w:style w:type="character" w:customStyle="1" w:styleId="Resref">
    <w:name w:val="Res_ref"/>
    <w:basedOn w:val="DefaultParagraphFont"/>
    <w:rsid w:val="00151FFA"/>
    <w:rPr>
      <w:color w:val="3366FF"/>
    </w:rPr>
  </w:style>
  <w:style w:type="character" w:customStyle="1" w:styleId="Tableref0">
    <w:name w:val="Table_ref"/>
    <w:basedOn w:val="DefaultParagraphFont"/>
    <w:rsid w:val="00151FFA"/>
    <w:rPr>
      <w:color w:val="3366FF"/>
    </w:rPr>
  </w:style>
  <w:style w:type="paragraph" w:styleId="BodyText">
    <w:name w:val="Body Text"/>
    <w:basedOn w:val="Normal"/>
    <w:rsid w:val="00151FFA"/>
    <w:pPr>
      <w:spacing w:before="40"/>
      <w:jc w:val="left"/>
    </w:pPr>
    <w:rPr>
      <w:sz w:val="16"/>
    </w:rPr>
  </w:style>
  <w:style w:type="paragraph" w:customStyle="1" w:styleId="SpecialFooter">
    <w:name w:val="Special Footer"/>
    <w:basedOn w:val="Footer"/>
    <w:rsid w:val="00151FFA"/>
    <w:pPr>
      <w:tabs>
        <w:tab w:val="clear" w:pos="1871"/>
        <w:tab w:val="clear" w:pos="3742"/>
        <w:tab w:val="clear" w:pos="6974"/>
        <w:tab w:val="left" w:pos="1701"/>
        <w:tab w:val="left" w:pos="2835"/>
        <w:tab w:val="left" w:pos="5954"/>
        <w:tab w:val="right" w:pos="9639"/>
      </w:tabs>
      <w:spacing w:before="0"/>
    </w:pPr>
    <w:rPr>
      <w:sz w:val="16"/>
      <w:lang w:val="fr-FR"/>
    </w:rPr>
  </w:style>
  <w:style w:type="paragraph" w:customStyle="1" w:styleId="Annextitle0">
    <w:name w:val="Annex_title"/>
    <w:basedOn w:val="Normal"/>
    <w:next w:val="Normal"/>
    <w:rsid w:val="00151FFA"/>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lang w:val="es-ES_tradnl"/>
    </w:rPr>
  </w:style>
  <w:style w:type="paragraph" w:styleId="BodyTextIndent">
    <w:name w:val="Body Text Indent"/>
    <w:basedOn w:val="Normal"/>
    <w:rsid w:val="00151FFA"/>
    <w:pPr>
      <w:spacing w:before="40" w:line="160" w:lineRule="exact"/>
      <w:ind w:left="159" w:hanging="159"/>
      <w:jc w:val="left"/>
    </w:pPr>
    <w:rPr>
      <w:color w:val="000000"/>
      <w:sz w:val="16"/>
      <w:lang w:val="es-ES"/>
    </w:rPr>
  </w:style>
  <w:style w:type="paragraph" w:styleId="ListBullet">
    <w:name w:val="List Bullet"/>
    <w:basedOn w:val="Normal"/>
    <w:autoRedefine/>
    <w:rsid w:val="00151FFA"/>
    <w:pPr>
      <w:numPr>
        <w:numId w:val="1"/>
      </w:numPr>
    </w:pPr>
  </w:style>
  <w:style w:type="paragraph" w:styleId="BodyText2">
    <w:name w:val="Body Text 2"/>
    <w:basedOn w:val="Normal"/>
    <w:rsid w:val="00151FFA"/>
    <w:rPr>
      <w:color w:val="000000"/>
      <w:lang w:val="es-ES"/>
    </w:rPr>
  </w:style>
  <w:style w:type="paragraph" w:customStyle="1" w:styleId="Figurewithouttitle">
    <w:name w:val="Figure_without_title"/>
    <w:basedOn w:val="Normal"/>
    <w:next w:val="Normal"/>
    <w:rsid w:val="001D5A90"/>
    <w:pPr>
      <w:keepLines/>
      <w:tabs>
        <w:tab w:val="clear" w:pos="1134"/>
        <w:tab w:val="clear" w:pos="1871"/>
        <w:tab w:val="clear" w:pos="2268"/>
        <w:tab w:val="left" w:pos="794"/>
        <w:tab w:val="left" w:pos="1191"/>
        <w:tab w:val="left" w:pos="1588"/>
        <w:tab w:val="left" w:pos="1985"/>
      </w:tabs>
      <w:spacing w:before="240" w:after="120"/>
      <w:jc w:val="center"/>
    </w:pPr>
    <w:rPr>
      <w:lang w:val="es-ES_tradnl"/>
    </w:rPr>
  </w:style>
  <w:style w:type="paragraph" w:customStyle="1" w:styleId="FiguretitleBR">
    <w:name w:val="Figure_title_BR"/>
    <w:basedOn w:val="Normal"/>
    <w:next w:val="Normal"/>
    <w:rsid w:val="001D5A90"/>
    <w:pPr>
      <w:keepLines/>
      <w:tabs>
        <w:tab w:val="clear" w:pos="1134"/>
        <w:tab w:val="clear" w:pos="1871"/>
        <w:tab w:val="clear" w:pos="2268"/>
        <w:tab w:val="left" w:pos="794"/>
        <w:tab w:val="left" w:pos="1191"/>
        <w:tab w:val="left" w:pos="1588"/>
        <w:tab w:val="left" w:pos="1985"/>
      </w:tabs>
      <w:spacing w:before="0" w:after="480"/>
      <w:jc w:val="center"/>
    </w:pPr>
    <w:rPr>
      <w:b/>
      <w:lang w:val="es-ES_tradnl"/>
    </w:rPr>
  </w:style>
  <w:style w:type="paragraph" w:customStyle="1" w:styleId="QuestionNoBR">
    <w:name w:val="Question_No_BR"/>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caps/>
      <w:sz w:val="28"/>
      <w:lang w:val="es-ES_tradnl"/>
    </w:rPr>
  </w:style>
  <w:style w:type="paragraph" w:customStyle="1" w:styleId="AnnexNoTitle">
    <w:name w:val="Annex_NoTitle"/>
    <w:basedOn w:val="Normal"/>
    <w:next w:val="Normal"/>
    <w:rsid w:val="001D5A90"/>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character" w:customStyle="1" w:styleId="Artref0">
    <w:name w:val="Art#_ref"/>
    <w:basedOn w:val="DefaultParagraphFont"/>
    <w:rsid w:val="001D5A90"/>
  </w:style>
  <w:style w:type="paragraph" w:customStyle="1" w:styleId="Tabletitle0">
    <w:name w:val="Table_title"/>
    <w:basedOn w:val="Normal"/>
    <w:next w:val="Tablehead0"/>
    <w:rsid w:val="001D5A90"/>
    <w:pPr>
      <w:keepNext/>
      <w:keepLines/>
      <w:tabs>
        <w:tab w:val="clear" w:pos="1134"/>
        <w:tab w:val="clear" w:pos="1871"/>
        <w:tab w:val="clear" w:pos="2268"/>
        <w:tab w:val="left" w:pos="794"/>
        <w:tab w:val="left" w:pos="1191"/>
        <w:tab w:val="left" w:pos="1588"/>
        <w:tab w:val="left" w:pos="1985"/>
      </w:tabs>
      <w:spacing w:before="0" w:after="120"/>
      <w:jc w:val="center"/>
    </w:pPr>
    <w:rPr>
      <w:b/>
      <w:lang w:val="es-ES_tradnl"/>
    </w:rPr>
  </w:style>
  <w:style w:type="paragraph" w:customStyle="1" w:styleId="FirstFooter">
    <w:name w:val="FirstFooter"/>
    <w:basedOn w:val="Footer"/>
    <w:rsid w:val="00B164EF"/>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character" w:customStyle="1" w:styleId="FootnoteTextChar">
    <w:name w:val="Footnote Text Char"/>
    <w:aliases w:val="footnote text Char"/>
    <w:basedOn w:val="DefaultParagraphFont"/>
    <w:link w:val="FootnoteText"/>
    <w:rsid w:val="00E4699B"/>
    <w:rPr>
      <w:lang w:val="en-GB" w:eastAsia="en-US" w:bidi="ar-SA"/>
    </w:rPr>
  </w:style>
  <w:style w:type="character" w:customStyle="1" w:styleId="enumlev1Char">
    <w:name w:val="enumlev1 Char"/>
    <w:basedOn w:val="DefaultParagraphFont"/>
    <w:link w:val="enumlev1"/>
    <w:rsid w:val="00D96DDE"/>
    <w:rPr>
      <w:sz w:val="24"/>
      <w:lang w:val="en-GB" w:eastAsia="en-US"/>
    </w:rPr>
  </w:style>
  <w:style w:type="paragraph" w:customStyle="1" w:styleId="Proposal">
    <w:name w:val="Proposal"/>
    <w:basedOn w:val="Normal"/>
    <w:next w:val="Normal"/>
    <w:rsid w:val="00173BA2"/>
    <w:pPr>
      <w:keepNext/>
      <w:spacing w:before="240"/>
      <w:jc w:val="left"/>
    </w:pPr>
    <w:rPr>
      <w:rFonts w:hAnsi="Times New Roman Bold"/>
      <w:lang w:val="es-ES_tradnl"/>
    </w:rPr>
  </w:style>
  <w:style w:type="paragraph" w:styleId="BalloonText">
    <w:name w:val="Balloon Text"/>
    <w:basedOn w:val="Normal"/>
    <w:link w:val="BalloonTextChar"/>
    <w:rsid w:val="00857835"/>
    <w:pPr>
      <w:spacing w:before="0"/>
    </w:pPr>
    <w:rPr>
      <w:rFonts w:ascii="Tahoma" w:hAnsi="Tahoma" w:cs="Tahoma"/>
      <w:sz w:val="16"/>
      <w:szCs w:val="16"/>
    </w:rPr>
  </w:style>
  <w:style w:type="character" w:customStyle="1" w:styleId="BalloonTextChar">
    <w:name w:val="Balloon Text Char"/>
    <w:basedOn w:val="DefaultParagraphFont"/>
    <w:link w:val="BalloonText"/>
    <w:rsid w:val="00857835"/>
    <w:rPr>
      <w:rFonts w:ascii="Tahoma" w:hAnsi="Tahoma" w:cs="Tahoma"/>
      <w:sz w:val="16"/>
      <w:szCs w:val="16"/>
      <w:lang w:val="en-GB" w:eastAsia="en-US"/>
    </w:rPr>
  </w:style>
  <w:style w:type="character" w:styleId="Hyperlink">
    <w:name w:val="Hyperlink"/>
    <w:basedOn w:val="DefaultParagraphFont"/>
    <w:uiPriority w:val="99"/>
    <w:unhideWhenUsed/>
    <w:rsid w:val="006C45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28EA7-3839-4CDE-993B-C0149504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513</TotalTime>
  <Pages>1</Pages>
  <Words>479</Words>
  <Characters>2732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11.02.2009/DD (dict. ok)</dc:description>
  <cp:lastModifiedBy>Catalano Moreira, Rossana</cp:lastModifiedBy>
  <cp:revision>99</cp:revision>
  <cp:lastPrinted>2016-06-02T12:17:00Z</cp:lastPrinted>
  <dcterms:created xsi:type="dcterms:W3CDTF">2012-10-02T09:36:00Z</dcterms:created>
  <dcterms:modified xsi:type="dcterms:W3CDTF">2017-05-05T14:54:00Z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