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70C8" w:rsidRPr="00204E29" w:rsidRDefault="002670C8" w:rsidP="00256EBA">
      <w:pPr>
        <w:pStyle w:val="Heading1"/>
        <w:spacing w:before="0"/>
        <w:jc w:val="center"/>
        <w:rPr>
          <w:lang w:val="es-ES_tradnl"/>
        </w:rPr>
      </w:pPr>
      <w:r w:rsidRPr="00204E29">
        <w:rPr>
          <w:lang w:val="es-ES_tradnl"/>
        </w:rPr>
        <w:t>INTRODUCCIÓN</w:t>
      </w:r>
    </w:p>
    <w:p w:rsidR="002670C8" w:rsidRPr="00204E29" w:rsidRDefault="002670C8">
      <w:pPr>
        <w:pStyle w:val="Heading1"/>
        <w:rPr>
          <w:lang w:val="es-ES_tradnl"/>
        </w:rPr>
      </w:pPr>
      <w:r w:rsidRPr="00204E29">
        <w:rPr>
          <w:lang w:val="es-ES_tradnl"/>
        </w:rPr>
        <w:t>PARTE  A</w:t>
      </w:r>
    </w:p>
    <w:p w:rsidR="002670C8" w:rsidRPr="00204E29" w:rsidRDefault="002670C8" w:rsidP="00384B1B">
      <w:pPr>
        <w:pStyle w:val="Normalaftertitle"/>
        <w:rPr>
          <w:lang w:val="es-ES_tradnl"/>
        </w:rPr>
      </w:pPr>
      <w:r w:rsidRPr="00204E29">
        <w:rPr>
          <w:lang w:val="es-ES_tradnl"/>
        </w:rPr>
        <w:t>La Parte A de las Reglas de Procedimiento se refiere a las disposiciones específicas del Reglamento de Radiocomunicaciones y de los Acuerdos Regionales. Comprende las sec</w:t>
      </w:r>
      <w:r w:rsidRPr="00204E29">
        <w:rPr>
          <w:lang w:val="es-ES_tradnl"/>
        </w:rPr>
        <w:softHyphen/>
        <w:t>ciones siguientes:</w:t>
      </w:r>
    </w:p>
    <w:p w:rsidR="002670C8" w:rsidRPr="00204E29" w:rsidRDefault="002670C8" w:rsidP="00384B1B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  <w:rPr>
          <w:lang w:val="es-ES_tradnl"/>
        </w:rPr>
      </w:pPr>
      <w:r w:rsidRPr="00204E29">
        <w:rPr>
          <w:b/>
          <w:lang w:val="es-ES_tradnl"/>
        </w:rPr>
        <w:tab/>
        <w:t xml:space="preserve">A1 </w:t>
      </w:r>
      <w:r w:rsidR="00384B1B" w:rsidRPr="00204E29">
        <w:rPr>
          <w:b/>
          <w:lang w:val="es-ES_tradnl"/>
        </w:rPr>
        <w:t>–</w:t>
      </w:r>
      <w:r w:rsidRPr="00204E29">
        <w:rPr>
          <w:b/>
          <w:lang w:val="es-ES_tradnl"/>
        </w:rPr>
        <w:t xml:space="preserve"> RR</w:t>
      </w:r>
      <w:r w:rsidRPr="00204E29">
        <w:rPr>
          <w:lang w:val="es-ES_tradnl"/>
        </w:rPr>
        <w:t>:</w:t>
      </w:r>
      <w:r w:rsidRPr="00204E29">
        <w:rPr>
          <w:lang w:val="es-ES_tradnl"/>
        </w:rPr>
        <w:tab/>
        <w:t>Reglamento de Radiocomunicaciones (Artículos, Apéndices y Resoluciones).</w:t>
      </w:r>
    </w:p>
    <w:p w:rsidR="002670C8" w:rsidRPr="00204E29" w:rsidRDefault="002670C8" w:rsidP="00384B1B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  <w:rPr>
          <w:lang w:val="es-ES_tradnl"/>
        </w:rPr>
      </w:pPr>
      <w:r w:rsidRPr="00204E29">
        <w:rPr>
          <w:b/>
          <w:lang w:val="es-ES_tradnl"/>
        </w:rPr>
        <w:tab/>
        <w:t xml:space="preserve">A2 </w:t>
      </w:r>
      <w:r w:rsidR="00384B1B" w:rsidRPr="00204E29">
        <w:rPr>
          <w:b/>
          <w:lang w:val="es-ES_tradnl"/>
        </w:rPr>
        <w:t>–</w:t>
      </w:r>
      <w:r w:rsidRPr="00204E29">
        <w:rPr>
          <w:b/>
          <w:lang w:val="es-ES_tradnl"/>
        </w:rPr>
        <w:t xml:space="preserve"> ST61</w:t>
      </w:r>
      <w:r w:rsidRPr="00204E29">
        <w:rPr>
          <w:lang w:val="es-ES_tradnl"/>
        </w:rPr>
        <w:t>:</w:t>
      </w:r>
      <w:r w:rsidRPr="00204E29">
        <w:rPr>
          <w:lang w:val="es-ES_tradnl"/>
        </w:rPr>
        <w:tab/>
        <w:t>Reglas relativas al Acuerdo Regional para la Zona Europea de Radiodifusión sobre la utilización de frecuencias por el servicio de radiodifusión en las bandas de ondas métricas y decimétricas (Estocolmo, 1961) (ST61).</w:t>
      </w:r>
    </w:p>
    <w:p w:rsidR="002670C8" w:rsidRPr="00204E29" w:rsidRDefault="002670C8" w:rsidP="00384B1B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  <w:rPr>
          <w:lang w:val="es-ES_tradnl"/>
        </w:rPr>
      </w:pPr>
      <w:r w:rsidRPr="00204E29">
        <w:rPr>
          <w:b/>
          <w:lang w:val="es-ES_tradnl"/>
        </w:rPr>
        <w:tab/>
        <w:t xml:space="preserve">A3 </w:t>
      </w:r>
      <w:r w:rsidR="00384B1B" w:rsidRPr="00204E29">
        <w:rPr>
          <w:b/>
          <w:lang w:val="es-ES_tradnl"/>
        </w:rPr>
        <w:t>–</w:t>
      </w:r>
      <w:r w:rsidRPr="00204E29">
        <w:rPr>
          <w:b/>
          <w:lang w:val="es-ES_tradnl"/>
        </w:rPr>
        <w:t xml:space="preserve"> GE75</w:t>
      </w:r>
      <w:r w:rsidRPr="00204E29">
        <w:rPr>
          <w:lang w:val="es-ES_tradnl"/>
        </w:rPr>
        <w:t>:</w:t>
      </w:r>
      <w:r w:rsidRPr="00204E29">
        <w:rPr>
          <w:lang w:val="es-ES_tradnl"/>
        </w:rPr>
        <w:tab/>
        <w:t>Reglas relativas al Acuerdo Regional sobre la utilización por el servicio de radiodifusión de frecuencias en las bandas de ondas hectométricas en las Regiones 1 y 3 y en las bandas de ondas kilométricas en la Región 1 (Ginebra, 1975) (GE75).</w:t>
      </w:r>
    </w:p>
    <w:p w:rsidR="002670C8" w:rsidRPr="00204E29" w:rsidRDefault="002670C8" w:rsidP="00384B1B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  <w:rPr>
          <w:lang w:val="es-ES_tradnl"/>
        </w:rPr>
      </w:pPr>
      <w:r w:rsidRPr="00204E29">
        <w:rPr>
          <w:b/>
          <w:lang w:val="es-ES_tradnl"/>
        </w:rPr>
        <w:tab/>
        <w:t xml:space="preserve">A4 </w:t>
      </w:r>
      <w:r w:rsidR="00384B1B" w:rsidRPr="00204E29">
        <w:rPr>
          <w:b/>
          <w:lang w:val="es-ES_tradnl"/>
        </w:rPr>
        <w:t>–</w:t>
      </w:r>
      <w:r w:rsidRPr="00204E29">
        <w:rPr>
          <w:b/>
          <w:lang w:val="es-ES_tradnl"/>
        </w:rPr>
        <w:t xml:space="preserve"> RJ81</w:t>
      </w:r>
      <w:r w:rsidRPr="00204E29">
        <w:rPr>
          <w:lang w:val="es-ES_tradnl"/>
        </w:rPr>
        <w:t>:</w:t>
      </w:r>
      <w:r w:rsidRPr="00204E29">
        <w:rPr>
          <w:lang w:val="es-ES_tradnl"/>
        </w:rPr>
        <w:tab/>
        <w:t>Reglas relativas al Acuerdo Regional sobre la utilización de la banda 535-1</w:t>
      </w:r>
      <w:r w:rsidRPr="00204E29">
        <w:rPr>
          <w:rFonts w:ascii="Tms Rmn" w:hAnsi="Tms Rmn"/>
          <w:sz w:val="12"/>
          <w:lang w:val="es-ES_tradnl"/>
        </w:rPr>
        <w:t> </w:t>
      </w:r>
      <w:r w:rsidRPr="00204E29">
        <w:rPr>
          <w:lang w:val="es-ES_tradnl"/>
        </w:rPr>
        <w:t>605</w:t>
      </w:r>
      <w:r w:rsidR="00384B1B" w:rsidRPr="00204E29">
        <w:rPr>
          <w:lang w:val="es-ES_tradnl"/>
        </w:rPr>
        <w:t xml:space="preserve"> </w:t>
      </w:r>
      <w:r w:rsidRPr="00204E29">
        <w:rPr>
          <w:lang w:val="es-ES_tradnl"/>
        </w:rPr>
        <w:t>kHz en la Región 2 por el servicio de radio</w:t>
      </w:r>
      <w:r w:rsidR="00384B1B" w:rsidRPr="00204E29">
        <w:rPr>
          <w:lang w:val="es-ES_tradnl"/>
        </w:rPr>
        <w:softHyphen/>
      </w:r>
      <w:r w:rsidRPr="00204E29">
        <w:rPr>
          <w:lang w:val="es-ES_tradnl"/>
        </w:rPr>
        <w:t>difusión (Río de Janeiro, 1981) (RJ81).</w:t>
      </w:r>
    </w:p>
    <w:p w:rsidR="002670C8" w:rsidRPr="00204E29" w:rsidRDefault="002670C8" w:rsidP="00384B1B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  <w:rPr>
          <w:lang w:val="es-ES_tradnl"/>
        </w:rPr>
      </w:pPr>
      <w:r w:rsidRPr="00204E29">
        <w:rPr>
          <w:lang w:val="es-ES_tradnl"/>
        </w:rPr>
        <w:tab/>
      </w:r>
      <w:r w:rsidRPr="00204E29">
        <w:rPr>
          <w:b/>
          <w:lang w:val="es-ES_tradnl"/>
        </w:rPr>
        <w:t xml:space="preserve">A5 </w:t>
      </w:r>
      <w:r w:rsidR="00384B1B" w:rsidRPr="00204E29">
        <w:rPr>
          <w:b/>
          <w:lang w:val="es-ES_tradnl"/>
        </w:rPr>
        <w:t>–</w:t>
      </w:r>
      <w:r w:rsidRPr="00204E29">
        <w:rPr>
          <w:b/>
          <w:lang w:val="es-ES_tradnl"/>
        </w:rPr>
        <w:t xml:space="preserve"> GE84</w:t>
      </w:r>
      <w:r w:rsidRPr="00204E29">
        <w:rPr>
          <w:lang w:val="es-ES_tradnl"/>
        </w:rPr>
        <w:t>:</w:t>
      </w:r>
      <w:r w:rsidRPr="00204E29">
        <w:rPr>
          <w:lang w:val="es-ES_tradnl"/>
        </w:rPr>
        <w:tab/>
        <w:t>Reglas relativas al Acuerdo Regional sobre la utilización de la banda 87,5-108 MHz por la radiodifusión sonora con modu</w:t>
      </w:r>
      <w:r w:rsidR="00384B1B" w:rsidRPr="00204E29">
        <w:rPr>
          <w:lang w:val="es-ES_tradnl"/>
        </w:rPr>
        <w:softHyphen/>
      </w:r>
      <w:r w:rsidRPr="00204E29">
        <w:rPr>
          <w:lang w:val="es-ES_tradnl"/>
        </w:rPr>
        <w:t>lación de frecuencia (Ginebra, 1984) (GE84).</w:t>
      </w:r>
    </w:p>
    <w:p w:rsidR="002670C8" w:rsidRPr="00204E29" w:rsidRDefault="002670C8" w:rsidP="00384B1B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  <w:rPr>
          <w:lang w:val="es-ES_tradnl"/>
        </w:rPr>
      </w:pPr>
      <w:r w:rsidRPr="00204E29">
        <w:rPr>
          <w:b/>
          <w:lang w:val="es-ES_tradnl"/>
        </w:rPr>
        <w:tab/>
        <w:t xml:space="preserve">A6 </w:t>
      </w:r>
      <w:r w:rsidR="00384B1B" w:rsidRPr="00204E29">
        <w:rPr>
          <w:b/>
          <w:lang w:val="es-ES_tradnl"/>
        </w:rPr>
        <w:t>–</w:t>
      </w:r>
      <w:r w:rsidRPr="00204E29">
        <w:rPr>
          <w:b/>
          <w:lang w:val="es-ES_tradnl"/>
        </w:rPr>
        <w:t xml:space="preserve"> GE89</w:t>
      </w:r>
      <w:r w:rsidRPr="00204E29">
        <w:rPr>
          <w:lang w:val="es-ES_tradnl"/>
        </w:rPr>
        <w:t>:</w:t>
      </w:r>
      <w:r w:rsidRPr="00204E29">
        <w:rPr>
          <w:lang w:val="es-ES_tradnl"/>
        </w:rPr>
        <w:tab/>
        <w:t>Reglas relativas al Acuerdo Regional sobre la planificación de la radiodifusión de televisión en ondas métricas/decimétricas en la Zona Africana de Radiodifusión y países vecinos (Ginebra, 1989) (GE89).</w:t>
      </w:r>
    </w:p>
    <w:p w:rsidR="002670C8" w:rsidRPr="00204E29" w:rsidRDefault="002670C8" w:rsidP="00384B1B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  <w:rPr>
          <w:lang w:val="es-ES_tradnl"/>
        </w:rPr>
      </w:pPr>
      <w:r w:rsidRPr="00204E29">
        <w:rPr>
          <w:b/>
          <w:lang w:val="es-ES_tradnl"/>
        </w:rPr>
        <w:tab/>
        <w:t xml:space="preserve">A7 </w:t>
      </w:r>
      <w:r w:rsidR="00384B1B" w:rsidRPr="00204E29">
        <w:rPr>
          <w:b/>
          <w:lang w:val="es-ES_tradnl"/>
        </w:rPr>
        <w:t>–</w:t>
      </w:r>
      <w:r w:rsidRPr="00204E29">
        <w:rPr>
          <w:b/>
          <w:lang w:val="es-ES_tradnl"/>
        </w:rPr>
        <w:t xml:space="preserve"> RJ88</w:t>
      </w:r>
      <w:r w:rsidRPr="00204E29">
        <w:rPr>
          <w:lang w:val="es-ES_tradnl"/>
        </w:rPr>
        <w:t>:</w:t>
      </w:r>
      <w:r w:rsidRPr="00204E29">
        <w:rPr>
          <w:lang w:val="es-ES_tradnl"/>
        </w:rPr>
        <w:tab/>
        <w:t>Reglas relativas a la Resolución 1 de la Conferencia RJ88 y al Artículo 6 del Acuerdo RJ88.</w:t>
      </w:r>
    </w:p>
    <w:p w:rsidR="002670C8" w:rsidRPr="00204E29" w:rsidRDefault="002670C8" w:rsidP="00384B1B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  <w:rPr>
          <w:lang w:val="es-ES_tradnl"/>
        </w:rPr>
      </w:pPr>
      <w:r w:rsidRPr="00204E29">
        <w:rPr>
          <w:b/>
          <w:lang w:val="es-ES_tradnl"/>
        </w:rPr>
        <w:tab/>
        <w:t xml:space="preserve">A8 </w:t>
      </w:r>
      <w:r w:rsidR="00384B1B" w:rsidRPr="00204E29">
        <w:rPr>
          <w:b/>
          <w:lang w:val="es-ES_tradnl"/>
        </w:rPr>
        <w:t>–</w:t>
      </w:r>
      <w:r w:rsidRPr="00204E29">
        <w:rPr>
          <w:b/>
          <w:lang w:val="es-ES_tradnl"/>
        </w:rPr>
        <w:t xml:space="preserve"> GE85-R1</w:t>
      </w:r>
      <w:r w:rsidRPr="00204E29">
        <w:rPr>
          <w:lang w:val="es-ES_tradnl"/>
        </w:rPr>
        <w:t>:</w:t>
      </w:r>
      <w:r w:rsidRPr="00204E29">
        <w:rPr>
          <w:lang w:val="es-ES_tradnl"/>
        </w:rPr>
        <w:tab/>
        <w:t>Reglas relativas al Acuerdo Regional relativo a los servicios móvil marítimo y de radionavegación aeronáutica en la banda</w:t>
      </w:r>
      <w:r w:rsidR="00384B1B" w:rsidRPr="00204E29">
        <w:rPr>
          <w:lang w:val="es-ES_tradnl"/>
        </w:rPr>
        <w:t>  </w:t>
      </w:r>
      <w:r w:rsidRPr="00204E29">
        <w:rPr>
          <w:lang w:val="es-ES_tradnl"/>
        </w:rPr>
        <w:t>de</w:t>
      </w:r>
      <w:r w:rsidR="00384B1B" w:rsidRPr="00204E29">
        <w:rPr>
          <w:lang w:val="es-ES_tradnl"/>
        </w:rPr>
        <w:t xml:space="preserve"> </w:t>
      </w:r>
      <w:r w:rsidRPr="00204E29">
        <w:rPr>
          <w:lang w:val="es-ES_tradnl"/>
        </w:rPr>
        <w:t>ondas hectométricas (Región 1), (Ginebra, 1985) (GE85</w:t>
      </w:r>
      <w:r w:rsidRPr="00204E29">
        <w:rPr>
          <w:lang w:val="es-ES_tradnl"/>
        </w:rPr>
        <w:noBreakHyphen/>
        <w:t>MM</w:t>
      </w:r>
      <w:r w:rsidR="00384B1B" w:rsidRPr="00204E29">
        <w:rPr>
          <w:lang w:val="es-ES_tradnl"/>
        </w:rPr>
        <w:noBreakHyphen/>
      </w:r>
      <w:r w:rsidRPr="00204E29">
        <w:rPr>
          <w:lang w:val="es-ES_tradnl"/>
        </w:rPr>
        <w:t>R1).</w:t>
      </w:r>
    </w:p>
    <w:p w:rsidR="002670C8" w:rsidRPr="00204E29" w:rsidRDefault="002670C8" w:rsidP="00384B1B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  <w:rPr>
          <w:lang w:val="es-ES_tradnl"/>
        </w:rPr>
      </w:pPr>
      <w:r w:rsidRPr="00204E29">
        <w:rPr>
          <w:b/>
          <w:lang w:val="es-ES_tradnl"/>
        </w:rPr>
        <w:tab/>
        <w:t xml:space="preserve">A9 </w:t>
      </w:r>
      <w:r w:rsidR="00384B1B" w:rsidRPr="00204E29">
        <w:rPr>
          <w:b/>
          <w:lang w:val="es-ES_tradnl"/>
        </w:rPr>
        <w:t>–</w:t>
      </w:r>
      <w:r w:rsidRPr="00204E29">
        <w:rPr>
          <w:b/>
          <w:lang w:val="es-ES_tradnl"/>
        </w:rPr>
        <w:t xml:space="preserve"> GE85-EMA</w:t>
      </w:r>
      <w:r w:rsidRPr="00204E29">
        <w:rPr>
          <w:lang w:val="es-ES_tradnl"/>
        </w:rPr>
        <w:t>:</w:t>
      </w:r>
      <w:r w:rsidRPr="00204E29">
        <w:rPr>
          <w:lang w:val="es-ES_tradnl"/>
        </w:rPr>
        <w:tab/>
        <w:t>Reglas relativas al Acuerdo Regional para la planificación del servicio de radionavegación marítima (radiofaros) en la Zona Marítima Europea (Ginebra, 1985) (GE85</w:t>
      </w:r>
      <w:r w:rsidR="00384B1B" w:rsidRPr="00204E29">
        <w:rPr>
          <w:lang w:val="es-ES_tradnl"/>
        </w:rPr>
        <w:noBreakHyphen/>
      </w:r>
      <w:r w:rsidRPr="00204E29">
        <w:rPr>
          <w:lang w:val="es-ES_tradnl"/>
        </w:rPr>
        <w:t>EMA).</w:t>
      </w:r>
    </w:p>
    <w:p w:rsidR="008C6C11" w:rsidRPr="00204E29" w:rsidRDefault="008C6C11" w:rsidP="00384B1B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  <w:rPr>
          <w:szCs w:val="24"/>
          <w:lang w:val="es-ES_tradnl"/>
        </w:rPr>
      </w:pPr>
      <w:r w:rsidRPr="00204E29">
        <w:rPr>
          <w:lang w:val="es-ES_tradnl"/>
        </w:rPr>
        <w:tab/>
      </w:r>
      <w:r w:rsidRPr="00204E29">
        <w:rPr>
          <w:b/>
          <w:lang w:val="es-ES_tradnl"/>
        </w:rPr>
        <w:t xml:space="preserve">A10 </w:t>
      </w:r>
      <w:r w:rsidR="00384B1B" w:rsidRPr="00204E29">
        <w:rPr>
          <w:b/>
          <w:lang w:val="es-ES_tradnl"/>
        </w:rPr>
        <w:t>–</w:t>
      </w:r>
      <w:r w:rsidRPr="00204E29">
        <w:rPr>
          <w:b/>
          <w:lang w:val="es-ES_tradnl"/>
        </w:rPr>
        <w:t xml:space="preserve"> GE06:</w:t>
      </w:r>
      <w:r w:rsidRPr="00204E29">
        <w:rPr>
          <w:lang w:val="es-ES_tradnl"/>
        </w:rPr>
        <w:tab/>
      </w:r>
      <w:r w:rsidRPr="00204E29">
        <w:rPr>
          <w:szCs w:val="24"/>
          <w:lang w:val="es-ES_tradnl"/>
        </w:rPr>
        <w:t>Reglas relativas al Acuerdo Regional sobre planificación del servicio de radiodifusión digital terrenal en partes de las Regiones 1 y 3, en las bandas de frecuencia 174-230 MHz y 470-862</w:t>
      </w:r>
      <w:r w:rsidR="00384B1B" w:rsidRPr="00204E29">
        <w:rPr>
          <w:szCs w:val="24"/>
          <w:lang w:val="es-ES_tradnl"/>
        </w:rPr>
        <w:t> </w:t>
      </w:r>
      <w:r w:rsidRPr="00204E29">
        <w:rPr>
          <w:szCs w:val="24"/>
          <w:lang w:val="es-ES_tradnl"/>
        </w:rPr>
        <w:t>MHz (Ginebra, 2006) (GE06)</w:t>
      </w:r>
      <w:r w:rsidR="004A69B7" w:rsidRPr="00204E29">
        <w:rPr>
          <w:szCs w:val="24"/>
          <w:lang w:val="es-ES_tradnl"/>
        </w:rPr>
        <w:t>.</w:t>
      </w:r>
    </w:p>
    <w:p w:rsidR="002670C8" w:rsidRPr="00204E29" w:rsidRDefault="00384B1B" w:rsidP="00384B1B">
      <w:pPr>
        <w:pStyle w:val="Heading1"/>
        <w:rPr>
          <w:lang w:val="es-ES_tradnl"/>
        </w:rPr>
      </w:pPr>
      <w:r w:rsidRPr="00204E29">
        <w:rPr>
          <w:lang w:val="es-ES_tradnl"/>
        </w:rPr>
        <w:br w:type="page"/>
      </w:r>
      <w:r w:rsidR="002670C8" w:rsidRPr="00204E29">
        <w:rPr>
          <w:lang w:val="es-ES_tradnl"/>
        </w:rPr>
        <w:lastRenderedPageBreak/>
        <w:t>PARTE  B</w:t>
      </w:r>
    </w:p>
    <w:p w:rsidR="002670C8" w:rsidRPr="00204E29" w:rsidRDefault="002670C8" w:rsidP="00384B1B">
      <w:pPr>
        <w:pStyle w:val="Normalaftertitle"/>
        <w:rPr>
          <w:lang w:val="es-ES_tradnl"/>
        </w:rPr>
      </w:pPr>
      <w:r w:rsidRPr="00204E29">
        <w:rPr>
          <w:lang w:val="es-ES_tradnl"/>
        </w:rPr>
        <w:t>La Parte B de las Reglas de Procedimiento contiene reglas aplicables a una gran variedad de procedimientos técnicos complejos no relacionados con una única disposición del Regla</w:t>
      </w:r>
      <w:r w:rsidRPr="00204E29">
        <w:rPr>
          <w:lang w:val="es-ES_tradnl"/>
        </w:rPr>
        <w:softHyphen/>
        <w:t>mento de Radiocomunicaciones o de los Acuerdos Regionales. Comprende las secciones siguientes:</w:t>
      </w:r>
    </w:p>
    <w:p w:rsidR="002670C8" w:rsidRPr="00204E29" w:rsidRDefault="002670C8" w:rsidP="00384B1B">
      <w:pPr>
        <w:tabs>
          <w:tab w:val="clear" w:pos="1134"/>
          <w:tab w:val="clear" w:pos="1871"/>
          <w:tab w:val="clear" w:pos="2268"/>
          <w:tab w:val="left" w:pos="907"/>
          <w:tab w:val="left" w:pos="1701"/>
        </w:tabs>
        <w:spacing w:before="100"/>
        <w:ind w:left="1701" w:hanging="1701"/>
        <w:rPr>
          <w:lang w:val="es-ES_tradnl"/>
        </w:rPr>
      </w:pPr>
      <w:r w:rsidRPr="00204E29">
        <w:rPr>
          <w:lang w:val="es-ES_tradnl"/>
        </w:rPr>
        <w:tab/>
      </w:r>
      <w:r w:rsidRPr="00204E29">
        <w:rPr>
          <w:b/>
          <w:lang w:val="es-ES_tradnl"/>
        </w:rPr>
        <w:t>B1</w:t>
      </w:r>
      <w:r w:rsidRPr="00204E29">
        <w:rPr>
          <w:lang w:val="es-ES_tradnl"/>
        </w:rPr>
        <w:t>:</w:t>
      </w:r>
      <w:r w:rsidRPr="00204E29">
        <w:rPr>
          <w:lang w:val="es-ES_tradnl"/>
        </w:rPr>
        <w:tab/>
        <w:t>(No utilizado)</w:t>
      </w:r>
    </w:p>
    <w:p w:rsidR="002670C8" w:rsidRPr="00204E29" w:rsidRDefault="002670C8" w:rsidP="00384B1B">
      <w:pPr>
        <w:tabs>
          <w:tab w:val="clear" w:pos="1134"/>
          <w:tab w:val="clear" w:pos="1871"/>
          <w:tab w:val="clear" w:pos="2268"/>
          <w:tab w:val="left" w:pos="907"/>
          <w:tab w:val="left" w:pos="1701"/>
        </w:tabs>
        <w:spacing w:before="100"/>
        <w:ind w:left="1701" w:hanging="1701"/>
        <w:rPr>
          <w:lang w:val="es-ES_tradnl"/>
        </w:rPr>
      </w:pPr>
      <w:r w:rsidRPr="00204E29">
        <w:rPr>
          <w:lang w:val="es-ES_tradnl"/>
        </w:rPr>
        <w:tab/>
      </w:r>
      <w:r w:rsidRPr="00204E29">
        <w:rPr>
          <w:b/>
          <w:lang w:val="es-ES_tradnl"/>
        </w:rPr>
        <w:t>B2</w:t>
      </w:r>
      <w:r w:rsidRPr="00204E29">
        <w:rPr>
          <w:lang w:val="es-ES_tradnl"/>
        </w:rPr>
        <w:t>:</w:t>
      </w:r>
      <w:r w:rsidRPr="00204E29">
        <w:rPr>
          <w:lang w:val="es-ES_tradnl"/>
        </w:rPr>
        <w:tab/>
        <w:t>(No utilizado)</w:t>
      </w:r>
    </w:p>
    <w:p w:rsidR="002670C8" w:rsidRPr="00204E29" w:rsidRDefault="002670C8" w:rsidP="00384B1B">
      <w:pPr>
        <w:tabs>
          <w:tab w:val="clear" w:pos="1134"/>
          <w:tab w:val="clear" w:pos="1871"/>
          <w:tab w:val="clear" w:pos="2268"/>
          <w:tab w:val="left" w:pos="907"/>
          <w:tab w:val="left" w:pos="1701"/>
        </w:tabs>
        <w:spacing w:before="100"/>
        <w:ind w:left="1701" w:hanging="1701"/>
        <w:rPr>
          <w:lang w:val="es-ES_tradnl"/>
        </w:rPr>
      </w:pPr>
      <w:r w:rsidRPr="00204E29">
        <w:rPr>
          <w:lang w:val="es-ES_tradnl"/>
        </w:rPr>
        <w:tab/>
      </w:r>
      <w:r w:rsidRPr="00204E29">
        <w:rPr>
          <w:b/>
          <w:lang w:val="es-ES_tradnl"/>
        </w:rPr>
        <w:t>B3</w:t>
      </w:r>
      <w:r w:rsidRPr="00204E29">
        <w:rPr>
          <w:lang w:val="es-ES_tradnl"/>
        </w:rPr>
        <w:t>:</w:t>
      </w:r>
      <w:r w:rsidRPr="00204E29">
        <w:rPr>
          <w:lang w:val="es-ES_tradnl"/>
        </w:rPr>
        <w:tab/>
        <w:t xml:space="preserve">Reglas relativas al método para calcular la probabilidad de interferencia perjudicial entre redes espaciales (relaciones </w:t>
      </w:r>
      <w:r w:rsidRPr="00204E29">
        <w:rPr>
          <w:i/>
          <w:lang w:val="es-ES_tradnl"/>
        </w:rPr>
        <w:t>C</w:t>
      </w:r>
      <w:r w:rsidRPr="00204E29">
        <w:rPr>
          <w:lang w:val="es-ES_tradnl"/>
        </w:rPr>
        <w:t>/</w:t>
      </w:r>
      <w:r w:rsidRPr="00204E29">
        <w:rPr>
          <w:i/>
          <w:lang w:val="es-ES_tradnl"/>
        </w:rPr>
        <w:t>I</w:t>
      </w:r>
      <w:r w:rsidR="00384B1B" w:rsidRPr="00204E29">
        <w:rPr>
          <w:rFonts w:ascii="Tms Rmn" w:hAnsi="Tms Rmn"/>
          <w:iCs/>
          <w:sz w:val="12"/>
          <w:lang w:val="es-ES_tradnl"/>
        </w:rPr>
        <w:t> </w:t>
      </w:r>
      <w:r w:rsidRPr="00204E29">
        <w:rPr>
          <w:lang w:val="es-ES_tradnl"/>
        </w:rPr>
        <w:t>).</w:t>
      </w:r>
    </w:p>
    <w:p w:rsidR="002670C8" w:rsidRPr="00204E29" w:rsidRDefault="002670C8" w:rsidP="00384B1B">
      <w:pPr>
        <w:tabs>
          <w:tab w:val="clear" w:pos="1134"/>
          <w:tab w:val="clear" w:pos="1871"/>
          <w:tab w:val="clear" w:pos="2268"/>
          <w:tab w:val="left" w:pos="907"/>
          <w:tab w:val="left" w:pos="1701"/>
        </w:tabs>
        <w:spacing w:before="100"/>
        <w:ind w:left="1701" w:hanging="1701"/>
        <w:rPr>
          <w:lang w:val="es-ES_tradnl"/>
        </w:rPr>
      </w:pPr>
      <w:r w:rsidRPr="00204E29">
        <w:rPr>
          <w:lang w:val="es-ES_tradnl"/>
        </w:rPr>
        <w:tab/>
      </w:r>
      <w:r w:rsidRPr="00204E29">
        <w:rPr>
          <w:b/>
          <w:lang w:val="es-ES_tradnl"/>
        </w:rPr>
        <w:t>B4</w:t>
      </w:r>
      <w:r w:rsidRPr="00204E29">
        <w:rPr>
          <w:lang w:val="es-ES_tradnl"/>
        </w:rPr>
        <w:t>:</w:t>
      </w:r>
      <w:r w:rsidRPr="00204E29">
        <w:rPr>
          <w:lang w:val="es-ES_tradnl"/>
        </w:rPr>
        <w:tab/>
        <w:t>Reglas relativas a la metodología de cálculo y normas técnicas para iden</w:t>
      </w:r>
      <w:r w:rsidRPr="00204E29">
        <w:rPr>
          <w:lang w:val="es-ES_tradnl"/>
        </w:rPr>
        <w:softHyphen/>
        <w:t>tificar a las administraciones afectadas y evaluar la probabilidad de interfe</w:t>
      </w:r>
      <w:r w:rsidRPr="00204E29">
        <w:rPr>
          <w:lang w:val="es-ES_tradnl"/>
        </w:rPr>
        <w:softHyphen/>
        <w:t>rencia perjudicial en las bandas entre 9 kHz y 28</w:t>
      </w:r>
      <w:r w:rsidRPr="00204E29">
        <w:rPr>
          <w:rFonts w:ascii="Tms Rmn" w:hAnsi="Tms Rmn"/>
          <w:sz w:val="12"/>
          <w:lang w:val="es-ES_tradnl"/>
        </w:rPr>
        <w:t> </w:t>
      </w:r>
      <w:r w:rsidRPr="00204E29">
        <w:rPr>
          <w:lang w:val="es-ES_tradnl"/>
        </w:rPr>
        <w:t>000 kHz.</w:t>
      </w:r>
    </w:p>
    <w:p w:rsidR="002670C8" w:rsidRPr="00204E29" w:rsidRDefault="002670C8" w:rsidP="00384B1B">
      <w:pPr>
        <w:tabs>
          <w:tab w:val="clear" w:pos="1134"/>
          <w:tab w:val="clear" w:pos="1871"/>
          <w:tab w:val="clear" w:pos="2268"/>
          <w:tab w:val="left" w:pos="907"/>
          <w:tab w:val="left" w:pos="1701"/>
        </w:tabs>
        <w:spacing w:before="100"/>
        <w:ind w:left="1701" w:hanging="1701"/>
        <w:rPr>
          <w:lang w:val="es-ES_tradnl"/>
        </w:rPr>
      </w:pPr>
      <w:r w:rsidRPr="00204E29">
        <w:rPr>
          <w:lang w:val="es-ES_tradnl"/>
        </w:rPr>
        <w:tab/>
      </w:r>
      <w:r w:rsidRPr="00204E29">
        <w:rPr>
          <w:b/>
          <w:lang w:val="es-ES_tradnl"/>
        </w:rPr>
        <w:t>B5</w:t>
      </w:r>
      <w:r w:rsidRPr="00204E29">
        <w:rPr>
          <w:lang w:val="es-ES_tradnl"/>
        </w:rPr>
        <w:t>:</w:t>
      </w:r>
      <w:r w:rsidRPr="00204E29">
        <w:rPr>
          <w:lang w:val="es-ES_tradnl"/>
        </w:rPr>
        <w:tab/>
        <w:t>Reglas relativas a los criterios para aplicar las disposiciones del número </w:t>
      </w:r>
      <w:r w:rsidRPr="00204E29">
        <w:rPr>
          <w:rStyle w:val="Artref0"/>
          <w:b/>
          <w:bCs/>
          <w:color w:val="000000"/>
          <w:lang w:val="es-ES_tradnl"/>
        </w:rPr>
        <w:t>9.36</w:t>
      </w:r>
      <w:r w:rsidRPr="00204E29">
        <w:rPr>
          <w:rStyle w:val="Artref"/>
          <w:b/>
          <w:lang w:val="es-ES_tradnl"/>
        </w:rPr>
        <w:t xml:space="preserve"> </w:t>
      </w:r>
      <w:r w:rsidRPr="00204E29">
        <w:rPr>
          <w:rStyle w:val="Artref"/>
          <w:lang w:val="es-ES_tradnl"/>
        </w:rPr>
        <w:t>a una asignación de frecuencia en las bandas que se rigen por el número </w:t>
      </w:r>
      <w:r w:rsidRPr="00204E29">
        <w:rPr>
          <w:rStyle w:val="Artref0"/>
          <w:b/>
          <w:bCs/>
          <w:color w:val="000000"/>
          <w:lang w:val="es-ES_tradnl"/>
        </w:rPr>
        <w:t>5.92</w:t>
      </w:r>
      <w:r w:rsidRPr="00204E29">
        <w:rPr>
          <w:lang w:val="es-ES_tradnl"/>
        </w:rPr>
        <w:t>.</w:t>
      </w:r>
    </w:p>
    <w:p w:rsidR="002670C8" w:rsidRDefault="002670C8" w:rsidP="00384B1B">
      <w:pPr>
        <w:tabs>
          <w:tab w:val="clear" w:pos="1134"/>
          <w:tab w:val="clear" w:pos="1871"/>
          <w:tab w:val="clear" w:pos="2268"/>
          <w:tab w:val="left" w:pos="907"/>
          <w:tab w:val="left" w:pos="1701"/>
        </w:tabs>
        <w:spacing w:before="100"/>
        <w:ind w:left="1701" w:hanging="1701"/>
        <w:rPr>
          <w:lang w:val="es-ES_tradnl"/>
        </w:rPr>
      </w:pPr>
      <w:r w:rsidRPr="00204E29">
        <w:rPr>
          <w:lang w:val="es-ES_tradnl"/>
        </w:rPr>
        <w:tab/>
      </w:r>
      <w:r w:rsidRPr="00204E29">
        <w:rPr>
          <w:b/>
          <w:lang w:val="es-ES_tradnl"/>
        </w:rPr>
        <w:t>B6</w:t>
      </w:r>
      <w:r w:rsidRPr="00204E29">
        <w:rPr>
          <w:lang w:val="es-ES_tradnl"/>
        </w:rPr>
        <w:t>:</w:t>
      </w:r>
      <w:r w:rsidRPr="00204E29">
        <w:rPr>
          <w:lang w:val="es-ES_tradnl"/>
        </w:rPr>
        <w:tab/>
        <w:t>Reglas relativas a los criterios para aplicar las disposiciones del número </w:t>
      </w:r>
      <w:r w:rsidRPr="00204E29">
        <w:rPr>
          <w:rStyle w:val="Artref0"/>
          <w:b/>
          <w:bCs/>
          <w:color w:val="000000"/>
          <w:lang w:val="es-ES_tradnl"/>
        </w:rPr>
        <w:t>9.36</w:t>
      </w:r>
      <w:r w:rsidRPr="00204E29">
        <w:rPr>
          <w:lang w:val="es-ES_tradnl"/>
        </w:rPr>
        <w:t xml:space="preserve"> a una asignación de frecuencia a los servicios cuya atribución se rige por los números </w:t>
      </w:r>
      <w:r w:rsidRPr="00204E29">
        <w:rPr>
          <w:rStyle w:val="Artref0"/>
          <w:b/>
          <w:bCs/>
          <w:color w:val="000000"/>
          <w:lang w:val="es-ES_tradnl"/>
        </w:rPr>
        <w:t>5.292</w:t>
      </w:r>
      <w:r w:rsidRPr="00204E29">
        <w:rPr>
          <w:lang w:val="es-ES_tradnl"/>
        </w:rPr>
        <w:t xml:space="preserve">, </w:t>
      </w:r>
      <w:r w:rsidRPr="00204E29">
        <w:rPr>
          <w:rStyle w:val="Artref0"/>
          <w:b/>
          <w:bCs/>
          <w:color w:val="000000"/>
          <w:lang w:val="es-ES_tradnl"/>
        </w:rPr>
        <w:t>5.293</w:t>
      </w:r>
      <w:r w:rsidRPr="00204E29">
        <w:rPr>
          <w:lang w:val="es-ES_tradnl"/>
        </w:rPr>
        <w:t xml:space="preserve">, </w:t>
      </w:r>
      <w:r w:rsidRPr="00204E29">
        <w:rPr>
          <w:rStyle w:val="Artref0"/>
          <w:b/>
          <w:bCs/>
          <w:color w:val="000000"/>
          <w:lang w:val="es-ES_tradnl"/>
        </w:rPr>
        <w:t>5.297</w:t>
      </w:r>
      <w:r w:rsidRPr="00204E29">
        <w:rPr>
          <w:lang w:val="es-ES_tradnl"/>
        </w:rPr>
        <w:t xml:space="preserve">, </w:t>
      </w:r>
      <w:r w:rsidRPr="00204E29">
        <w:rPr>
          <w:rStyle w:val="Artref0"/>
          <w:b/>
          <w:bCs/>
          <w:color w:val="000000"/>
          <w:lang w:val="es-ES_tradnl"/>
        </w:rPr>
        <w:t>5.309</w:t>
      </w:r>
      <w:r w:rsidRPr="00204E29">
        <w:rPr>
          <w:lang w:val="es-ES_tradnl"/>
        </w:rPr>
        <w:t xml:space="preserve">, </w:t>
      </w:r>
      <w:r w:rsidRPr="00204E29">
        <w:rPr>
          <w:rStyle w:val="Artref0"/>
          <w:b/>
          <w:bCs/>
          <w:color w:val="000000"/>
          <w:lang w:val="es-ES_tradnl"/>
        </w:rPr>
        <w:t>5.323</w:t>
      </w:r>
      <w:r w:rsidRPr="00204E29">
        <w:rPr>
          <w:lang w:val="es-ES_tradnl"/>
        </w:rPr>
        <w:t xml:space="preserve">, </w:t>
      </w:r>
      <w:r w:rsidRPr="00204E29">
        <w:rPr>
          <w:rStyle w:val="Artref0"/>
          <w:b/>
          <w:bCs/>
          <w:color w:val="000000"/>
          <w:lang w:val="es-ES_tradnl"/>
        </w:rPr>
        <w:t>5.325</w:t>
      </w:r>
      <w:r w:rsidRPr="00204E29">
        <w:rPr>
          <w:lang w:val="es-ES_tradnl"/>
        </w:rPr>
        <w:t xml:space="preserve"> y </w:t>
      </w:r>
      <w:r w:rsidRPr="00204E29">
        <w:rPr>
          <w:rStyle w:val="Artref0"/>
          <w:b/>
          <w:bCs/>
          <w:color w:val="000000"/>
          <w:lang w:val="es-ES_tradnl"/>
        </w:rPr>
        <w:t>5.326</w:t>
      </w:r>
      <w:r w:rsidRPr="00204E29">
        <w:rPr>
          <w:lang w:val="es-ES_tradnl"/>
        </w:rPr>
        <w:t>.</w:t>
      </w:r>
    </w:p>
    <w:p w:rsidR="00AA4D11" w:rsidRPr="00204E29" w:rsidRDefault="00AA4D11" w:rsidP="00AA4D11">
      <w:pPr>
        <w:tabs>
          <w:tab w:val="clear" w:pos="1134"/>
          <w:tab w:val="clear" w:pos="1871"/>
          <w:tab w:val="clear" w:pos="2268"/>
          <w:tab w:val="left" w:pos="907"/>
          <w:tab w:val="left" w:pos="1701"/>
        </w:tabs>
        <w:spacing w:before="100"/>
        <w:ind w:left="1701" w:hanging="1701"/>
        <w:rPr>
          <w:lang w:val="es-ES_tradnl"/>
        </w:rPr>
      </w:pPr>
      <w:r>
        <w:rPr>
          <w:b/>
          <w:lang w:val="es-ES_tradnl"/>
        </w:rPr>
        <w:tab/>
        <w:t>B7</w:t>
      </w:r>
      <w:r w:rsidRPr="00AA4D11">
        <w:rPr>
          <w:lang w:val="es-ES_tradnl"/>
        </w:rPr>
        <w:t>:</w:t>
      </w:r>
      <w:r>
        <w:rPr>
          <w:lang w:val="es-ES_tradnl"/>
        </w:rPr>
        <w:tab/>
      </w:r>
      <w:r w:rsidRPr="00AA4D11">
        <w:rPr>
          <w:lang w:val="es-ES_tradnl"/>
        </w:rPr>
        <w:t xml:space="preserve">Reglas relativas a los valores de relación de protección y de mínima intensidad de campo que deben utilizarse en el caso de sistemas de transmisión con modulación digital cuando se aplican las </w:t>
      </w:r>
      <w:r w:rsidRPr="00AA4D11">
        <w:rPr>
          <w:lang w:val="es-ES_tradnl"/>
        </w:rPr>
        <w:br/>
        <w:t>disposiciones del Artículo 4 del Acuerdo Regional GE75</w:t>
      </w:r>
      <w:bookmarkStart w:id="0" w:name="_GoBack"/>
      <w:bookmarkEnd w:id="0"/>
    </w:p>
    <w:p w:rsidR="00384B1B" w:rsidRPr="00204E29" w:rsidRDefault="00384B1B" w:rsidP="00384B1B">
      <w:pPr>
        <w:rPr>
          <w:lang w:val="es-ES_tradnl"/>
        </w:rPr>
      </w:pPr>
    </w:p>
    <w:p w:rsidR="002670C8" w:rsidRPr="00204E29" w:rsidRDefault="002670C8" w:rsidP="00384B1B">
      <w:pPr>
        <w:pStyle w:val="Heading1"/>
        <w:rPr>
          <w:lang w:val="es-ES_tradnl"/>
        </w:rPr>
      </w:pPr>
      <w:r w:rsidRPr="00204E29">
        <w:rPr>
          <w:lang w:val="es-ES_tradnl"/>
        </w:rPr>
        <w:t>PARTE  C</w:t>
      </w:r>
    </w:p>
    <w:p w:rsidR="002670C8" w:rsidRPr="00204E29" w:rsidRDefault="002670C8" w:rsidP="00384B1B">
      <w:pPr>
        <w:tabs>
          <w:tab w:val="clear" w:pos="1134"/>
          <w:tab w:val="clear" w:pos="1871"/>
          <w:tab w:val="clear" w:pos="2268"/>
          <w:tab w:val="left" w:pos="907"/>
          <w:tab w:val="left" w:pos="1701"/>
        </w:tabs>
        <w:spacing w:before="360"/>
        <w:ind w:left="1701" w:hanging="1701"/>
        <w:rPr>
          <w:lang w:val="es-ES_tradnl"/>
        </w:rPr>
      </w:pPr>
      <w:r w:rsidRPr="00204E29">
        <w:rPr>
          <w:lang w:val="es-ES_tradnl"/>
        </w:rPr>
        <w:tab/>
      </w:r>
      <w:r w:rsidRPr="00204E29">
        <w:rPr>
          <w:b/>
          <w:lang w:val="es-ES_tradnl"/>
        </w:rPr>
        <w:t>C</w:t>
      </w:r>
      <w:r w:rsidRPr="00204E29">
        <w:rPr>
          <w:lang w:val="es-ES_tradnl"/>
        </w:rPr>
        <w:t>:</w:t>
      </w:r>
      <w:r w:rsidRPr="00204E29">
        <w:rPr>
          <w:lang w:val="es-ES_tradnl"/>
        </w:rPr>
        <w:tab/>
      </w:r>
      <w:r w:rsidR="0085001B" w:rsidRPr="00204E29">
        <w:rPr>
          <w:lang w:val="es-ES_tradnl"/>
        </w:rPr>
        <w:t xml:space="preserve">Disposiciones y </w:t>
      </w:r>
      <w:r w:rsidRPr="00204E29">
        <w:rPr>
          <w:lang w:val="es-ES_tradnl"/>
        </w:rPr>
        <w:t xml:space="preserve">métodos de trabajo </w:t>
      </w:r>
      <w:r w:rsidR="0085001B" w:rsidRPr="00204E29">
        <w:rPr>
          <w:lang w:val="es-ES_tradnl"/>
        </w:rPr>
        <w:t xml:space="preserve">internos </w:t>
      </w:r>
      <w:r w:rsidRPr="00204E29">
        <w:rPr>
          <w:lang w:val="es-ES_tradnl"/>
        </w:rPr>
        <w:t>de la Junta del Reglamento de Radiocomunicaciones.</w:t>
      </w:r>
    </w:p>
    <w:p w:rsidR="002670C8" w:rsidRPr="00204E29" w:rsidRDefault="002670C8" w:rsidP="00384B1B">
      <w:pPr>
        <w:rPr>
          <w:lang w:val="es-ES_tradnl"/>
        </w:rPr>
      </w:pPr>
    </w:p>
    <w:p w:rsidR="002670C8" w:rsidRPr="00204E29" w:rsidRDefault="002670C8" w:rsidP="00384B1B">
      <w:pPr>
        <w:rPr>
          <w:lang w:val="es-ES_tradnl"/>
        </w:rPr>
      </w:pPr>
    </w:p>
    <w:p w:rsidR="002670C8" w:rsidRPr="00204E29" w:rsidRDefault="002670C8" w:rsidP="00384B1B">
      <w:pPr>
        <w:rPr>
          <w:lang w:val="es-ES_tradnl"/>
        </w:rPr>
      </w:pPr>
    </w:p>
    <w:p w:rsidR="002670C8" w:rsidRPr="00204E29" w:rsidRDefault="002670C8" w:rsidP="00384B1B">
      <w:pPr>
        <w:rPr>
          <w:lang w:val="es-ES_tradnl"/>
        </w:rPr>
      </w:pPr>
    </w:p>
    <w:p w:rsidR="002670C8" w:rsidRPr="00204E29" w:rsidRDefault="002670C8" w:rsidP="00384B1B">
      <w:pPr>
        <w:rPr>
          <w:lang w:val="es-ES_tradnl"/>
        </w:rPr>
      </w:pPr>
    </w:p>
    <w:p w:rsidR="002670C8" w:rsidRPr="00204E29" w:rsidRDefault="002670C8" w:rsidP="00384B1B">
      <w:pPr>
        <w:rPr>
          <w:lang w:val="es-ES_tradnl"/>
        </w:rPr>
      </w:pPr>
    </w:p>
    <w:p w:rsidR="002670C8" w:rsidRPr="00204E29" w:rsidRDefault="002670C8" w:rsidP="00384B1B">
      <w:pPr>
        <w:rPr>
          <w:lang w:val="es-ES_tradnl"/>
        </w:rPr>
      </w:pPr>
    </w:p>
    <w:p w:rsidR="002670C8" w:rsidRPr="00204E29" w:rsidRDefault="002670C8" w:rsidP="00384B1B">
      <w:pPr>
        <w:pStyle w:val="Heading1"/>
        <w:jc w:val="center"/>
        <w:rPr>
          <w:lang w:val="es-ES_tradnl"/>
        </w:rPr>
      </w:pPr>
      <w:r w:rsidRPr="00204E29">
        <w:rPr>
          <w:lang w:val="es-ES_tradnl"/>
        </w:rPr>
        <w:br w:type="page"/>
      </w:r>
      <w:r w:rsidRPr="00204E29">
        <w:rPr>
          <w:lang w:val="es-ES_tradnl"/>
        </w:rPr>
        <w:lastRenderedPageBreak/>
        <w:t>PRESENTACIÓN</w:t>
      </w:r>
    </w:p>
    <w:p w:rsidR="002670C8" w:rsidRPr="00204E29" w:rsidRDefault="002670C8" w:rsidP="00384B1B">
      <w:pPr>
        <w:pStyle w:val="Normalaftertitle"/>
        <w:rPr>
          <w:lang w:val="es-ES_tradnl"/>
        </w:rPr>
      </w:pPr>
      <w:r w:rsidRPr="00204E29">
        <w:rPr>
          <w:lang w:val="es-ES_tradnl"/>
        </w:rPr>
        <w:t>1</w:t>
      </w:r>
      <w:r w:rsidRPr="00204E29">
        <w:rPr>
          <w:lang w:val="es-ES_tradnl"/>
        </w:rPr>
        <w:tab/>
        <w:t>Las reglas se presentan con referencia directa a los números del párrafo o dispo</w:t>
      </w:r>
      <w:r w:rsidR="00384B1B" w:rsidRPr="00204E29">
        <w:rPr>
          <w:lang w:val="es-ES_tradnl"/>
        </w:rPr>
        <w:softHyphen/>
      </w:r>
      <w:r w:rsidRPr="00204E29">
        <w:rPr>
          <w:lang w:val="es-ES_tradnl"/>
        </w:rPr>
        <w:t>sición específicos del Reglamento de Radiocomunicaciones o de los Acuerdos Regionales. El número de referencia que aparece enmarcado antes de una disposición, a la página, es el número de la disposición (o del párrafo) del Reglamento de Radiocomunicaciones o del Acuerdo Regional; por ejemplo:</w:t>
      </w:r>
    </w:p>
    <w:p w:rsidR="002670C8" w:rsidRPr="00204E29" w:rsidRDefault="002670C8">
      <w:pPr>
        <w:pStyle w:val="Heading8"/>
        <w:rPr>
          <w:lang w:val="es-ES_tradnl"/>
        </w:rPr>
      </w:pPr>
      <w:r w:rsidRPr="00204E29">
        <w:rPr>
          <w:lang w:val="es-ES_tradnl"/>
        </w:rPr>
        <w:t>1.23</w:t>
      </w:r>
    </w:p>
    <w:p w:rsidR="002670C8" w:rsidRPr="00204E29" w:rsidRDefault="002670C8">
      <w:pPr>
        <w:rPr>
          <w:lang w:val="es-ES_tradnl"/>
        </w:rPr>
      </w:pPr>
      <w:r w:rsidRPr="00204E29">
        <w:rPr>
          <w:rStyle w:val="Artref"/>
          <w:lang w:val="es-ES_tradnl"/>
        </w:rPr>
        <w:t xml:space="preserve">Esto significa que la Regla que sigue a la indicación anterior se refiere a la aplicación de la disposición número </w:t>
      </w:r>
      <w:r w:rsidRPr="00204E29">
        <w:rPr>
          <w:rStyle w:val="Artref0"/>
          <w:b/>
          <w:bCs/>
          <w:color w:val="000000"/>
          <w:lang w:val="es-ES_tradnl"/>
        </w:rPr>
        <w:t>1.23</w:t>
      </w:r>
      <w:r w:rsidRPr="00204E29">
        <w:rPr>
          <w:rStyle w:val="Artref"/>
          <w:b/>
          <w:lang w:val="es-ES_tradnl"/>
        </w:rPr>
        <w:t xml:space="preserve"> </w:t>
      </w:r>
      <w:r w:rsidRPr="00204E29">
        <w:rPr>
          <w:rStyle w:val="Artref"/>
          <w:lang w:val="es-ES_tradnl"/>
        </w:rPr>
        <w:t>del Reglamento de Radiocomunicaciones</w:t>
      </w:r>
      <w:r w:rsidRPr="00204E29">
        <w:rPr>
          <w:lang w:val="es-ES_tradnl"/>
        </w:rPr>
        <w:t>.</w:t>
      </w:r>
    </w:p>
    <w:p w:rsidR="002670C8" w:rsidRPr="00204E29" w:rsidRDefault="002670C8">
      <w:pPr>
        <w:rPr>
          <w:lang w:val="es-ES_tradnl"/>
        </w:rPr>
      </w:pPr>
      <w:r w:rsidRPr="00204E29">
        <w:rPr>
          <w:lang w:val="es-ES_tradnl"/>
        </w:rPr>
        <w:t>2</w:t>
      </w:r>
      <w:r w:rsidRPr="00204E29">
        <w:rPr>
          <w:lang w:val="es-ES_tradnl"/>
        </w:rPr>
        <w:tab/>
        <w:t>Para facilitar la lectura de las presentes Reglas se ha establecido un sistema de encabezamiento común de cada página; por ejemplo:</w:t>
      </w:r>
    </w:p>
    <w:p w:rsidR="00AC171E" w:rsidRPr="00AA4D11" w:rsidRDefault="00AC171E" w:rsidP="00AC171E">
      <w:pPr>
        <w:spacing w:before="0"/>
        <w:rPr>
          <w:lang w:val="es-ES_tradnl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1701"/>
        <w:gridCol w:w="1701"/>
        <w:gridCol w:w="1701"/>
      </w:tblGrid>
      <w:tr w:rsidR="00AC171E" w:rsidRPr="001D138F" w:rsidTr="00500BBF">
        <w:trPr>
          <w:cantSplit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71E" w:rsidRPr="001D138F" w:rsidRDefault="00AC171E" w:rsidP="003669F7">
            <w:pPr>
              <w:pStyle w:val="Header"/>
              <w:spacing w:before="40" w:after="4"/>
              <w:ind w:left="142"/>
              <w:rPr>
                <w:rFonts w:ascii="Arial" w:hAnsi="Arial"/>
                <w:bCs/>
                <w:sz w:val="20"/>
              </w:rPr>
            </w:pPr>
            <w:r w:rsidRPr="001D138F">
              <w:rPr>
                <w:rFonts w:ascii="Arial" w:hAnsi="Arial"/>
                <w:bCs/>
                <w:sz w:val="20"/>
              </w:rPr>
              <w:t>Part</w:t>
            </w:r>
            <w:r>
              <w:rPr>
                <w:rFonts w:ascii="Arial" w:hAnsi="Arial"/>
                <w:bCs/>
                <w:sz w:val="20"/>
              </w:rPr>
              <w:t>e</w:t>
            </w:r>
            <w:r w:rsidRPr="001D138F">
              <w:rPr>
                <w:rFonts w:ascii="Arial" w:hAnsi="Arial"/>
                <w:bCs/>
                <w:sz w:val="20"/>
              </w:rPr>
              <w:t xml:space="preserve"> A1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71E" w:rsidRPr="001D138F" w:rsidRDefault="00AC171E" w:rsidP="003669F7">
            <w:pPr>
              <w:pStyle w:val="Header"/>
              <w:spacing w:before="40" w:after="4"/>
              <w:ind w:left="142"/>
              <w:rPr>
                <w:rFonts w:ascii="Arial" w:hAnsi="Arial"/>
                <w:bCs/>
                <w:sz w:val="20"/>
              </w:rPr>
            </w:pPr>
            <w:r w:rsidRPr="001D138F">
              <w:rPr>
                <w:rFonts w:ascii="Arial" w:hAnsi="Arial"/>
                <w:bCs/>
                <w:sz w:val="20"/>
              </w:rPr>
              <w:t>AR11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71E" w:rsidRPr="001D138F" w:rsidRDefault="00AC171E" w:rsidP="003669F7">
            <w:pPr>
              <w:pStyle w:val="Header"/>
              <w:spacing w:before="40" w:after="4"/>
              <w:ind w:left="142"/>
              <w:rPr>
                <w:rFonts w:ascii="Arial" w:hAnsi="Arial"/>
                <w:bCs/>
                <w:sz w:val="20"/>
              </w:rPr>
            </w:pPr>
            <w:r w:rsidRPr="001D138F">
              <w:rPr>
                <w:rFonts w:ascii="Arial" w:hAnsi="Arial"/>
                <w:bCs/>
                <w:sz w:val="20"/>
              </w:rPr>
              <w:t>p</w:t>
            </w:r>
            <w:r>
              <w:rPr>
                <w:rFonts w:ascii="Arial" w:hAnsi="Arial"/>
                <w:bCs/>
                <w:sz w:val="20"/>
              </w:rPr>
              <w:t>á</w:t>
            </w:r>
            <w:r w:rsidRPr="001D138F">
              <w:rPr>
                <w:rFonts w:ascii="Arial" w:hAnsi="Arial"/>
                <w:bCs/>
                <w:sz w:val="20"/>
              </w:rPr>
              <w:t>g</w:t>
            </w:r>
            <w:r>
              <w:rPr>
                <w:rFonts w:ascii="Arial" w:hAnsi="Arial"/>
                <w:bCs/>
                <w:sz w:val="20"/>
              </w:rPr>
              <w:t>ina</w:t>
            </w:r>
            <w:r w:rsidRPr="001D138F">
              <w:rPr>
                <w:rFonts w:ascii="Arial" w:hAnsi="Arial"/>
                <w:bCs/>
                <w:sz w:val="20"/>
              </w:rPr>
              <w:t xml:space="preserve"> </w:t>
            </w:r>
            <w:r w:rsidRPr="001D138F">
              <w:rPr>
                <w:rStyle w:val="PageNumber"/>
                <w:rFonts w:ascii="Arial" w:hAnsi="Arial"/>
                <w:bCs/>
                <w:sz w:val="20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71E" w:rsidRPr="001D138F" w:rsidRDefault="00AC171E" w:rsidP="003669F7">
            <w:pPr>
              <w:pStyle w:val="Header"/>
              <w:spacing w:before="40" w:after="4"/>
              <w:ind w:left="142"/>
              <w:rPr>
                <w:rFonts w:ascii="Arial" w:hAnsi="Arial"/>
                <w:bCs/>
                <w:sz w:val="20"/>
              </w:rPr>
            </w:pPr>
            <w:r w:rsidRPr="001D138F">
              <w:rPr>
                <w:rFonts w:ascii="Arial" w:hAnsi="Arial"/>
                <w:bCs/>
                <w:sz w:val="20"/>
              </w:rPr>
              <w:t>rev.-</w:t>
            </w:r>
          </w:p>
        </w:tc>
      </w:tr>
    </w:tbl>
    <w:p w:rsidR="00AC171E" w:rsidRPr="001D138F" w:rsidRDefault="00AC171E" w:rsidP="00AC171E">
      <w:pPr>
        <w:spacing w:before="0"/>
        <w:rPr>
          <w:rStyle w:val="Artref"/>
        </w:rPr>
      </w:pPr>
    </w:p>
    <w:p w:rsidR="002670C8" w:rsidRPr="00204E29" w:rsidRDefault="002670C8" w:rsidP="00384B1B">
      <w:pPr>
        <w:rPr>
          <w:lang w:val="es-ES_tradnl"/>
        </w:rPr>
      </w:pPr>
      <w:r w:rsidRPr="00204E29">
        <w:rPr>
          <w:rStyle w:val="Artref"/>
          <w:lang w:val="es-ES_tradnl"/>
        </w:rPr>
        <w:t>La página en cuestión de la Parte A1 es la página 7 del Capítulo que trata del Artículo</w:t>
      </w:r>
      <w:r w:rsidR="00384B1B" w:rsidRPr="00204E29">
        <w:rPr>
          <w:rStyle w:val="Artref"/>
          <w:lang w:val="es-ES_tradnl"/>
        </w:rPr>
        <w:t xml:space="preserve"> </w:t>
      </w:r>
      <w:r w:rsidRPr="00204E29">
        <w:rPr>
          <w:rStyle w:val="Artref0"/>
          <w:b/>
          <w:bCs/>
          <w:color w:val="000000"/>
          <w:lang w:val="es-ES_tradnl"/>
        </w:rPr>
        <w:t>11</w:t>
      </w:r>
      <w:r w:rsidRPr="00204E29">
        <w:rPr>
          <w:lang w:val="es-ES_tradnl"/>
        </w:rPr>
        <w:t xml:space="preserve"> del Reglamento de Radiocomunicaciones. La indicación «rev.-» significa que la página corres</w:t>
      </w:r>
      <w:r w:rsidRPr="00204E29">
        <w:rPr>
          <w:lang w:val="es-ES_tradnl"/>
        </w:rPr>
        <w:softHyphen/>
        <w:t>ponde a la primera versión de las Reglas y que no se ha efectuado revisión alguna.</w:t>
      </w:r>
    </w:p>
    <w:p w:rsidR="00384B1B" w:rsidRPr="00204E29" w:rsidRDefault="00384B1B" w:rsidP="00384B1B">
      <w:pPr>
        <w:rPr>
          <w:lang w:val="es-ES_tradnl"/>
        </w:rPr>
      </w:pPr>
    </w:p>
    <w:p w:rsidR="002670C8" w:rsidRPr="00204E29" w:rsidRDefault="002670C8">
      <w:pPr>
        <w:jc w:val="center"/>
        <w:rPr>
          <w:lang w:val="es-ES_tradnl"/>
        </w:rPr>
      </w:pPr>
      <w:r w:rsidRPr="00204E29">
        <w:rPr>
          <w:lang w:val="es-ES_tradnl"/>
        </w:rPr>
        <w:t>____________________</w:t>
      </w:r>
    </w:p>
    <w:p w:rsidR="002670C8" w:rsidRPr="00204E29" w:rsidRDefault="002670C8" w:rsidP="00384B1B">
      <w:pPr>
        <w:rPr>
          <w:lang w:val="es-ES_tradnl"/>
        </w:rPr>
      </w:pPr>
    </w:p>
    <w:p w:rsidR="002670C8" w:rsidRPr="00204E29" w:rsidRDefault="002670C8" w:rsidP="00384B1B">
      <w:pPr>
        <w:rPr>
          <w:lang w:val="es-ES_tradnl"/>
        </w:rPr>
      </w:pPr>
    </w:p>
    <w:p w:rsidR="00384B1B" w:rsidRPr="00204E29" w:rsidRDefault="00384B1B" w:rsidP="00384B1B">
      <w:pPr>
        <w:rPr>
          <w:lang w:val="es-ES_tradnl"/>
        </w:rPr>
      </w:pPr>
    </w:p>
    <w:p w:rsidR="00384B1B" w:rsidRPr="00204E29" w:rsidRDefault="00384B1B" w:rsidP="00384B1B">
      <w:pPr>
        <w:rPr>
          <w:lang w:val="es-ES_tradnl"/>
        </w:rPr>
      </w:pPr>
    </w:p>
    <w:p w:rsidR="002670C8" w:rsidRPr="00204E29" w:rsidRDefault="002670C8" w:rsidP="00384B1B">
      <w:pPr>
        <w:rPr>
          <w:lang w:val="es-ES_tradnl"/>
        </w:rPr>
      </w:pPr>
    </w:p>
    <w:p w:rsidR="002670C8" w:rsidRPr="00204E29" w:rsidRDefault="002670C8" w:rsidP="00384B1B">
      <w:pPr>
        <w:rPr>
          <w:lang w:val="es-ES_tradnl"/>
        </w:rPr>
      </w:pPr>
    </w:p>
    <w:p w:rsidR="002670C8" w:rsidRPr="00204E29" w:rsidRDefault="002670C8" w:rsidP="00384B1B">
      <w:pPr>
        <w:rPr>
          <w:lang w:val="es-ES_tradnl"/>
        </w:rPr>
      </w:pPr>
    </w:p>
    <w:p w:rsidR="002670C8" w:rsidRPr="00204E29" w:rsidRDefault="002670C8" w:rsidP="00384B1B">
      <w:pPr>
        <w:rPr>
          <w:lang w:val="es-ES_tradnl"/>
        </w:rPr>
      </w:pPr>
    </w:p>
    <w:p w:rsidR="002670C8" w:rsidRPr="00204E29" w:rsidRDefault="002670C8" w:rsidP="00384B1B">
      <w:pPr>
        <w:rPr>
          <w:lang w:val="es-ES_tradnl"/>
        </w:rPr>
      </w:pPr>
    </w:p>
    <w:p w:rsidR="00384B1B" w:rsidRPr="00204E29" w:rsidRDefault="00384B1B" w:rsidP="00384B1B">
      <w:pPr>
        <w:rPr>
          <w:lang w:val="es-ES_tradnl"/>
        </w:rPr>
      </w:pPr>
    </w:p>
    <w:p w:rsidR="002670C8" w:rsidRPr="00204E29" w:rsidRDefault="002670C8" w:rsidP="00384B1B">
      <w:pPr>
        <w:rPr>
          <w:lang w:val="es-ES_tradnl"/>
        </w:rPr>
        <w:sectPr w:rsidR="002670C8" w:rsidRPr="00204E29" w:rsidSect="00384B1B">
          <w:headerReference w:type="even" r:id="rId6"/>
          <w:headerReference w:type="default" r:id="rId7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:rsidR="002670C8" w:rsidRPr="00204E29" w:rsidRDefault="002670C8" w:rsidP="00384B1B">
      <w:pPr>
        <w:rPr>
          <w:lang w:val="es-ES_tradnl"/>
        </w:rPr>
      </w:pPr>
    </w:p>
    <w:sectPr w:rsidR="002670C8" w:rsidRPr="00204E29" w:rsidSect="00384B1B">
      <w:headerReference w:type="even" r:id="rId8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0BBF" w:rsidRDefault="00500BBF">
      <w:r>
        <w:separator/>
      </w:r>
    </w:p>
  </w:endnote>
  <w:endnote w:type="continuationSeparator" w:id="0">
    <w:p w:rsidR="00500BBF" w:rsidRDefault="00500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0BBF" w:rsidRDefault="00500BBF">
      <w:r>
        <w:rPr>
          <w:b/>
        </w:rPr>
        <w:t>_______________</w:t>
      </w:r>
    </w:p>
  </w:footnote>
  <w:footnote w:type="continuationSeparator" w:id="0">
    <w:p w:rsidR="00500BBF" w:rsidRDefault="00500B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5"/>
      <w:gridCol w:w="1701"/>
      <w:gridCol w:w="1701"/>
    </w:tblGrid>
    <w:tr w:rsidR="00956499">
      <w:trPr>
        <w:cantSplit/>
      </w:trPr>
      <w:tc>
        <w:tcPr>
          <w:tcW w:w="198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956499" w:rsidRDefault="00956499" w:rsidP="00953EB1">
          <w:pPr>
            <w:pStyle w:val="HeaderRegProc"/>
            <w:spacing w:before="40"/>
            <w:rPr>
              <w:lang w:val="fr-CH"/>
            </w:rPr>
          </w:pPr>
          <w:r>
            <w:rPr>
              <w:lang w:val="fr-CH"/>
            </w:rPr>
            <w:t>Introducción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956499" w:rsidRDefault="00956499" w:rsidP="00953EB1">
          <w:pPr>
            <w:pStyle w:val="HeaderRegProc"/>
            <w:spacing w:before="40"/>
            <w:rPr>
              <w:lang w:val="fr-CH"/>
            </w:rPr>
          </w:pPr>
          <w:r>
            <w:rPr>
              <w:lang w:val="fr-FR"/>
            </w:rPr>
            <w:t xml:space="preserve">página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  <w:lang w:val="fr-CH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AA4D11">
            <w:rPr>
              <w:rStyle w:val="PageNumber"/>
              <w:noProof/>
              <w:lang w:val="fr-CH"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956499" w:rsidRDefault="00956499" w:rsidP="00953EB1">
          <w:pPr>
            <w:pStyle w:val="HeaderRegProc"/>
            <w:spacing w:before="40"/>
            <w:rPr>
              <w:lang w:val="fr-CH"/>
            </w:rPr>
          </w:pPr>
          <w:r>
            <w:rPr>
              <w:lang w:val="fr-CH"/>
            </w:rPr>
            <w:t>rev.</w:t>
          </w:r>
          <w:r w:rsidR="00384B1B">
            <w:t>-</w:t>
          </w:r>
        </w:p>
      </w:tc>
    </w:tr>
  </w:tbl>
  <w:p w:rsidR="00956499" w:rsidRDefault="00956499">
    <w:pPr>
      <w:rPr>
        <w:lang w:val="fr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5"/>
      <w:gridCol w:w="1701"/>
      <w:gridCol w:w="1701"/>
    </w:tblGrid>
    <w:tr w:rsidR="00956499">
      <w:trPr>
        <w:cantSplit/>
        <w:jc w:val="right"/>
      </w:trPr>
      <w:tc>
        <w:tcPr>
          <w:tcW w:w="198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956499" w:rsidRDefault="00956499" w:rsidP="00953EB1">
          <w:pPr>
            <w:pStyle w:val="HeaderRegProc"/>
            <w:spacing w:before="40"/>
          </w:pPr>
          <w:r>
            <w:t>Introducción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956499" w:rsidRDefault="00956499" w:rsidP="00953EB1">
          <w:pPr>
            <w:pStyle w:val="HeaderRegProc"/>
            <w:spacing w:before="40"/>
            <w:rPr>
              <w:lang w:val="es-ES_tradnl"/>
            </w:rPr>
          </w:pPr>
          <w:r>
            <w:rPr>
              <w:lang w:val="es-ES_tradnl"/>
            </w:rPr>
            <w:t xml:space="preserve">página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AA4D11">
            <w:rPr>
              <w:rStyle w:val="PageNumber"/>
              <w:noProof/>
            </w:rPr>
            <w:t>3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956499" w:rsidRDefault="00956499" w:rsidP="00953EB1">
          <w:pPr>
            <w:pStyle w:val="HeaderRegProc"/>
            <w:spacing w:before="40"/>
            <w:rPr>
              <w:lang w:val="fr-CH"/>
            </w:rPr>
          </w:pPr>
          <w:r>
            <w:rPr>
              <w:lang w:val="es-ES_tradnl"/>
            </w:rPr>
            <w:t>rev.</w:t>
          </w:r>
          <w:r>
            <w:t>-</w:t>
          </w:r>
        </w:p>
      </w:tc>
    </w:tr>
  </w:tbl>
  <w:p w:rsidR="00956499" w:rsidRDefault="009564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499" w:rsidRDefault="0095649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C8"/>
    <w:rsid w:val="00204E29"/>
    <w:rsid w:val="00256EBA"/>
    <w:rsid w:val="002670C8"/>
    <w:rsid w:val="00271311"/>
    <w:rsid w:val="003669F7"/>
    <w:rsid w:val="00384B1B"/>
    <w:rsid w:val="004A69B7"/>
    <w:rsid w:val="00500BBF"/>
    <w:rsid w:val="00652F58"/>
    <w:rsid w:val="00773DC8"/>
    <w:rsid w:val="0085001B"/>
    <w:rsid w:val="008C6C11"/>
    <w:rsid w:val="00953EB1"/>
    <w:rsid w:val="00956499"/>
    <w:rsid w:val="0096584A"/>
    <w:rsid w:val="009A0A34"/>
    <w:rsid w:val="00A16B5B"/>
    <w:rsid w:val="00AA4D11"/>
    <w:rsid w:val="00AA6FB3"/>
    <w:rsid w:val="00AC171E"/>
    <w:rsid w:val="00B718AE"/>
    <w:rsid w:val="00D16313"/>
    <w:rsid w:val="00EA6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9D6901"/>
  <w15:docId w15:val="{9781473C-6325-47D3-BEE2-B8268EBEC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aliases w:val="encabezado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Artref0">
    <w:name w:val="Art_ref"/>
    <w:basedOn w:val="DefaultParagraphFont"/>
    <w:rPr>
      <w:color w:val="3366FF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Appdef0">
    <w:name w:val="App_def"/>
    <w:basedOn w:val="DefaultParagraphFont"/>
    <w:rPr>
      <w:b/>
      <w:color w:val="FFCC00"/>
    </w:rPr>
  </w:style>
  <w:style w:type="character" w:customStyle="1" w:styleId="Appref0">
    <w:name w:val="App_ref"/>
    <w:basedOn w:val="DefaultParagraphFont"/>
    <w:rPr>
      <w:color w:val="3366FF"/>
    </w:rPr>
  </w:style>
  <w:style w:type="character" w:customStyle="1" w:styleId="Artdef0">
    <w:name w:val="Art_def"/>
    <w:basedOn w:val="DefaultParagraphFont"/>
    <w:rPr>
      <w:b/>
      <w:color w:val="FFCC00"/>
    </w:rPr>
  </w:style>
  <w:style w:type="character" w:customStyle="1" w:styleId="Recdef0">
    <w:name w:val="Rec_def"/>
    <w:basedOn w:val="DefaultParagraphFont"/>
    <w:rPr>
      <w:b/>
      <w:color w:val="FFCC00"/>
    </w:rPr>
  </w:style>
  <w:style w:type="character" w:customStyle="1" w:styleId="Recref0">
    <w:name w:val="Rec_ref"/>
    <w:basedOn w:val="DefaultParagraphFont"/>
    <w:rPr>
      <w:color w:val="3366FF"/>
    </w:rPr>
  </w:style>
  <w:style w:type="character" w:customStyle="1" w:styleId="Resdef0">
    <w:name w:val="Res_def"/>
    <w:basedOn w:val="DefaultParagraphFont"/>
    <w:rPr>
      <w:b/>
      <w:color w:val="FFCC00"/>
    </w:rPr>
  </w:style>
  <w:style w:type="character" w:customStyle="1" w:styleId="Resref0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2</TotalTime>
  <Pages>4</Pages>
  <Words>673</Words>
  <Characters>3840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 / DD</Manager>
  <Company>ITU</Company>
  <LinksUpToDate>false</LinksUpToDate>
  <CharactersWithSpaces>4504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2009</dc:title>
  <dc:subject>Introducción</dc:subject>
  <dc:creator>Composition des Publications</dc:creator>
  <cp:keywords>FOLIOS:  1  - 4(bl)</cp:keywords>
  <dc:description>Edition 2009:  11.02.2009/DD (dict. ok)</dc:description>
  <cp:lastModifiedBy>Gachet, Christelle</cp:lastModifiedBy>
  <cp:revision>5</cp:revision>
  <cp:lastPrinted>2007-01-31T10:47:00Z</cp:lastPrinted>
  <dcterms:created xsi:type="dcterms:W3CDTF">2012-10-02T09:30:00Z</dcterms:created>
  <dcterms:modified xsi:type="dcterms:W3CDTF">2017-05-15T08:41:00Z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