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418" w:rsidRPr="00217E8A" w:rsidRDefault="00A42418" w:rsidP="002C05F8">
      <w:pPr>
        <w:pStyle w:val="Heading1"/>
        <w:spacing w:before="0"/>
        <w:jc w:val="center"/>
        <w:rPr>
          <w:color w:val="000000"/>
          <w:lang w:val="fr-FR"/>
        </w:rPr>
      </w:pPr>
      <w:r w:rsidRPr="00217E8A">
        <w:rPr>
          <w:color w:val="000000"/>
          <w:lang w:val="fr-FR"/>
        </w:rPr>
        <w:t>Règles relatives à</w:t>
      </w:r>
    </w:p>
    <w:p w:rsidR="00A42418" w:rsidRPr="00217E8A" w:rsidRDefault="00A42418" w:rsidP="002C05F8">
      <w:pPr>
        <w:pStyle w:val="Heading2"/>
        <w:spacing w:before="240"/>
        <w:jc w:val="center"/>
        <w:rPr>
          <w:color w:val="000000"/>
          <w:lang w:val="fr-FR"/>
        </w:rPr>
      </w:pPr>
      <w:r w:rsidRPr="00217E8A">
        <w:rPr>
          <w:color w:val="000000"/>
          <w:lang w:val="fr-FR"/>
        </w:rPr>
        <w:t xml:space="preserve">l'APPENDICE  </w:t>
      </w:r>
      <w:r w:rsidRPr="00217E8A">
        <w:rPr>
          <w:rStyle w:val="href2"/>
          <w:color w:val="000000"/>
          <w:lang w:val="fr-FR"/>
        </w:rPr>
        <w:t>4</w:t>
      </w:r>
      <w:r w:rsidRPr="00217E8A">
        <w:rPr>
          <w:color w:val="000000"/>
          <w:lang w:val="fr-FR"/>
        </w:rPr>
        <w:t xml:space="preserve"> du RR</w:t>
      </w:r>
    </w:p>
    <w:p w:rsidR="00A82587" w:rsidRPr="00217E8A" w:rsidRDefault="00A82587" w:rsidP="00217E8A">
      <w:pPr>
        <w:pStyle w:val="Heading8"/>
        <w:rPr>
          <w:color w:val="000000"/>
          <w:lang w:val="fr-FR"/>
        </w:rPr>
      </w:pPr>
      <w:r w:rsidRPr="00217E8A">
        <w:rPr>
          <w:color w:val="000000"/>
          <w:lang w:val="fr-FR"/>
        </w:rPr>
        <w:t xml:space="preserve">An. </w:t>
      </w:r>
      <w:r w:rsidRPr="00217E8A">
        <w:rPr>
          <w:rStyle w:val="href"/>
          <w:color w:val="000000"/>
          <w:lang w:val="fr-FR"/>
        </w:rPr>
        <w:t>1</w:t>
      </w:r>
    </w:p>
    <w:p w:rsidR="00A82587" w:rsidRPr="00217E8A" w:rsidRDefault="00A82587" w:rsidP="00217E8A">
      <w:pPr>
        <w:pStyle w:val="Heading9"/>
        <w:ind w:right="7768"/>
        <w:rPr>
          <w:color w:val="000000"/>
          <w:lang w:val="fr-FR"/>
        </w:rPr>
      </w:pPr>
      <w:r w:rsidRPr="00217E8A">
        <w:rPr>
          <w:color w:val="000000"/>
          <w:sz w:val="22"/>
          <w:szCs w:val="22"/>
          <w:lang w:val="fr-FR"/>
        </w:rPr>
        <w:t>POINT  3A1</w:t>
      </w:r>
    </w:p>
    <w:p w:rsidR="00A42418" w:rsidRPr="00217E8A" w:rsidRDefault="00A82587" w:rsidP="00D53BE0">
      <w:pPr>
        <w:rPr>
          <w:color w:val="000000"/>
          <w:lang w:val="fr-FR"/>
        </w:rPr>
      </w:pPr>
      <w:r w:rsidRPr="00217E8A">
        <w:rPr>
          <w:color w:val="000000"/>
          <w:lang w:val="fr-FR"/>
        </w:rPr>
        <w:t>Lorsqu'elles soumettent une fiche de notification dans le cadre de la procédure de l'Article </w:t>
      </w:r>
      <w:r w:rsidRPr="00217E8A">
        <w:rPr>
          <w:rStyle w:val="Artref"/>
          <w:b/>
          <w:bCs/>
          <w:color w:val="000000"/>
          <w:lang w:val="fr-FR"/>
        </w:rPr>
        <w:t>11</w:t>
      </w:r>
      <w:r w:rsidRPr="00217E8A">
        <w:rPr>
          <w:color w:val="000000"/>
          <w:lang w:val="fr-FR"/>
        </w:rPr>
        <w:t xml:space="preserve">, les administrations sont tenues de donner des renseignements sur l'indicatif d'appel ou tout autre signal d'identification utilisé, conformément aux dispositions des numéros </w:t>
      </w:r>
      <w:r w:rsidRPr="00217E8A">
        <w:rPr>
          <w:rStyle w:val="Artref"/>
          <w:b/>
          <w:bCs/>
          <w:color w:val="000000"/>
          <w:lang w:val="fr-FR"/>
        </w:rPr>
        <w:t>19.7</w:t>
      </w:r>
      <w:r w:rsidRPr="00217E8A">
        <w:rPr>
          <w:color w:val="000000"/>
          <w:lang w:val="fr-FR"/>
        </w:rPr>
        <w:t xml:space="preserve"> à </w:t>
      </w:r>
      <w:r w:rsidRPr="00217E8A">
        <w:rPr>
          <w:rStyle w:val="Artref"/>
          <w:b/>
          <w:bCs/>
          <w:color w:val="000000"/>
          <w:lang w:val="fr-FR"/>
        </w:rPr>
        <w:t xml:space="preserve">19.9 </w:t>
      </w:r>
      <w:r w:rsidRPr="00217E8A">
        <w:rPr>
          <w:rStyle w:val="Artref"/>
          <w:color w:val="000000"/>
          <w:lang w:val="fr-FR"/>
        </w:rPr>
        <w:t>et</w:t>
      </w:r>
      <w:r w:rsidR="00D53BE0">
        <w:rPr>
          <w:rStyle w:val="Artref"/>
          <w:color w:val="000000"/>
          <w:lang w:val="fr-FR"/>
        </w:rPr>
        <w:t> </w:t>
      </w:r>
      <w:r w:rsidRPr="00217E8A">
        <w:rPr>
          <w:rStyle w:val="Artref"/>
          <w:b/>
          <w:bCs/>
          <w:color w:val="000000"/>
          <w:lang w:val="fr-FR"/>
        </w:rPr>
        <w:t>19.29</w:t>
      </w:r>
      <w:r w:rsidRPr="00217E8A">
        <w:rPr>
          <w:color w:val="000000"/>
          <w:lang w:val="fr-FR"/>
        </w:rPr>
        <w:t>. Compte tenu de la diversité des arrangements particuliers conclus entre les adminis</w:t>
      </w:r>
      <w:r w:rsidRPr="00217E8A">
        <w:rPr>
          <w:color w:val="000000"/>
          <w:lang w:val="fr-FR"/>
        </w:rPr>
        <w:softHyphen/>
        <w:t xml:space="preserve">trations au sujet de la notification d'assignations de fréquence, le Comité a chargé le Bureau de ne pas procéder à un contrôle systématique des indicatifs d'appel visés au numéro </w:t>
      </w:r>
      <w:r w:rsidRPr="00217E8A">
        <w:rPr>
          <w:b/>
          <w:bCs/>
          <w:color w:val="000000"/>
          <w:lang w:val="fr-FR"/>
        </w:rPr>
        <w:t>19.29</w:t>
      </w:r>
      <w:r w:rsidRPr="00217E8A">
        <w:rPr>
          <w:color w:val="000000"/>
          <w:lang w:val="fr-FR"/>
        </w:rPr>
        <w:t xml:space="preserve"> lors de la validation et de l'examen des fiches de notification. Cependant, en cas de non-conformité de l'indicatif d'appel utilisé avec les séries internationales d'indicatifs d'appel, l'administration notificatrice doit être informée en conséquence.</w:t>
      </w:r>
    </w:p>
    <w:p w:rsidR="00A42418" w:rsidRDefault="00A42418">
      <w:pPr>
        <w:pStyle w:val="Heading8"/>
        <w:rPr>
          <w:color w:val="000000"/>
          <w:lang w:val="fr-FR"/>
        </w:rPr>
      </w:pPr>
      <w:r w:rsidRPr="00217E8A">
        <w:rPr>
          <w:color w:val="000000"/>
          <w:lang w:val="fr-FR"/>
        </w:rPr>
        <w:t>An. 2</w:t>
      </w:r>
    </w:p>
    <w:p w:rsidR="002C05F8" w:rsidRPr="002C05F8" w:rsidRDefault="002C05F8" w:rsidP="002C05F8">
      <w:pPr>
        <w:pBdr>
          <w:top w:val="double" w:sz="4" w:space="1" w:color="auto"/>
          <w:left w:val="double" w:sz="4" w:space="4" w:color="auto"/>
          <w:bottom w:val="double" w:sz="4" w:space="1" w:color="auto"/>
          <w:right w:val="double" w:sz="4" w:space="4" w:color="auto"/>
        </w:pBdr>
        <w:jc w:val="center"/>
        <w:rPr>
          <w:b/>
          <w:bCs/>
          <w:lang w:val="fr-FR"/>
        </w:rPr>
      </w:pPr>
      <w:r w:rsidRPr="002C05F8">
        <w:rPr>
          <w:b/>
          <w:bCs/>
          <w:lang w:val="fr-FR"/>
        </w:rPr>
        <w:t xml:space="preserve">Engagement concernant la mise en oeuvre du point 1.4 du </w:t>
      </w:r>
      <w:r w:rsidRPr="002C05F8">
        <w:rPr>
          <w:b/>
          <w:bCs/>
          <w:i/>
          <w:iCs/>
          <w:lang w:val="fr-FR"/>
        </w:rPr>
        <w:t>décide</w:t>
      </w:r>
      <w:r w:rsidRPr="002C05F8">
        <w:rPr>
          <w:b/>
          <w:bCs/>
          <w:lang w:val="fr-FR"/>
        </w:rPr>
        <w:t xml:space="preserve"> de </w:t>
      </w:r>
      <w:r w:rsidRPr="002C05F8">
        <w:rPr>
          <w:b/>
          <w:bCs/>
          <w:lang w:val="fr-FR"/>
        </w:rPr>
        <w:br/>
        <w:t>la Résolution 156 (CMR</w:t>
      </w:r>
      <w:r w:rsidRPr="002C05F8">
        <w:rPr>
          <w:b/>
          <w:bCs/>
          <w:lang w:val="fr-FR"/>
        </w:rPr>
        <w:noBreakHyphen/>
        <w:t>15)</w:t>
      </w:r>
    </w:p>
    <w:p w:rsidR="002C05F8" w:rsidRPr="002C05F8" w:rsidRDefault="002C05F8" w:rsidP="002C05F8">
      <w:pPr>
        <w:rPr>
          <w:lang w:val="fr-FR"/>
        </w:rPr>
      </w:pPr>
      <w:r w:rsidRPr="002C05F8">
        <w:rPr>
          <w:lang w:val="fr-FR"/>
        </w:rPr>
        <w:t xml:space="preserve">Le Comité a noté que, conformément au point 1.5 du </w:t>
      </w:r>
      <w:r w:rsidRPr="002C05F8">
        <w:rPr>
          <w:i/>
          <w:iCs/>
          <w:lang w:val="fr-FR"/>
        </w:rPr>
        <w:t>décide</w:t>
      </w:r>
      <w:r w:rsidRPr="002C05F8">
        <w:rPr>
          <w:lang w:val="fr-FR"/>
        </w:rPr>
        <w:t xml:space="preserve"> de la Résolution</w:t>
      </w:r>
      <w:r w:rsidRPr="002C05F8">
        <w:rPr>
          <w:i/>
          <w:iCs/>
          <w:lang w:val="fr-FR"/>
        </w:rPr>
        <w:t xml:space="preserve"> </w:t>
      </w:r>
      <w:r w:rsidRPr="002C05F8">
        <w:rPr>
          <w:b/>
          <w:bCs/>
          <w:lang w:val="fr-FR"/>
        </w:rPr>
        <w:t>156 (CMR</w:t>
      </w:r>
      <w:r w:rsidRPr="002C05F8">
        <w:rPr>
          <w:b/>
          <w:bCs/>
          <w:lang w:val="fr-FR"/>
        </w:rPr>
        <w:noBreakHyphen/>
        <w:t>15)</w:t>
      </w:r>
      <w:r w:rsidRPr="002C05F8">
        <w:rPr>
          <w:lang w:val="fr-FR"/>
        </w:rPr>
        <w:t xml:space="preserve">, les administrations doivent indiquer au Bureau qu'elles s'engagent à mettre en oeuvre le point 1.4 du </w:t>
      </w:r>
      <w:r w:rsidRPr="002C05F8">
        <w:rPr>
          <w:i/>
          <w:iCs/>
          <w:lang w:val="fr-FR"/>
        </w:rPr>
        <w:t>décide</w:t>
      </w:r>
      <w:r w:rsidRPr="002C05F8">
        <w:rPr>
          <w:lang w:val="fr-FR"/>
        </w:rPr>
        <w:t xml:space="preserve"> de ladite Résolution. En outre, le Comité a noté que cet élément de données est obligatoire pour la notification ou la coordination d'un réseau à satellite géostationnaire utilisant les bandes de fréquences 19,7-20,2 GHz et 29,5-30,0 GHz pour les stations terriennes en mouvement communiquant dans le service fixe par satellite.</w:t>
      </w:r>
    </w:p>
    <w:p w:rsidR="002C05F8" w:rsidRPr="002C05F8" w:rsidRDefault="002C05F8" w:rsidP="002C05F8">
      <w:pPr>
        <w:rPr>
          <w:lang w:val="fr-FR"/>
        </w:rPr>
      </w:pPr>
      <w:r w:rsidRPr="002C05F8">
        <w:rPr>
          <w:lang w:val="fr-FR"/>
        </w:rPr>
        <w:t xml:space="preserve">Or, cet élément de données ne figure pas dans l'Appendice </w:t>
      </w:r>
      <w:r w:rsidRPr="002C05F8">
        <w:rPr>
          <w:b/>
          <w:bCs/>
          <w:lang w:val="fr-FR"/>
        </w:rPr>
        <w:t>4</w:t>
      </w:r>
      <w:r w:rsidRPr="002C05F8">
        <w:rPr>
          <w:lang w:val="fr-FR"/>
        </w:rPr>
        <w:t xml:space="preserve">. Pour corriger cette lacune, le Comité a décidé qu'il sera demandé aux administrations de fournir, en plus des caractéristiques pertinentes énumérées dans l'Appendice </w:t>
      </w:r>
      <w:r w:rsidRPr="002C05F8">
        <w:rPr>
          <w:b/>
          <w:bCs/>
          <w:lang w:val="fr-FR"/>
        </w:rPr>
        <w:t>4</w:t>
      </w:r>
      <w:r w:rsidRPr="002C05F8">
        <w:rPr>
          <w:lang w:val="fr-FR"/>
        </w:rPr>
        <w:t xml:space="preserve">, et conformément au point 1.5 du </w:t>
      </w:r>
      <w:r w:rsidRPr="002C05F8">
        <w:rPr>
          <w:i/>
          <w:iCs/>
          <w:lang w:val="fr-FR"/>
        </w:rPr>
        <w:t>décide</w:t>
      </w:r>
      <w:r w:rsidRPr="002C05F8">
        <w:rPr>
          <w:lang w:val="fr-FR"/>
        </w:rPr>
        <w:t xml:space="preserve"> de la Résolution</w:t>
      </w:r>
      <w:r w:rsidRPr="002C05F8">
        <w:rPr>
          <w:i/>
          <w:iCs/>
          <w:lang w:val="fr-FR"/>
        </w:rPr>
        <w:t> </w:t>
      </w:r>
      <w:r w:rsidRPr="002C05F8">
        <w:rPr>
          <w:b/>
          <w:bCs/>
          <w:lang w:val="fr-FR"/>
        </w:rPr>
        <w:t>156 (CMR</w:t>
      </w:r>
      <w:r w:rsidRPr="002C05F8">
        <w:rPr>
          <w:b/>
          <w:bCs/>
          <w:lang w:val="fr-FR"/>
        </w:rPr>
        <w:noBreakHyphen/>
        <w:t>15)</w:t>
      </w:r>
      <w:r w:rsidRPr="002C05F8">
        <w:rPr>
          <w:lang w:val="fr-FR"/>
        </w:rPr>
        <w:t xml:space="preserve">, l'engagement qu'elles mettront en oeuvre le point 1.4 du </w:t>
      </w:r>
      <w:r w:rsidRPr="002C05F8">
        <w:rPr>
          <w:i/>
          <w:iCs/>
          <w:lang w:val="fr-FR"/>
        </w:rPr>
        <w:t>décide</w:t>
      </w:r>
      <w:r w:rsidRPr="002C05F8">
        <w:rPr>
          <w:lang w:val="fr-FR"/>
        </w:rPr>
        <w:t xml:space="preserve"> de ladite Résolution. Le Bureau tiendra alors ultérieurement compte de cet élément de données lorsqu'il vérifiera que les données soumises sont complètes et lorsqu'il procédera à l'examen au titre des numéros </w:t>
      </w:r>
      <w:r w:rsidRPr="002C05F8">
        <w:rPr>
          <w:b/>
          <w:bCs/>
          <w:lang w:val="fr-FR"/>
        </w:rPr>
        <w:t>9.35</w:t>
      </w:r>
      <w:r w:rsidRPr="002C05F8">
        <w:rPr>
          <w:lang w:val="fr-FR"/>
        </w:rPr>
        <w:t xml:space="preserve"> et </w:t>
      </w:r>
      <w:r w:rsidRPr="002C05F8">
        <w:rPr>
          <w:b/>
          <w:bCs/>
          <w:lang w:val="fr-FR"/>
        </w:rPr>
        <w:t>11.31</w:t>
      </w:r>
      <w:r w:rsidRPr="002C05F8">
        <w:rPr>
          <w:lang w:val="fr-FR"/>
        </w:rPr>
        <w:t xml:space="preserve"> du Règlement des radiocommunications.</w:t>
      </w:r>
    </w:p>
    <w:p w:rsidR="00FA53B3" w:rsidRDefault="00FA53B3">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2C05F8" w:rsidRPr="00217E8A" w:rsidRDefault="002C05F8" w:rsidP="00FC5E4F">
      <w:pPr>
        <w:pStyle w:val="Heading9"/>
        <w:rPr>
          <w:lang w:val="fr-FR"/>
        </w:rPr>
      </w:pPr>
      <w:r w:rsidRPr="00217E8A">
        <w:rPr>
          <w:lang w:val="fr-FR"/>
        </w:rPr>
        <w:lastRenderedPageBreak/>
        <w:t>A.1</w:t>
      </w:r>
      <w:r>
        <w:rPr>
          <w:lang w:val="fr-FR"/>
        </w:rPr>
        <w:t>7.d</w:t>
      </w:r>
    </w:p>
    <w:p w:rsidR="002C05F8" w:rsidRPr="002C05F8" w:rsidRDefault="002C05F8" w:rsidP="00D07FA9">
      <w:pPr>
        <w:rPr>
          <w:lang w:val="fr-FR"/>
        </w:rPr>
      </w:pPr>
      <w:r w:rsidRPr="002C05F8">
        <w:rPr>
          <w:lang w:val="fr-FR"/>
        </w:rPr>
        <w:t>La CMR-15 a modifié le point A.17.d concernant la soumission de la puissance surfacique moyenne rayonnée à la surface de la Terre par un détecteur spatioporté pour la bande de fréquences 9 900</w:t>
      </w:r>
      <w:r w:rsidRPr="002C05F8">
        <w:rPr>
          <w:lang w:val="fr-FR"/>
        </w:rPr>
        <w:noBreakHyphen/>
        <w:t xml:space="preserve">10 400 MHz dans le cas d'un système à satellites fonctionnant dans le service d'exploration de la Terre par satellite (active) tel que défini dans le Tableau </w:t>
      </w:r>
      <w:r w:rsidRPr="00D07FA9">
        <w:rPr>
          <w:b/>
          <w:bCs/>
          <w:lang w:val="fr-FR"/>
        </w:rPr>
        <w:t>21-4</w:t>
      </w:r>
      <w:r w:rsidRPr="002C05F8">
        <w:rPr>
          <w:lang w:val="fr-FR"/>
        </w:rPr>
        <w:t>. Etant donné que les limites dépendent des angles d'arrivée, la puissance surfacique moyenne doit être fournie pour chaque angle d'arrivée. La formule définissant la puissance surfacique moyenne définie dans le Tableau </w:t>
      </w:r>
      <w:r w:rsidRPr="00D07FA9">
        <w:rPr>
          <w:b/>
          <w:bCs/>
          <w:lang w:val="fr-FR"/>
        </w:rPr>
        <w:t>21</w:t>
      </w:r>
      <w:r w:rsidRPr="00D07FA9">
        <w:rPr>
          <w:b/>
          <w:bCs/>
          <w:lang w:val="fr-FR"/>
        </w:rPr>
        <w:noBreakHyphen/>
        <w:t>4</w:t>
      </w:r>
      <w:r w:rsidRPr="002C05F8">
        <w:rPr>
          <w:lang w:val="fr-FR"/>
        </w:rPr>
        <w:t xml:space="preserve"> est indiquée au numéro </w:t>
      </w:r>
      <w:r w:rsidRPr="002C05F8">
        <w:rPr>
          <w:b/>
          <w:bCs/>
          <w:lang w:val="fr-FR"/>
        </w:rPr>
        <w:t>21.16.8</w:t>
      </w:r>
      <w:r w:rsidRPr="002C05F8">
        <w:rPr>
          <w:lang w:val="fr-FR"/>
        </w:rPr>
        <w:t>. Le Bureau peut calculer la puissance surfacique moyenne sur la base des angles d'arrivée si les renseignements relatifs à la largeur de bande nécessaire (point C.7a), qui ne sont pas exigés actuellement pour les détecteurs actifs ou passifs, sont soumis. Les renseignements relatifs à la largeur de bande nécessaire doivent également être fournis pour permettre au Bureau d'examiner la conformité des assignations de fréquence soumises relativement au numéro</w:t>
      </w:r>
      <w:r w:rsidR="00D07FA9">
        <w:rPr>
          <w:lang w:val="fr-FR"/>
        </w:rPr>
        <w:t> </w:t>
      </w:r>
      <w:bookmarkStart w:id="0" w:name="_GoBack"/>
      <w:bookmarkEnd w:id="0"/>
      <w:r w:rsidRPr="002C05F8">
        <w:rPr>
          <w:b/>
          <w:bCs/>
          <w:lang w:val="fr-FR"/>
        </w:rPr>
        <w:t>5.474A</w:t>
      </w:r>
      <w:r w:rsidRPr="002C05F8">
        <w:rPr>
          <w:lang w:val="fr-FR"/>
        </w:rPr>
        <w:t>.</w:t>
      </w:r>
    </w:p>
    <w:p w:rsidR="002C05F8" w:rsidRPr="002C05F8" w:rsidRDefault="002C05F8" w:rsidP="00FC5E4F">
      <w:pPr>
        <w:rPr>
          <w:lang w:val="fr-FR"/>
        </w:rPr>
      </w:pPr>
      <w:r w:rsidRPr="002C05F8">
        <w:rPr>
          <w:lang w:val="fr-FR"/>
        </w:rPr>
        <w:t xml:space="preserve">Compte tenu de ce qui précède, le Comité a décidé que les administrations devront fournir, en plus des caractéristiques pertinentes énumérées dans l'Appendice </w:t>
      </w:r>
      <w:r w:rsidRPr="002C05F8">
        <w:rPr>
          <w:b/>
          <w:bCs/>
          <w:lang w:val="fr-FR"/>
        </w:rPr>
        <w:t>4</w:t>
      </w:r>
      <w:r w:rsidRPr="002C05F8">
        <w:rPr>
          <w:lang w:val="fr-FR"/>
        </w:rPr>
        <w:t xml:space="preserve">, les renseignements relatifs à la largeur de bande d'émission SAR au titre du point C.7.a (largeur de bande nécessaire) pour les détecteurs actifs fonctionnant dans le service d'exploration de la Terre par satellite (active) dans la bande de fréquences 9 900-10 400 MHz, au lieu de soumettre la puissance surfacique moyenne. Le Bureau tiendra alors ultérieurement compte de cet élément de données lorsqu'il procédera à l'examen au titre du numéro </w:t>
      </w:r>
      <w:r w:rsidRPr="002C05F8">
        <w:rPr>
          <w:b/>
          <w:bCs/>
          <w:lang w:val="fr-FR"/>
        </w:rPr>
        <w:t>11.31</w:t>
      </w:r>
      <w:r w:rsidRPr="002C05F8">
        <w:rPr>
          <w:lang w:val="fr-FR"/>
        </w:rPr>
        <w:t xml:space="preserve"> du Règlement des radiocommunications.</w:t>
      </w:r>
    </w:p>
    <w:p w:rsidR="00A42418" w:rsidRPr="00217E8A" w:rsidRDefault="00A42418">
      <w:pPr>
        <w:pStyle w:val="Heading9"/>
        <w:rPr>
          <w:lang w:val="fr-FR"/>
        </w:rPr>
      </w:pPr>
      <w:r w:rsidRPr="00217E8A">
        <w:rPr>
          <w:lang w:val="fr-FR"/>
        </w:rPr>
        <w:t xml:space="preserve">A.18 </w:t>
      </w:r>
      <w:r w:rsidRPr="00217E8A">
        <w:rPr>
          <w:i/>
          <w:iCs/>
          <w:lang w:val="fr-FR"/>
        </w:rPr>
        <w:t>a)</w:t>
      </w:r>
    </w:p>
    <w:p w:rsidR="00A42418" w:rsidRPr="00217E8A" w:rsidRDefault="00A42418">
      <w:pPr>
        <w:rPr>
          <w:rStyle w:val="Appref0"/>
          <w:bCs/>
          <w:color w:val="000000"/>
          <w:lang w:val="fr-FR"/>
        </w:rPr>
      </w:pPr>
      <w:r w:rsidRPr="00217E8A">
        <w:rPr>
          <w:color w:val="000000"/>
          <w:lang w:val="fr-FR"/>
        </w:rPr>
        <w:t xml:space="preserve">Le Comité a pris note du fait que le point </w:t>
      </w:r>
      <w:r w:rsidRPr="00217E8A">
        <w:rPr>
          <w:rStyle w:val="Appref0"/>
          <w:bCs/>
          <w:color w:val="000000"/>
          <w:lang w:val="fr-FR"/>
        </w:rPr>
        <w:t xml:space="preserve">A.18 </w:t>
      </w:r>
      <w:r w:rsidRPr="00217E8A">
        <w:rPr>
          <w:rStyle w:val="Appref0"/>
          <w:bCs/>
          <w:i/>
          <w:iCs/>
          <w:color w:val="000000"/>
          <w:lang w:val="fr-FR"/>
        </w:rPr>
        <w:t>a)</w:t>
      </w:r>
      <w:r w:rsidRPr="00217E8A">
        <w:rPr>
          <w:rStyle w:val="Appref0"/>
          <w:bCs/>
          <w:color w:val="000000"/>
          <w:lang w:val="fr-FR"/>
        </w:rPr>
        <w:t xml:space="preserve"> de l'Annexe 2 de l'Appendice </w:t>
      </w:r>
      <w:r w:rsidRPr="00217E8A">
        <w:rPr>
          <w:rStyle w:val="Appref"/>
          <w:b/>
          <w:bCs/>
          <w:color w:val="000000"/>
          <w:lang w:val="fr-FR"/>
        </w:rPr>
        <w:t>4</w:t>
      </w:r>
      <w:r w:rsidRPr="00217E8A">
        <w:rPr>
          <w:rStyle w:val="Appref0"/>
          <w:b/>
          <w:color w:val="000000"/>
          <w:lang w:val="fr-FR"/>
        </w:rPr>
        <w:t xml:space="preserve"> </w:t>
      </w:r>
      <w:r w:rsidRPr="00217E8A">
        <w:rPr>
          <w:rStyle w:val="Appref0"/>
          <w:bCs/>
          <w:color w:val="000000"/>
          <w:lang w:val="fr-FR"/>
        </w:rPr>
        <w:t xml:space="preserve">décrit l'engagement que doit prendre une administration dans le cas où une station terrienne d'aéronef du service mobile aéronautique par satellite secondaire communique avec une station spatiale du service fixe par satellite, conformément au numéro </w:t>
      </w:r>
      <w:r w:rsidRPr="00217E8A">
        <w:rPr>
          <w:rStyle w:val="Artref"/>
          <w:b/>
          <w:bCs/>
          <w:color w:val="000000"/>
          <w:lang w:val="fr-FR"/>
        </w:rPr>
        <w:t>5.504A</w:t>
      </w:r>
      <w:r w:rsidRPr="00217E8A">
        <w:rPr>
          <w:rStyle w:val="Appref0"/>
          <w:bCs/>
          <w:color w:val="000000"/>
          <w:lang w:val="fr-FR"/>
        </w:rPr>
        <w:t>. Il a en outre pris note du fait que cet élément de données est obligatoire pour la notification ou la coordi</w:t>
      </w:r>
      <w:r w:rsidR="00A82587" w:rsidRPr="00217E8A">
        <w:rPr>
          <w:rStyle w:val="Appref0"/>
          <w:bCs/>
          <w:color w:val="000000"/>
          <w:lang w:val="fr-FR"/>
        </w:rPr>
        <w:softHyphen/>
      </w:r>
      <w:r w:rsidRPr="00217E8A">
        <w:rPr>
          <w:rStyle w:val="Appref0"/>
          <w:bCs/>
          <w:color w:val="000000"/>
          <w:lang w:val="fr-FR"/>
        </w:rPr>
        <w:t>nation d'un réseau à satellite géostationnaire ou d'un réseau à satellite non géostationnaire.</w:t>
      </w:r>
    </w:p>
    <w:p w:rsidR="00A42418" w:rsidRPr="00217E8A" w:rsidRDefault="00A42418">
      <w:pPr>
        <w:rPr>
          <w:rStyle w:val="Appref0"/>
          <w:bCs/>
          <w:color w:val="000000"/>
          <w:lang w:val="fr-FR"/>
        </w:rPr>
      </w:pPr>
      <w:r w:rsidRPr="00217E8A">
        <w:rPr>
          <w:rStyle w:val="Appref0"/>
          <w:bCs/>
          <w:color w:val="000000"/>
          <w:lang w:val="fr-FR"/>
        </w:rPr>
        <w:t>Toutefois, cet élément de données doit également être fourni pour vérifier, au titre du numéro </w:t>
      </w:r>
      <w:r w:rsidRPr="00217E8A">
        <w:rPr>
          <w:rStyle w:val="Artref"/>
          <w:b/>
          <w:bCs/>
          <w:color w:val="000000"/>
          <w:lang w:val="fr-FR"/>
        </w:rPr>
        <w:t>11.31</w:t>
      </w:r>
      <w:r w:rsidRPr="00217E8A">
        <w:rPr>
          <w:rStyle w:val="Appref0"/>
          <w:bCs/>
          <w:color w:val="000000"/>
          <w:lang w:val="fr-FR"/>
        </w:rPr>
        <w:t xml:space="preserve">, la conformité relativement au numéro </w:t>
      </w:r>
      <w:r w:rsidRPr="00217E8A">
        <w:rPr>
          <w:rStyle w:val="Artref"/>
          <w:b/>
          <w:bCs/>
          <w:color w:val="000000"/>
          <w:lang w:val="fr-FR"/>
        </w:rPr>
        <w:t>5.504A</w:t>
      </w:r>
      <w:r w:rsidRPr="00217E8A">
        <w:rPr>
          <w:rStyle w:val="Appref0"/>
          <w:bCs/>
          <w:color w:val="000000"/>
          <w:lang w:val="fr-FR"/>
        </w:rPr>
        <w:t>, de la notification d'une station terrienne d'aéronef du service mobile aéronautique par satellite secondaire qui communique avec une station spatiale du service fixe par satellite. Cette exigence a été probablement omise par inadvertance à la CMR</w:t>
      </w:r>
      <w:r w:rsidRPr="00217E8A">
        <w:rPr>
          <w:rStyle w:val="Appref0"/>
          <w:bCs/>
          <w:color w:val="000000"/>
          <w:lang w:val="fr-FR"/>
        </w:rPr>
        <w:noBreakHyphen/>
        <w:t>03.</w:t>
      </w:r>
    </w:p>
    <w:p w:rsidR="00A42418" w:rsidRPr="00217E8A" w:rsidRDefault="00A42418">
      <w:pPr>
        <w:rPr>
          <w:color w:val="000000"/>
          <w:lang w:val="fr-FR"/>
        </w:rPr>
      </w:pPr>
      <w:r w:rsidRPr="00217E8A">
        <w:rPr>
          <w:rStyle w:val="Appref0"/>
          <w:bCs/>
          <w:color w:val="000000"/>
          <w:lang w:val="fr-FR"/>
        </w:rPr>
        <w:t>Pour corriger cette lacune, le Comité a décidé qu'il sera demandé aux administrations de fournir, en plus des caractéristiques pertinentes énumérées dans l'Appendice</w:t>
      </w:r>
      <w:r w:rsidRPr="00217E8A">
        <w:rPr>
          <w:color w:val="000000"/>
          <w:lang w:val="fr-FR"/>
        </w:rPr>
        <w:t xml:space="preserve"> </w:t>
      </w:r>
      <w:r w:rsidRPr="00217E8A">
        <w:rPr>
          <w:rStyle w:val="Appref"/>
          <w:b/>
          <w:bCs/>
          <w:color w:val="000000"/>
          <w:lang w:val="fr-FR"/>
        </w:rPr>
        <w:t>4</w:t>
      </w:r>
      <w:r w:rsidRPr="00217E8A">
        <w:rPr>
          <w:color w:val="000000"/>
          <w:lang w:val="fr-FR"/>
        </w:rPr>
        <w:t xml:space="preserve">, l'élément de données décrit au </w:t>
      </w:r>
      <w:r w:rsidRPr="00217E8A">
        <w:rPr>
          <w:rStyle w:val="Appref0"/>
          <w:bCs/>
          <w:color w:val="000000"/>
          <w:lang w:val="fr-FR"/>
        </w:rPr>
        <w:t xml:space="preserve">§ A.18 </w:t>
      </w:r>
      <w:r w:rsidRPr="00217E8A">
        <w:rPr>
          <w:rStyle w:val="Appref0"/>
          <w:bCs/>
          <w:i/>
          <w:iCs/>
          <w:color w:val="000000"/>
          <w:lang w:val="fr-FR"/>
        </w:rPr>
        <w:t xml:space="preserve">a) </w:t>
      </w:r>
      <w:r w:rsidRPr="00217E8A">
        <w:rPr>
          <w:color w:val="000000"/>
          <w:lang w:val="fr-FR"/>
        </w:rPr>
        <w:t xml:space="preserve">de l'Annexe 2 de l'Appendice </w:t>
      </w:r>
      <w:r w:rsidRPr="00217E8A">
        <w:rPr>
          <w:rStyle w:val="Appref"/>
          <w:b/>
          <w:bCs/>
          <w:color w:val="000000"/>
          <w:lang w:val="fr-FR"/>
        </w:rPr>
        <w:t>4</w:t>
      </w:r>
      <w:r w:rsidRPr="00217E8A">
        <w:rPr>
          <w:color w:val="000000"/>
          <w:lang w:val="fr-FR"/>
        </w:rPr>
        <w:t xml:space="preserve"> lorsqu'elles soumettent les rensei</w:t>
      </w:r>
      <w:r w:rsidRPr="00217E8A">
        <w:rPr>
          <w:color w:val="000000"/>
          <w:lang w:val="fr-FR"/>
        </w:rPr>
        <w:softHyphen/>
        <w:t xml:space="preserve">gnements de notification pour une station terrienne d'aéronef du service mobile aéronautique par satellite secondaire communiquant avec une station spatiale du service fixe par satellite, conformément au numéro </w:t>
      </w:r>
      <w:r w:rsidRPr="00217E8A">
        <w:rPr>
          <w:rStyle w:val="Artref"/>
          <w:b/>
          <w:bCs/>
          <w:color w:val="000000"/>
          <w:lang w:val="fr-FR"/>
        </w:rPr>
        <w:t>5.504A</w:t>
      </w:r>
      <w:r w:rsidRPr="00217E8A">
        <w:rPr>
          <w:color w:val="000000"/>
          <w:lang w:val="fr-FR"/>
        </w:rPr>
        <w:t>. Le Bureau tiendra alors ultérieurement compte de cet élément de données § A.18 </w:t>
      </w:r>
      <w:r w:rsidRPr="00217E8A">
        <w:rPr>
          <w:i/>
          <w:iCs/>
          <w:color w:val="000000"/>
          <w:lang w:val="fr-FR"/>
        </w:rPr>
        <w:t>a)</w:t>
      </w:r>
      <w:r w:rsidRPr="00217E8A">
        <w:rPr>
          <w:color w:val="000000"/>
          <w:lang w:val="fr-FR"/>
        </w:rPr>
        <w:t xml:space="preserve"> lorsqu'il vérifiera que les données soumises sont complètes.</w:t>
      </w:r>
    </w:p>
    <w:p w:rsidR="00A42418" w:rsidRPr="00217E8A" w:rsidRDefault="00A42418">
      <w:pPr>
        <w:pStyle w:val="Heading9"/>
        <w:rPr>
          <w:color w:val="000000"/>
          <w:lang w:val="fr-FR"/>
        </w:rPr>
      </w:pPr>
      <w:r w:rsidRPr="00217E8A">
        <w:rPr>
          <w:color w:val="000000"/>
          <w:lang w:val="fr-FR"/>
        </w:rPr>
        <w:lastRenderedPageBreak/>
        <w:t xml:space="preserve">B.4 </w:t>
      </w:r>
      <w:r w:rsidRPr="00217E8A">
        <w:rPr>
          <w:i/>
          <w:color w:val="000000"/>
          <w:lang w:val="fr-FR"/>
        </w:rPr>
        <w:t>a)</w:t>
      </w:r>
    </w:p>
    <w:p w:rsidR="00A42418" w:rsidRPr="00217E8A" w:rsidRDefault="00A42418" w:rsidP="00217E8A">
      <w:pPr>
        <w:rPr>
          <w:color w:val="000000"/>
          <w:lang w:val="fr-FR"/>
        </w:rPr>
      </w:pPr>
      <w:r w:rsidRPr="00217E8A">
        <w:rPr>
          <w:color w:val="000000"/>
          <w:lang w:val="fr-FR"/>
        </w:rPr>
        <w:t xml:space="preserve">Lors de la soumission d'une fiche de notification dans le cadre des procédures applicables des Articles </w:t>
      </w:r>
      <w:r w:rsidRPr="00217E8A">
        <w:rPr>
          <w:rStyle w:val="Artref"/>
          <w:b/>
          <w:bCs/>
          <w:color w:val="000000"/>
          <w:lang w:val="fr-FR"/>
        </w:rPr>
        <w:t>9</w:t>
      </w:r>
      <w:r w:rsidRPr="00217E8A">
        <w:rPr>
          <w:color w:val="000000"/>
          <w:lang w:val="fr-FR"/>
        </w:rPr>
        <w:t xml:space="preserve"> ou </w:t>
      </w:r>
      <w:r w:rsidRPr="00217E8A">
        <w:rPr>
          <w:rStyle w:val="Artref"/>
          <w:b/>
          <w:bCs/>
          <w:color w:val="000000"/>
          <w:lang w:val="fr-FR"/>
        </w:rPr>
        <w:t>11</w:t>
      </w:r>
      <w:r w:rsidRPr="00217E8A">
        <w:rPr>
          <w:color w:val="000000"/>
          <w:lang w:val="fr-FR"/>
        </w:rPr>
        <w:t>, pour mieux décrire les contours à la surface de la Terre de la puissance surfacique rayonnée par une station spatiale placée à bord d'un satellite non OSG en orbite circulaire, les renseignements suivants peuvent être fournis à titre facultatif, avec les autres données figurant dans l'Appendice </w:t>
      </w:r>
      <w:r w:rsidRPr="00217E8A">
        <w:rPr>
          <w:rStyle w:val="Appref"/>
          <w:b/>
          <w:bCs/>
          <w:color w:val="000000"/>
          <w:lang w:val="fr-FR"/>
        </w:rPr>
        <w:t>4</w:t>
      </w:r>
      <w:r w:rsidRPr="00217E8A">
        <w:rPr>
          <w:color w:val="000000"/>
          <w:lang w:val="fr-FR"/>
        </w:rPr>
        <w:t>:</w:t>
      </w:r>
    </w:p>
    <w:p w:rsidR="00A42418" w:rsidRPr="00217E8A" w:rsidRDefault="00A42418" w:rsidP="00217E8A">
      <w:pPr>
        <w:rPr>
          <w:color w:val="000000"/>
          <w:lang w:val="fr-FR"/>
        </w:rPr>
      </w:pPr>
      <w:r w:rsidRPr="00217E8A">
        <w:rPr>
          <w:b/>
          <w:color w:val="000000"/>
          <w:lang w:val="fr-FR"/>
        </w:rPr>
        <w:t xml:space="preserve">Appendice </w:t>
      </w:r>
      <w:r w:rsidRPr="00217E8A">
        <w:rPr>
          <w:rStyle w:val="Appref"/>
          <w:b/>
          <w:bCs/>
          <w:color w:val="000000"/>
          <w:lang w:val="fr-FR"/>
        </w:rPr>
        <w:t>4</w:t>
      </w:r>
      <w:r w:rsidRPr="00217E8A">
        <w:rPr>
          <w:b/>
          <w:color w:val="000000"/>
          <w:lang w:val="fr-FR"/>
        </w:rPr>
        <w:t>, Annexe 2A, §</w:t>
      </w:r>
      <w:r w:rsidR="00217E8A" w:rsidRPr="00217E8A">
        <w:rPr>
          <w:b/>
          <w:color w:val="000000"/>
          <w:lang w:val="fr-FR"/>
        </w:rPr>
        <w:t> </w:t>
      </w:r>
      <w:r w:rsidRPr="00217E8A">
        <w:rPr>
          <w:b/>
          <w:color w:val="000000"/>
          <w:lang w:val="fr-FR"/>
        </w:rPr>
        <w:t xml:space="preserve">B.4 </w:t>
      </w:r>
      <w:r w:rsidRPr="00217E8A">
        <w:rPr>
          <w:b/>
          <w:i/>
          <w:color w:val="000000"/>
          <w:lang w:val="fr-FR"/>
        </w:rPr>
        <w:t>a)</w:t>
      </w:r>
      <w:r w:rsidRPr="00217E8A">
        <w:rPr>
          <w:color w:val="000000"/>
          <w:lang w:val="fr-FR"/>
        </w:rPr>
        <w:t xml:space="preserve"> (caractéristiques d'antenne pour une station spatiale placée à bord d'un satellite non</w:t>
      </w:r>
      <w:r w:rsidR="00217E8A" w:rsidRPr="00217E8A">
        <w:rPr>
          <w:color w:val="000000"/>
          <w:lang w:val="fr-FR"/>
        </w:rPr>
        <w:t> </w:t>
      </w:r>
      <w:r w:rsidRPr="00217E8A">
        <w:rPr>
          <w:color w:val="000000"/>
          <w:lang w:val="fr-FR"/>
        </w:rPr>
        <w:t>OSG)</w:t>
      </w:r>
    </w:p>
    <w:p w:rsidR="00A42418" w:rsidRPr="00217E8A" w:rsidRDefault="00A42418" w:rsidP="00217E8A">
      <w:pPr>
        <w:rPr>
          <w:lang w:val="fr-FR"/>
        </w:rPr>
      </w:pPr>
      <w:r w:rsidRPr="00217E8A">
        <w:rPr>
          <w:lang w:val="fr-FR"/>
        </w:rPr>
        <w:t>1</w:t>
      </w:r>
      <w:r w:rsidRPr="00217E8A">
        <w:rPr>
          <w:lang w:val="fr-FR"/>
        </w:rPr>
        <w:tab/>
        <w:t xml:space="preserve">En complément des renseignements actuellement requis au titre de ce point de l'Appendice </w:t>
      </w:r>
      <w:r w:rsidRPr="00217E8A">
        <w:rPr>
          <w:rStyle w:val="Appref"/>
          <w:b/>
          <w:bCs/>
          <w:color w:val="000000"/>
          <w:lang w:val="fr-FR"/>
        </w:rPr>
        <w:t>4</w:t>
      </w:r>
      <w:r w:rsidRPr="00217E8A">
        <w:rPr>
          <w:lang w:val="fr-FR"/>
        </w:rPr>
        <w:t>, indiquer si nécessaire:</w:t>
      </w:r>
    </w:p>
    <w:p w:rsidR="00A42418" w:rsidRPr="00217E8A" w:rsidRDefault="00A42418" w:rsidP="00217E8A">
      <w:pPr>
        <w:pStyle w:val="enumlev1"/>
        <w:ind w:left="0" w:firstLine="0"/>
        <w:rPr>
          <w:lang w:val="fr-FR"/>
        </w:rPr>
      </w:pPr>
      <w:r w:rsidRPr="00217E8A">
        <w:rPr>
          <w:lang w:val="fr-FR"/>
        </w:rPr>
        <w:t>1.1</w:t>
      </w:r>
      <w:r w:rsidRPr="00217E8A">
        <w:rPr>
          <w:lang w:val="fr-FR"/>
        </w:rPr>
        <w:tab/>
        <w:t>dans le cas d'une station spatiale d'émission placée à bord d'un satellite non OSG en orbite circulaire, destinée à communiquer avec des stations terriennes au moyen d'une antenne d'émission pointée dans une direction fixe par rapport au satellite, le gain isotrope maximal (dBi) et les contours de gain de l'antenne tracés dans une projection radiale à partir du satellite et sur un plan perpendiculaire à l'axe joignant le centre de la Terre au satellite. Les contours de gain d'antenne de la station spatiale doivent être tracés comme des courbes d'égale valeur du gain isotrope au moins pour –2, –</w:t>
      </w:r>
      <w:r w:rsidR="00217E8A" w:rsidRPr="00217E8A">
        <w:rPr>
          <w:rFonts w:ascii="Tms Rmn" w:hAnsi="Tms Rmn"/>
          <w:sz w:val="4"/>
          <w:szCs w:val="4"/>
          <w:lang w:val="fr-FR"/>
        </w:rPr>
        <w:t> </w:t>
      </w:r>
      <w:r w:rsidRPr="00217E8A">
        <w:rPr>
          <w:lang w:val="fr-FR"/>
        </w:rPr>
        <w:t>4, –6, –10 et –12 dB et ainsi de suite de 10 dB en 10</w:t>
      </w:r>
      <w:r w:rsidR="00217E8A" w:rsidRPr="00217E8A">
        <w:rPr>
          <w:lang w:val="fr-FR"/>
        </w:rPr>
        <w:t> </w:t>
      </w:r>
      <w:r w:rsidRPr="00217E8A">
        <w:rPr>
          <w:lang w:val="fr-FR"/>
        </w:rPr>
        <w:t>dB, si nécessaire, par rapport au gain d'antenne maximal, lorsque l'un quelconque de ces contours est situé, en totalité ou en partie, dans les limites de visibilité de la Terre à partir du satellite non OSG en question;</w:t>
      </w:r>
    </w:p>
    <w:p w:rsidR="00A42418" w:rsidRPr="00217E8A" w:rsidRDefault="00A42418" w:rsidP="00217E8A">
      <w:pPr>
        <w:pStyle w:val="enumlev1"/>
        <w:ind w:left="0" w:firstLine="0"/>
        <w:rPr>
          <w:lang w:val="fr-FR"/>
        </w:rPr>
      </w:pPr>
      <w:r w:rsidRPr="00217E8A">
        <w:rPr>
          <w:lang w:val="fr-FR"/>
        </w:rPr>
        <w:t>1.2</w:t>
      </w:r>
      <w:r w:rsidRPr="00217E8A">
        <w:rPr>
          <w:lang w:val="fr-FR"/>
        </w:rPr>
        <w:tab/>
        <w:t>dans le cas d'une station spatiale placée à bord d'un satellite non OSG en orbite circulaire où un faisceau orientable est utilisé, les données relatives aux caractéristiques de rayonnement de l'antenne sont fournies comme suit:</w:t>
      </w:r>
    </w:p>
    <w:p w:rsidR="00A42418" w:rsidRPr="00217E8A" w:rsidRDefault="00A42418" w:rsidP="00217E8A">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identique à la zone de service mondiale ou quasi mondiale, ne fournir que le gain isotrope d'antenne maximal (dBi), qui s'applique à tous les points de la surface visible de la Terre;</w:t>
      </w:r>
    </w:p>
    <w:p w:rsidR="00A42418" w:rsidRPr="00217E8A" w:rsidRDefault="00A42418" w:rsidP="00D53BE0">
      <w:pPr>
        <w:pStyle w:val="enumlev1"/>
        <w:rPr>
          <w:lang w:val="fr-FR"/>
        </w:rPr>
      </w:pPr>
      <w:r w:rsidRPr="00217E8A">
        <w:rPr>
          <w:lang w:val="fr-FR"/>
        </w:rPr>
        <w:t>–</w:t>
      </w:r>
      <w:r w:rsidRPr="00217E8A">
        <w:rPr>
          <w:lang w:val="fr-FR"/>
        </w:rPr>
        <w:tab/>
        <w:t xml:space="preserve">si la zone de visée équivalente (voir le numéro </w:t>
      </w:r>
      <w:r w:rsidRPr="00217E8A">
        <w:rPr>
          <w:rStyle w:val="Artref"/>
          <w:b/>
          <w:bCs/>
          <w:color w:val="000000"/>
          <w:lang w:val="fr-FR"/>
        </w:rPr>
        <w:t>1.175</w:t>
      </w:r>
      <w:r w:rsidRPr="00217E8A">
        <w:rPr>
          <w:lang w:val="fr-FR"/>
        </w:rPr>
        <w:t>) est moindre que la zone de service mondiale ou quasi mondiale, fournir le gain isotrope maximal et les contours de gain équivalents (voir le numéro</w:t>
      </w:r>
      <w:r w:rsidR="00D53BE0">
        <w:rPr>
          <w:lang w:val="fr-FR"/>
        </w:rPr>
        <w:t> </w:t>
      </w:r>
      <w:r w:rsidRPr="00217E8A">
        <w:rPr>
          <w:rStyle w:val="Artref"/>
          <w:b/>
          <w:bCs/>
          <w:color w:val="000000"/>
          <w:lang w:val="fr-FR"/>
        </w:rPr>
        <w:t>1.176</w:t>
      </w:r>
      <w:r w:rsidRPr="00217E8A">
        <w:rPr>
          <w:lang w:val="fr-FR"/>
        </w:rPr>
        <w:t>), tels qu'ils sont définis ci-dessus.</w:t>
      </w:r>
    </w:p>
    <w:p w:rsidR="00A42418" w:rsidRPr="00217E8A" w:rsidRDefault="00A42418" w:rsidP="00217E8A">
      <w:pPr>
        <w:spacing w:before="160"/>
        <w:rPr>
          <w:color w:val="000000"/>
          <w:lang w:val="fr-FR"/>
        </w:rPr>
      </w:pPr>
      <w:r w:rsidRPr="00217E8A">
        <w:rPr>
          <w:color w:val="000000"/>
          <w:lang w:val="fr-FR"/>
        </w:rPr>
        <w:t>2</w:t>
      </w:r>
      <w:r w:rsidRPr="00217E8A">
        <w:rPr>
          <w:color w:val="000000"/>
          <w:lang w:val="fr-FR"/>
        </w:rPr>
        <w:tab/>
        <w:t>Les renseignements supplémentaires indiqués aux § 1.1 et 1.2 ci-dessus sont demandés à titre facultatif. Lors de l'examen d'un cas de ce genre, le Bureau utilisera les renseignements les plus détaillés qui lui seront fournis pour calculer les valeurs de puissance surfacique; en l'absence de tels renseignements, le calcul sera effectué selon les modalités actuelles sur la base de la p.i.r.e. maximale émise.</w:t>
      </w:r>
    </w:p>
    <w:p w:rsidR="00A42418" w:rsidRPr="00217E8A" w:rsidRDefault="00A42418">
      <w:pPr>
        <w:rPr>
          <w:lang w:val="fr-FR"/>
        </w:rPr>
      </w:pPr>
    </w:p>
    <w:p w:rsidR="00A42418" w:rsidRPr="00217E8A" w:rsidRDefault="00A42418" w:rsidP="00A964B9">
      <w:pPr>
        <w:jc w:val="center"/>
        <w:rPr>
          <w:lang w:val="fr-FR"/>
        </w:rPr>
        <w:sectPr w:rsidR="00A42418" w:rsidRPr="00217E8A" w:rsidSect="00FA53B3">
          <w:headerReference w:type="even" r:id="rId6"/>
          <w:headerReference w:type="default" r:id="rId7"/>
          <w:footnotePr>
            <w:pos w:val="beneathText"/>
          </w:footnotePr>
          <w:pgSz w:w="11907" w:h="16840" w:code="9"/>
          <w:pgMar w:top="1701" w:right="851" w:bottom="1134" w:left="1985" w:header="720" w:footer="482" w:gutter="0"/>
          <w:pgNumType w:start="1"/>
          <w:cols w:space="720"/>
          <w:vAlign w:val="both"/>
        </w:sectPr>
      </w:pPr>
      <w:r w:rsidRPr="00217E8A">
        <w:rPr>
          <w:color w:val="000000"/>
          <w:lang w:val="fr-FR"/>
        </w:rPr>
        <w:t>____________________</w:t>
      </w:r>
    </w:p>
    <w:p w:rsidR="00A42418" w:rsidRPr="00217E8A" w:rsidRDefault="00A42418" w:rsidP="00217E8A">
      <w:pPr>
        <w:rPr>
          <w:lang w:val="fr-FR"/>
        </w:rPr>
      </w:pPr>
    </w:p>
    <w:sectPr w:rsidR="00A42418" w:rsidRPr="00217E8A">
      <w:headerReference w:type="first" r:id="rId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D30" w:rsidRDefault="00541D30">
      <w:r>
        <w:separator/>
      </w:r>
    </w:p>
  </w:endnote>
  <w:endnote w:type="continuationSeparator" w:id="0">
    <w:p w:rsidR="00541D30" w:rsidRDefault="0054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D30" w:rsidRDefault="00541D30">
      <w:r>
        <w:rPr>
          <w:b/>
        </w:rPr>
        <w:t>_______________</w:t>
      </w:r>
    </w:p>
  </w:footnote>
  <w:footnote w:type="continuationSeparator" w:id="0">
    <w:p w:rsidR="00541D30" w:rsidRDefault="00541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922B6">
      <w:trPr>
        <w:cantSplit/>
      </w:trPr>
      <w:tc>
        <w:tcPr>
          <w:tcW w:w="1701" w:type="dxa"/>
          <w:tcBorders>
            <w:top w:val="single" w:sz="6" w:space="0" w:color="auto"/>
            <w:left w:val="single" w:sz="6" w:space="0" w:color="auto"/>
            <w:bottom w:val="single" w:sz="6" w:space="0" w:color="auto"/>
            <w:right w:val="single" w:sz="6" w:space="0" w:color="auto"/>
          </w:tcBorders>
        </w:tcPr>
        <w:p w:rsidR="00D922B6" w:rsidRDefault="00D922B6">
          <w:pPr>
            <w:pStyle w:val="HeaderRegProc"/>
          </w:pPr>
          <w:r>
            <w:t>Partie A</w:t>
          </w:r>
          <w:r>
            <w:fldChar w:fldCharType="begin"/>
          </w:r>
          <w:r>
            <w:instrText>styleref href</w:instrText>
          </w:r>
          <w:r>
            <w:fldChar w:fldCharType="separate"/>
          </w:r>
          <w:r w:rsidR="00D07FA9">
            <w:rPr>
              <w:noProof/>
            </w:rPr>
            <w:t>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922B6" w:rsidRDefault="00D07FA9">
          <w:pPr>
            <w:pStyle w:val="HeaderRegProc"/>
            <w:rPr>
              <w:lang w:val="fr-FR"/>
            </w:rPr>
          </w:pPr>
          <w:r>
            <w:fldChar w:fldCharType="begin"/>
          </w:r>
          <w:r>
            <w:instrText xml:space="preserve"> DOCPROPERTY "Header1" \* MERGEFORMAT </w:instrText>
          </w:r>
          <w:r>
            <w:fldChar w:fldCharType="separate"/>
          </w:r>
          <w:r w:rsidR="00DB1E82">
            <w:t>AP</w:t>
          </w:r>
          <w:r>
            <w:fldChar w:fldCharType="end"/>
          </w:r>
          <w:r w:rsidR="00D922B6">
            <w:fldChar w:fldCharType="begin"/>
          </w:r>
          <w:r w:rsidR="00D922B6">
            <w:instrText>styleref href2</w:instrText>
          </w:r>
          <w:r w:rsidR="00D922B6">
            <w:fldChar w:fldCharType="separate"/>
          </w:r>
          <w:r>
            <w:rPr>
              <w:noProof/>
            </w:rPr>
            <w:t>4</w:t>
          </w:r>
          <w:r w:rsidR="00D922B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D922B6" w:rsidRDefault="00D922B6" w:rsidP="002C05F8">
          <w:pPr>
            <w:pStyle w:val="HeaderRegProc"/>
            <w:rPr>
              <w:lang w:val="fr-CH"/>
            </w:rPr>
          </w:pPr>
          <w:r>
            <w:rPr>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7FA9">
            <w:rPr>
              <w:rStyle w:val="PageNumber"/>
              <w:noProof/>
              <w:color w:val="000000"/>
            </w:rPr>
            <w:t>2</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D922B6" w:rsidRDefault="00D922B6" w:rsidP="00A40A45">
          <w:pPr>
            <w:pStyle w:val="HeaderRegProc"/>
            <w:rPr>
              <w:lang w:val="fr-CH"/>
            </w:rPr>
          </w:pPr>
          <w:r>
            <w:rPr>
              <w:lang w:val="fr-CH"/>
            </w:rPr>
            <w:t>rév.</w:t>
          </w:r>
          <w:r w:rsidR="00A40A45">
            <w:t>-</w:t>
          </w:r>
        </w:p>
      </w:tc>
    </w:tr>
  </w:tbl>
  <w:p w:rsidR="00D922B6" w:rsidRDefault="00D922B6">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C05F8" w:rsidTr="00D66B04">
      <w:trPr>
        <w:cantSplit/>
        <w:jc w:val="right"/>
      </w:trPr>
      <w:tc>
        <w:tcPr>
          <w:tcW w:w="1701" w:type="dxa"/>
          <w:tcBorders>
            <w:top w:val="single" w:sz="6" w:space="0" w:color="auto"/>
            <w:left w:val="single" w:sz="6" w:space="0" w:color="auto"/>
            <w:bottom w:val="single" w:sz="6" w:space="0" w:color="auto"/>
            <w:right w:val="single" w:sz="6" w:space="0" w:color="auto"/>
          </w:tcBorders>
        </w:tcPr>
        <w:p w:rsidR="002C05F8" w:rsidRDefault="002C05F8" w:rsidP="00D66B04">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2C05F8" w:rsidRDefault="00D07FA9" w:rsidP="00D66B04">
          <w:pPr>
            <w:pStyle w:val="HeaderRegProc"/>
            <w:jc w:val="left"/>
            <w:rPr>
              <w:color w:val="000000"/>
              <w:lang w:val="fr-CH"/>
            </w:rPr>
          </w:pPr>
          <w:r>
            <w:fldChar w:fldCharType="begin"/>
          </w:r>
          <w:r>
            <w:instrText xml:space="preserve"> DOCPROPERTY "Header1" \* MERGEFORMAT </w:instrText>
          </w:r>
          <w:r>
            <w:fldChar w:fldCharType="separate"/>
          </w:r>
          <w:r w:rsidR="00DB1E82">
            <w:t>AP</w:t>
          </w:r>
          <w:r>
            <w:fldChar w:fldCharType="end"/>
          </w:r>
          <w:r w:rsidR="002C05F8">
            <w:fldChar w:fldCharType="begin"/>
          </w:r>
          <w:r w:rsidR="002C05F8">
            <w:instrText>styleref href2</w:instrText>
          </w:r>
          <w:r w:rsidR="002C05F8">
            <w:fldChar w:fldCharType="separate"/>
          </w:r>
          <w:r>
            <w:rPr>
              <w:noProof/>
            </w:rPr>
            <w:t>4</w:t>
          </w:r>
          <w:r w:rsidR="002C05F8">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2C05F8" w:rsidRDefault="002C05F8" w:rsidP="00D66B04">
          <w:pPr>
            <w:pStyle w:val="HeaderRegProc"/>
            <w:jc w:val="left"/>
            <w:rPr>
              <w:color w:val="000000"/>
              <w:lang w:val="fr-CH"/>
            </w:rPr>
          </w:pPr>
          <w:r>
            <w:rPr>
              <w:color w:val="000000"/>
              <w:lang w:val="fr-CH"/>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D07FA9">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2C05F8" w:rsidRDefault="002C05F8" w:rsidP="00D66B04">
          <w:pPr>
            <w:pStyle w:val="HeaderRegProc"/>
            <w:jc w:val="left"/>
            <w:rPr>
              <w:color w:val="000000"/>
              <w:lang w:val="fr-CH"/>
            </w:rPr>
          </w:pPr>
          <w:r>
            <w:rPr>
              <w:color w:val="000000"/>
              <w:lang w:val="fr-CH"/>
            </w:rPr>
            <w:t>rév.-</w:t>
          </w:r>
        </w:p>
      </w:tc>
    </w:tr>
  </w:tbl>
  <w:p w:rsidR="002C05F8" w:rsidRPr="00217E8A" w:rsidRDefault="002C05F8" w:rsidP="00217E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2418" w:rsidRDefault="00A424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2"/>
  </w:compat>
  <w:rsids>
    <w:rsidRoot w:val="00A82587"/>
    <w:rsid w:val="000D198D"/>
    <w:rsid w:val="00217E8A"/>
    <w:rsid w:val="00244A5D"/>
    <w:rsid w:val="002C05F8"/>
    <w:rsid w:val="00366E8C"/>
    <w:rsid w:val="004F67C8"/>
    <w:rsid w:val="00541D30"/>
    <w:rsid w:val="008F0422"/>
    <w:rsid w:val="00982263"/>
    <w:rsid w:val="00A40A45"/>
    <w:rsid w:val="00A42418"/>
    <w:rsid w:val="00A82587"/>
    <w:rsid w:val="00A964B9"/>
    <w:rsid w:val="00AB5783"/>
    <w:rsid w:val="00D07FA9"/>
    <w:rsid w:val="00D171DF"/>
    <w:rsid w:val="00D53BE0"/>
    <w:rsid w:val="00D66B04"/>
    <w:rsid w:val="00D922B6"/>
    <w:rsid w:val="00DB1E82"/>
    <w:rsid w:val="00FA53B3"/>
    <w:rsid w:val="00FC5E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29DDE59-CA56-4E2B-B771-86EFC9AFE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14</TotalTime>
  <Pages>5</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AP4</dc:subject>
  <dc:creator>Composition des Publications</dc:creator>
  <cp:keywords>FOLIOS:  1  -  2</cp:keywords>
  <dc:description>Edition 2009:  23.02.2009/DD  (dict. ok)  </dc:description>
  <cp:lastModifiedBy>Clausel, Magali</cp:lastModifiedBy>
  <cp:revision>13</cp:revision>
  <cp:lastPrinted>2017-04-10T12:36:00Z</cp:lastPrinted>
  <dcterms:created xsi:type="dcterms:W3CDTF">2012-08-08T15:31:00Z</dcterms:created>
  <dcterms:modified xsi:type="dcterms:W3CDTF">2017-05-05T08:26:00Z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