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3D5" w:rsidRPr="0009344C" w:rsidRDefault="006A03D5" w:rsidP="0009344C">
      <w:pPr>
        <w:pStyle w:val="Heading1"/>
        <w:jc w:val="center"/>
      </w:pPr>
      <w:r w:rsidRPr="0009344C">
        <w:rPr>
          <w:rFonts w:hint="eastAsia"/>
        </w:rPr>
        <w:t>程序规则</w:t>
      </w:r>
    </w:p>
    <w:p w:rsidR="006A03D5" w:rsidRPr="00AB7591" w:rsidRDefault="006A03D5" w:rsidP="00C95D88">
      <w:pPr>
        <w:snapToGrid w:val="0"/>
        <w:spacing w:before="480"/>
        <w:jc w:val="center"/>
        <w:rPr>
          <w:bCs/>
        </w:rPr>
      </w:pPr>
      <w:r w:rsidRPr="00AB7591">
        <w:rPr>
          <w:rFonts w:hint="eastAsia"/>
        </w:rPr>
        <w:t>20</w:t>
      </w:r>
      <w:r w:rsidR="008967C7">
        <w:t>1</w:t>
      </w:r>
      <w:r w:rsidR="00C95D88">
        <w:t>7</w:t>
      </w:r>
      <w:r w:rsidRPr="00AB7591">
        <w:rPr>
          <w:rFonts w:hint="eastAsia"/>
        </w:rPr>
        <w:t>年版</w:t>
      </w:r>
    </w:p>
    <w:p w:rsidR="006A03D5" w:rsidRPr="00E03236" w:rsidRDefault="006A03D5" w:rsidP="00E03236">
      <w:pPr>
        <w:pStyle w:val="Heading1"/>
        <w:jc w:val="center"/>
        <w:rPr>
          <w:rStyle w:val="StyleHeading212ptChar"/>
          <w:sz w:val="28"/>
          <w:szCs w:val="28"/>
        </w:rPr>
      </w:pPr>
      <w:r w:rsidRPr="00EF2B44">
        <w:rPr>
          <w:rFonts w:hint="eastAsia"/>
          <w:bCs w:val="0"/>
          <w:szCs w:val="26"/>
        </w:rPr>
        <w:t>经无线电规则委员会批准</w:t>
      </w:r>
      <w:r w:rsidRPr="00EF2B44">
        <w:rPr>
          <w:rStyle w:val="StyleHeading212ptChar"/>
          <w:rFonts w:hint="eastAsia"/>
          <w:szCs w:val="26"/>
        </w:rPr>
        <w:t>，</w:t>
      </w:r>
      <w:r w:rsidR="0009344C" w:rsidRPr="00EF2B44">
        <w:rPr>
          <w:rStyle w:val="StyleHeading212ptChar"/>
          <w:szCs w:val="26"/>
        </w:rPr>
        <w:br/>
      </w:r>
      <w:r w:rsidR="0009344C" w:rsidRPr="0009344C">
        <w:rPr>
          <w:rStyle w:val="StyleHeading212ptChar"/>
        </w:rPr>
        <w:br/>
      </w:r>
      <w:r w:rsidRPr="00E03236">
        <w:rPr>
          <w:rStyle w:val="StyleHeading212ptChar"/>
          <w:rFonts w:hint="eastAsia"/>
          <w:sz w:val="28"/>
          <w:szCs w:val="28"/>
        </w:rPr>
        <w:t>由无线电通信局用于实施《无线电规则》、</w:t>
      </w:r>
      <w:r w:rsidR="002D33C9" w:rsidRPr="00E03236">
        <w:rPr>
          <w:rStyle w:val="StyleHeading212ptChar"/>
          <w:sz w:val="28"/>
          <w:szCs w:val="28"/>
        </w:rPr>
        <w:br/>
      </w:r>
      <w:r w:rsidRPr="00E03236">
        <w:rPr>
          <w:rStyle w:val="StyleHeading212ptChar"/>
          <w:rFonts w:hint="eastAsia"/>
          <w:sz w:val="28"/>
          <w:szCs w:val="28"/>
        </w:rPr>
        <w:t>区域性协议、世界和区域性无线电通信大会的</w:t>
      </w:r>
      <w:r w:rsidR="002D33C9" w:rsidRPr="00E03236">
        <w:rPr>
          <w:rStyle w:val="StyleHeading212ptChar"/>
          <w:sz w:val="28"/>
          <w:szCs w:val="28"/>
        </w:rPr>
        <w:br/>
      </w:r>
      <w:r w:rsidRPr="00E03236">
        <w:rPr>
          <w:rStyle w:val="StyleHeading212ptChar"/>
          <w:rFonts w:hint="eastAsia"/>
          <w:sz w:val="28"/>
          <w:szCs w:val="28"/>
        </w:rPr>
        <w:t>决议和建议的各项规定</w:t>
      </w:r>
    </w:p>
    <w:p w:rsidR="006A03D5" w:rsidRPr="00E03236" w:rsidRDefault="006A03D5" w:rsidP="00E03236">
      <w:pPr>
        <w:pStyle w:val="Heading1"/>
        <w:jc w:val="center"/>
      </w:pPr>
      <w:r w:rsidRPr="00E03236">
        <w:rPr>
          <w:rFonts w:hint="eastAsia"/>
        </w:rPr>
        <w:t>前言</w:t>
      </w:r>
    </w:p>
    <w:p w:rsidR="00AB71E9" w:rsidRPr="0031434E" w:rsidRDefault="00AB71E9" w:rsidP="00C95D88">
      <w:pPr>
        <w:pStyle w:val="Normalaftertitle"/>
        <w:ind w:firstLineChars="200" w:firstLine="480"/>
        <w:rPr>
          <w:rFonts w:asciiTheme="majorBidi" w:eastAsiaTheme="minorEastAsia" w:hAnsiTheme="majorBidi" w:cstheme="majorBidi"/>
          <w:lang w:eastAsia="zh-CN"/>
        </w:rPr>
      </w:pPr>
      <w:r w:rsidRPr="0031434E">
        <w:rPr>
          <w:rFonts w:asciiTheme="majorBidi" w:eastAsiaTheme="minorEastAsia" w:hAnsiTheme="majorBidi" w:cstheme="majorBidi"/>
          <w:lang w:eastAsia="zh-CN"/>
        </w:rPr>
        <w:t>本《程序规则》由无线电通信局实施，并通</w:t>
      </w:r>
      <w:bookmarkStart w:id="0" w:name="_GoBack"/>
      <w:bookmarkEnd w:id="0"/>
      <w:r w:rsidRPr="0031434E">
        <w:rPr>
          <w:rFonts w:asciiTheme="majorBidi" w:eastAsiaTheme="minorEastAsia" w:hAnsiTheme="majorBidi" w:cstheme="majorBidi"/>
          <w:lang w:eastAsia="zh-CN"/>
        </w:rPr>
        <w:t>过澄清特定规则的实施或通过制定目前管理条款中没有规定的必要的应用程序，补充了《无线电规则》（</w:t>
      </w:r>
      <w:r w:rsidRPr="0031434E">
        <w:rPr>
          <w:rFonts w:asciiTheme="majorBidi" w:eastAsiaTheme="minorEastAsia" w:hAnsiTheme="majorBidi" w:cstheme="majorBidi"/>
          <w:lang w:eastAsia="zh-CN"/>
        </w:rPr>
        <w:t>RR</w:t>
      </w:r>
      <w:r w:rsidRPr="0031434E">
        <w:rPr>
          <w:rFonts w:asciiTheme="majorBidi" w:eastAsiaTheme="minorEastAsia" w:hAnsiTheme="majorBidi" w:cstheme="majorBidi"/>
          <w:lang w:eastAsia="zh-CN"/>
        </w:rPr>
        <w:t>）的内容。本文件纳入了在</w:t>
      </w:r>
      <w:r w:rsidRPr="0031434E">
        <w:rPr>
          <w:rFonts w:asciiTheme="majorBidi" w:eastAsiaTheme="minorEastAsia" w:hAnsiTheme="majorBidi" w:cstheme="majorBidi"/>
          <w:lang w:eastAsia="zh-CN"/>
        </w:rPr>
        <w:t>201</w:t>
      </w:r>
      <w:r w:rsidR="00C95D88">
        <w:rPr>
          <w:rFonts w:asciiTheme="majorBidi" w:eastAsiaTheme="minorEastAsia" w:hAnsiTheme="majorBidi" w:cstheme="majorBidi"/>
          <w:lang w:eastAsia="zh-CN"/>
        </w:rPr>
        <w:t>5</w:t>
      </w:r>
      <w:r w:rsidRPr="0031434E">
        <w:rPr>
          <w:rFonts w:asciiTheme="majorBidi" w:eastAsiaTheme="minorEastAsia" w:hAnsiTheme="majorBidi" w:cstheme="majorBidi"/>
          <w:lang w:eastAsia="zh-CN"/>
        </w:rPr>
        <w:t>年世界无线电通信大会（</w:t>
      </w:r>
      <w:r w:rsidRPr="0031434E">
        <w:rPr>
          <w:rFonts w:asciiTheme="majorBidi" w:eastAsiaTheme="minorEastAsia" w:hAnsiTheme="majorBidi" w:cstheme="majorBidi"/>
          <w:lang w:eastAsia="zh-CN"/>
        </w:rPr>
        <w:t>WRC-1</w:t>
      </w:r>
      <w:r w:rsidR="00C95D88">
        <w:rPr>
          <w:rFonts w:asciiTheme="majorBidi" w:eastAsiaTheme="minorEastAsia" w:hAnsiTheme="majorBidi" w:cstheme="majorBidi"/>
          <w:lang w:eastAsia="zh-CN"/>
        </w:rPr>
        <w:t>5</w:t>
      </w:r>
      <w:r w:rsidRPr="0031434E">
        <w:rPr>
          <w:rFonts w:asciiTheme="majorBidi" w:eastAsiaTheme="minorEastAsia" w:hAnsiTheme="majorBidi" w:cstheme="majorBidi"/>
          <w:lang w:eastAsia="zh-CN"/>
        </w:rPr>
        <w:t>）之前无线电规则委员会（</w:t>
      </w:r>
      <w:r w:rsidRPr="0031434E">
        <w:rPr>
          <w:rFonts w:asciiTheme="majorBidi" w:eastAsiaTheme="minorEastAsia" w:hAnsiTheme="majorBidi" w:cstheme="majorBidi"/>
          <w:lang w:eastAsia="zh-CN"/>
        </w:rPr>
        <w:t>RRB</w:t>
      </w:r>
      <w:r w:rsidRPr="0031434E">
        <w:rPr>
          <w:rFonts w:asciiTheme="majorBidi" w:eastAsiaTheme="minorEastAsia" w:hAnsiTheme="majorBidi" w:cstheme="majorBidi"/>
          <w:lang w:eastAsia="zh-CN"/>
        </w:rPr>
        <w:t>）对《程序规则》的全面复审和修订的结果。因此，本文件中所含的规则替代之前公布布的所有《程序规则》。本《程序规则》供主管部门和无线电通信局在实施《无线电规则》时使用。本《程序规则》分为三部分：</w:t>
      </w:r>
    </w:p>
    <w:p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A</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仅与无线电规则条款中的一项或数量有限的几项相关的程序规则；</w:t>
      </w:r>
    </w:p>
    <w:p w:rsidR="00AB71E9" w:rsidRPr="0031434E" w:rsidRDefault="00AB71E9" w:rsidP="00AB71E9">
      <w:pPr>
        <w:tabs>
          <w:tab w:val="left" w:pos="1134"/>
          <w:tab w:val="left" w:pos="2126"/>
        </w:tabs>
        <w:spacing w:before="120"/>
        <w:ind w:left="2126" w:hanging="2126"/>
        <w:jc w:val="both"/>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B</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与某个过程，比如某项技术审查相关的程序规则；</w:t>
      </w:r>
    </w:p>
    <w:p w:rsidR="00AB71E9" w:rsidRPr="0031434E" w:rsidRDefault="00AB71E9" w:rsidP="00AB71E9">
      <w:pPr>
        <w:tabs>
          <w:tab w:val="left" w:pos="1134"/>
          <w:tab w:val="left" w:pos="2126"/>
        </w:tabs>
        <w:spacing w:before="120"/>
        <w:ind w:left="2126" w:hanging="2126"/>
        <w:rPr>
          <w:rFonts w:asciiTheme="majorBidi" w:eastAsiaTheme="minorEastAsia" w:hAnsiTheme="majorBidi" w:cstheme="majorBidi"/>
        </w:rPr>
      </w:pPr>
      <w:r w:rsidRPr="0031434E">
        <w:rPr>
          <w:rFonts w:asciiTheme="majorBidi" w:eastAsiaTheme="minorEastAsia" w:hAnsiTheme="majorBidi" w:cstheme="majorBidi"/>
        </w:rPr>
        <w:tab/>
      </w:r>
      <w:r w:rsidRPr="0031434E">
        <w:rPr>
          <w:rFonts w:asciiTheme="majorBidi" w:eastAsiaTheme="minorEastAsia" w:hAnsiTheme="majorBidi" w:cstheme="majorBidi"/>
          <w:b/>
          <w:bCs/>
        </w:rPr>
        <w:t>C</w:t>
      </w:r>
      <w:r w:rsidRPr="0031434E">
        <w:rPr>
          <w:rFonts w:asciiTheme="majorBidi" w:eastAsiaTheme="minorEastAsia" w:hAnsiTheme="majorBidi" w:cstheme="majorBidi"/>
          <w:b/>
          <w:bCs/>
        </w:rPr>
        <w:t>部分：</w:t>
      </w:r>
      <w:r w:rsidRPr="0031434E">
        <w:rPr>
          <w:rFonts w:asciiTheme="majorBidi" w:eastAsiaTheme="minorEastAsia" w:hAnsiTheme="majorBidi" w:cstheme="majorBidi"/>
        </w:rPr>
        <w:tab/>
      </w:r>
      <w:r w:rsidRPr="0031434E">
        <w:rPr>
          <w:rFonts w:asciiTheme="majorBidi" w:eastAsiaTheme="minorEastAsia" w:hAnsiTheme="majorBidi" w:cstheme="majorBidi"/>
        </w:rPr>
        <w:t>无线电规则委员会内部安排和工作方法。</w:t>
      </w:r>
    </w:p>
    <w:p w:rsidR="00AB71E9" w:rsidRPr="0031434E" w:rsidRDefault="00AB71E9" w:rsidP="00AB71E9">
      <w:pPr>
        <w:tabs>
          <w:tab w:val="left" w:pos="510"/>
        </w:tabs>
        <w:spacing w:before="120"/>
        <w:ind w:firstLineChars="200" w:firstLine="480"/>
        <w:jc w:val="both"/>
        <w:rPr>
          <w:rFonts w:asciiTheme="majorBidi" w:eastAsiaTheme="minorEastAsia" w:hAnsiTheme="majorBidi" w:cstheme="majorBidi"/>
        </w:rPr>
      </w:pPr>
      <w:r w:rsidRPr="0031434E">
        <w:rPr>
          <w:rFonts w:asciiTheme="majorBidi" w:eastAsiaTheme="minorEastAsia" w:hAnsiTheme="majorBidi" w:cstheme="majorBidi"/>
        </w:rPr>
        <w:t>按照《组织法》第</w:t>
      </w:r>
      <w:r w:rsidRPr="0031434E">
        <w:rPr>
          <w:rFonts w:asciiTheme="majorBidi" w:eastAsiaTheme="minorEastAsia" w:hAnsiTheme="majorBidi" w:cstheme="majorBidi"/>
        </w:rPr>
        <w:t>95</w:t>
      </w:r>
      <w:r w:rsidRPr="0031434E">
        <w:rPr>
          <w:rFonts w:asciiTheme="majorBidi" w:eastAsiaTheme="minorEastAsia" w:hAnsiTheme="majorBidi" w:cstheme="majorBidi"/>
        </w:rPr>
        <w:t>款的规定，无线电规则委员会批准了本《程序规则》，包括规则中所含的技术标准。</w:t>
      </w:r>
    </w:p>
    <w:p w:rsidR="00073A2C" w:rsidRDefault="00073A2C" w:rsidP="00073A2C">
      <w:pPr>
        <w:tabs>
          <w:tab w:val="left" w:pos="510"/>
        </w:tabs>
      </w:pPr>
    </w:p>
    <w:p w:rsidR="002F54DF" w:rsidRDefault="002F54DF">
      <w:pPr>
        <w:jc w:val="center"/>
      </w:pPr>
      <w:r>
        <w:t>______________</w:t>
      </w:r>
    </w:p>
    <w:p w:rsidR="002F54DF" w:rsidRDefault="002F54DF" w:rsidP="002F54DF"/>
    <w:p w:rsidR="00E03236" w:rsidRDefault="00E03236" w:rsidP="002F54DF"/>
    <w:p w:rsidR="00E03236" w:rsidRDefault="00E03236" w:rsidP="002F54DF"/>
    <w:p w:rsidR="00E03236" w:rsidRDefault="00E03236" w:rsidP="002F54DF"/>
    <w:p w:rsidR="00E03236" w:rsidRDefault="00E03236" w:rsidP="002F54DF"/>
    <w:p w:rsidR="00E03236" w:rsidRDefault="00E03236" w:rsidP="002F54DF"/>
    <w:p w:rsidR="00E03236" w:rsidRDefault="00E03236" w:rsidP="002F54DF"/>
    <w:p w:rsidR="00E03236" w:rsidRDefault="00E03236" w:rsidP="002F54DF">
      <w:pPr>
        <w:sectPr w:rsidR="00E03236" w:rsidSect="002F54DF">
          <w:headerReference w:type="default" r:id="rId6"/>
          <w:type w:val="oddPage"/>
          <w:pgSz w:w="11901" w:h="16840" w:code="9"/>
          <w:pgMar w:top="1701" w:right="851" w:bottom="1134" w:left="1985" w:header="720" w:footer="482" w:gutter="0"/>
          <w:cols w:space="720"/>
          <w:vAlign w:val="both"/>
          <w:docGrid w:linePitch="360"/>
        </w:sectPr>
      </w:pPr>
    </w:p>
    <w:p w:rsidR="006A03D5" w:rsidRPr="002F54DF" w:rsidRDefault="006A03D5" w:rsidP="002F54DF"/>
    <w:p w:rsidR="000A5071" w:rsidRPr="006A03D5" w:rsidRDefault="000A5071" w:rsidP="004F6BB1">
      <w:pPr>
        <w:rPr>
          <w:lang w:val="en-GB"/>
        </w:rPr>
      </w:pPr>
    </w:p>
    <w:sectPr w:rsidR="000A5071" w:rsidRPr="006A03D5" w:rsidSect="002F54DF">
      <w:headerReference w:type="default" r:id="rId7"/>
      <w:type w:val="oddPage"/>
      <w:pgSz w:w="11901" w:h="16840" w:code="9"/>
      <w:pgMar w:top="1701" w:right="851" w:bottom="1134" w:left="1985" w:header="720" w:footer="482"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B95" w:rsidRDefault="00496B95">
      <w:r>
        <w:separator/>
      </w:r>
    </w:p>
  </w:endnote>
  <w:endnote w:type="continuationSeparator" w:id="0">
    <w:p w:rsidR="00496B95" w:rsidRDefault="0049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B95" w:rsidRDefault="00496B95">
      <w:r>
        <w:separator/>
      </w:r>
    </w:p>
  </w:footnote>
  <w:footnote w:type="continuationSeparator" w:id="0">
    <w:p w:rsidR="00496B95" w:rsidRDefault="00496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073A2C" w:rsidTr="000E45CD">
      <w:trPr>
        <w:cantSplit/>
        <w:jc w:val="right"/>
      </w:trPr>
      <w:tc>
        <w:tcPr>
          <w:tcW w:w="1701" w:type="dxa"/>
          <w:tcBorders>
            <w:top w:val="single" w:sz="6" w:space="0" w:color="auto"/>
            <w:left w:val="single" w:sz="6" w:space="0" w:color="auto"/>
            <w:bottom w:val="single" w:sz="6" w:space="0" w:color="auto"/>
            <w:right w:val="single" w:sz="6" w:space="0" w:color="auto"/>
          </w:tcBorders>
        </w:tcPr>
        <w:p w:rsidR="00073A2C" w:rsidRPr="002F54DF" w:rsidRDefault="00073A2C" w:rsidP="000E45CD">
          <w:pPr>
            <w:pStyle w:val="HeaderRegProc"/>
            <w:rPr>
              <w:lang w:eastAsia="zh-CN"/>
            </w:rPr>
          </w:pPr>
          <w:r>
            <w:rPr>
              <w:rFonts w:hint="eastAsia"/>
              <w:lang w:eastAsia="zh-CN"/>
            </w:rPr>
            <w:t>前言</w:t>
          </w:r>
        </w:p>
      </w:tc>
      <w:tc>
        <w:tcPr>
          <w:tcW w:w="1701" w:type="dxa"/>
          <w:tcBorders>
            <w:top w:val="single" w:sz="6" w:space="0" w:color="auto"/>
            <w:left w:val="single" w:sz="6" w:space="0" w:color="auto"/>
            <w:bottom w:val="single" w:sz="6" w:space="0" w:color="auto"/>
            <w:right w:val="single" w:sz="6" w:space="0" w:color="auto"/>
          </w:tcBorders>
        </w:tcPr>
        <w:p w:rsidR="00073A2C" w:rsidRPr="002F54DF" w:rsidRDefault="00073A2C" w:rsidP="000E45CD">
          <w:pPr>
            <w:pStyle w:val="HeaderRegProc"/>
            <w:rPr>
              <w:lang w:val="en-US" w:eastAsia="zh-CN"/>
            </w:rPr>
          </w:pPr>
          <w:r>
            <w:rPr>
              <w:rFonts w:hint="eastAsia"/>
              <w:lang w:val="fr-CH" w:eastAsia="zh-CN"/>
            </w:rPr>
            <w:t>第</w:t>
          </w:r>
          <w:r w:rsidRPr="002F54DF">
            <w:rPr>
              <w:lang w:val="fr-CH"/>
            </w:rPr>
            <w:t xml:space="preserve"> </w:t>
          </w:r>
          <w:r w:rsidRPr="002F54DF">
            <w:rPr>
              <w:lang w:val="fr-CH"/>
            </w:rPr>
            <w:fldChar w:fldCharType="begin"/>
          </w:r>
          <w:r w:rsidRPr="002F54DF">
            <w:instrText xml:space="preserve"> PAGE </w:instrText>
          </w:r>
          <w:r w:rsidRPr="002F54DF">
            <w:rPr>
              <w:lang w:val="fr-CH"/>
            </w:rPr>
            <w:fldChar w:fldCharType="separate"/>
          </w:r>
          <w:r w:rsidR="00C95D88">
            <w:rPr>
              <w:noProof/>
            </w:rPr>
            <w:t>1</w:t>
          </w:r>
          <w:r w:rsidRPr="002F54DF">
            <w:rPr>
              <w:lang w:val="fr-CH"/>
            </w:rPr>
            <w:fldChar w:fldCharType="end"/>
          </w:r>
          <w:r>
            <w:rPr>
              <w:lang w:val="en-US" w:eastAsia="zh-CN"/>
            </w:rPr>
            <w:t xml:space="preserve"> </w:t>
          </w:r>
          <w:r>
            <w:rPr>
              <w:rFonts w:hint="eastAsia"/>
              <w:lang w:val="en-US" w:eastAsia="zh-CN"/>
            </w:rPr>
            <w:t>页</w:t>
          </w:r>
        </w:p>
      </w:tc>
      <w:tc>
        <w:tcPr>
          <w:tcW w:w="1701" w:type="dxa"/>
          <w:tcBorders>
            <w:top w:val="single" w:sz="6" w:space="0" w:color="auto"/>
            <w:left w:val="single" w:sz="6" w:space="0" w:color="auto"/>
            <w:bottom w:val="single" w:sz="6" w:space="0" w:color="auto"/>
            <w:right w:val="single" w:sz="6" w:space="0" w:color="auto"/>
          </w:tcBorders>
        </w:tcPr>
        <w:p w:rsidR="00073A2C" w:rsidRPr="006B1C41" w:rsidRDefault="00073A2C" w:rsidP="000E45CD">
          <w:pPr>
            <w:pStyle w:val="HeaderRegProc"/>
            <w:rPr>
              <w:lang w:val="en-US"/>
            </w:rPr>
          </w:pPr>
          <w:r>
            <w:rPr>
              <w:rFonts w:hint="eastAsia"/>
              <w:lang w:val="fr-CH" w:eastAsia="zh-CN"/>
            </w:rPr>
            <w:t>修订</w:t>
          </w:r>
          <w:r w:rsidR="008B3582">
            <w:rPr>
              <w:lang w:val="en-US" w:eastAsia="zh-CN"/>
            </w:rPr>
            <w:t xml:space="preserve"> </w:t>
          </w:r>
          <w:r w:rsidR="006B1C41">
            <w:rPr>
              <w:lang w:val="en-US"/>
            </w:rPr>
            <w:t>-</w:t>
          </w:r>
        </w:p>
      </w:tc>
    </w:tr>
  </w:tbl>
  <w:p w:rsidR="00073A2C" w:rsidRPr="002F54DF" w:rsidRDefault="00073A2C" w:rsidP="002F54DF">
    <w:pPr>
      <w:pStyle w:val="Heade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A2C" w:rsidRPr="002F54DF" w:rsidRDefault="00073A2C" w:rsidP="002F54DF">
    <w:pPr>
      <w:pStyle w:val="Heade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738"/>
    <w:rsid w:val="000577CF"/>
    <w:rsid w:val="00073A2C"/>
    <w:rsid w:val="0009344C"/>
    <w:rsid w:val="000A5071"/>
    <w:rsid w:val="000A751B"/>
    <w:rsid w:val="000B2D05"/>
    <w:rsid w:val="000C744A"/>
    <w:rsid w:val="000D0B7C"/>
    <w:rsid w:val="000D1852"/>
    <w:rsid w:val="000E45CD"/>
    <w:rsid w:val="001018F1"/>
    <w:rsid w:val="00113BD4"/>
    <w:rsid w:val="00115641"/>
    <w:rsid w:val="00157B00"/>
    <w:rsid w:val="00174094"/>
    <w:rsid w:val="00204981"/>
    <w:rsid w:val="00207123"/>
    <w:rsid w:val="00245258"/>
    <w:rsid w:val="00253C5F"/>
    <w:rsid w:val="002607E2"/>
    <w:rsid w:val="00285738"/>
    <w:rsid w:val="00295432"/>
    <w:rsid w:val="002A173A"/>
    <w:rsid w:val="002C1EC6"/>
    <w:rsid w:val="002D33C9"/>
    <w:rsid w:val="002F54DF"/>
    <w:rsid w:val="0031502A"/>
    <w:rsid w:val="003170EF"/>
    <w:rsid w:val="00394279"/>
    <w:rsid w:val="003B2A05"/>
    <w:rsid w:val="003C78EA"/>
    <w:rsid w:val="003E7859"/>
    <w:rsid w:val="00414E20"/>
    <w:rsid w:val="0048259A"/>
    <w:rsid w:val="004942EE"/>
    <w:rsid w:val="00496B95"/>
    <w:rsid w:val="004F6BB1"/>
    <w:rsid w:val="0056741E"/>
    <w:rsid w:val="0057653D"/>
    <w:rsid w:val="00582527"/>
    <w:rsid w:val="006056F1"/>
    <w:rsid w:val="00683191"/>
    <w:rsid w:val="006A03D5"/>
    <w:rsid w:val="006A2F0C"/>
    <w:rsid w:val="006B1C41"/>
    <w:rsid w:val="006E5C5E"/>
    <w:rsid w:val="007319D8"/>
    <w:rsid w:val="00775A12"/>
    <w:rsid w:val="00795B04"/>
    <w:rsid w:val="00796077"/>
    <w:rsid w:val="007A1152"/>
    <w:rsid w:val="007C3B62"/>
    <w:rsid w:val="007E33CE"/>
    <w:rsid w:val="00820A4C"/>
    <w:rsid w:val="008967C7"/>
    <w:rsid w:val="008B3582"/>
    <w:rsid w:val="008C5C83"/>
    <w:rsid w:val="0092050B"/>
    <w:rsid w:val="00934B1A"/>
    <w:rsid w:val="00956CB6"/>
    <w:rsid w:val="009D5561"/>
    <w:rsid w:val="009E4C2B"/>
    <w:rsid w:val="009F6474"/>
    <w:rsid w:val="00A37145"/>
    <w:rsid w:val="00A46666"/>
    <w:rsid w:val="00A53347"/>
    <w:rsid w:val="00A70CB6"/>
    <w:rsid w:val="00AB3540"/>
    <w:rsid w:val="00AB71E9"/>
    <w:rsid w:val="00AE7893"/>
    <w:rsid w:val="00B061D3"/>
    <w:rsid w:val="00B10D65"/>
    <w:rsid w:val="00B3278B"/>
    <w:rsid w:val="00B9659A"/>
    <w:rsid w:val="00BA7503"/>
    <w:rsid w:val="00BB6FA5"/>
    <w:rsid w:val="00C034EA"/>
    <w:rsid w:val="00C05B56"/>
    <w:rsid w:val="00C0729A"/>
    <w:rsid w:val="00C114B3"/>
    <w:rsid w:val="00C156A6"/>
    <w:rsid w:val="00C911F8"/>
    <w:rsid w:val="00C9211A"/>
    <w:rsid w:val="00C95D88"/>
    <w:rsid w:val="00CA0379"/>
    <w:rsid w:val="00CA7069"/>
    <w:rsid w:val="00CC0F5C"/>
    <w:rsid w:val="00CC31CC"/>
    <w:rsid w:val="00D12D25"/>
    <w:rsid w:val="00D16576"/>
    <w:rsid w:val="00D67FAE"/>
    <w:rsid w:val="00D93FBB"/>
    <w:rsid w:val="00DA497F"/>
    <w:rsid w:val="00DB0B3E"/>
    <w:rsid w:val="00E023F8"/>
    <w:rsid w:val="00E03236"/>
    <w:rsid w:val="00E07C5A"/>
    <w:rsid w:val="00E11552"/>
    <w:rsid w:val="00E528B4"/>
    <w:rsid w:val="00E92C90"/>
    <w:rsid w:val="00EF2B44"/>
    <w:rsid w:val="00F05B06"/>
    <w:rsid w:val="00F40CD1"/>
    <w:rsid w:val="00F86EFF"/>
    <w:rsid w:val="00F91073"/>
    <w:rsid w:val="00F97D07"/>
    <w:rsid w:val="00FA6DBA"/>
    <w:rsid w:val="00FB32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D67A5F9-0AA7-4A11-8E99-42649E53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09344C"/>
    <w:pPr>
      <w:keepNext/>
      <w:tabs>
        <w:tab w:val="left" w:pos="1134"/>
        <w:tab w:val="left" w:pos="1871"/>
      </w:tabs>
      <w:spacing w:before="240"/>
      <w:outlineLvl w:val="0"/>
    </w:pPr>
    <w:rPr>
      <w:rFonts w:cs="Arial"/>
      <w:b/>
      <w:bCs/>
      <w:kern w:val="32"/>
      <w:sz w:val="28"/>
      <w:szCs w:val="32"/>
    </w:rPr>
  </w:style>
  <w:style w:type="paragraph" w:styleId="Heading2">
    <w:name w:val="heading 2"/>
    <w:basedOn w:val="Heading1"/>
    <w:next w:val="Normal"/>
    <w:link w:val="Heading2Char"/>
    <w:qFormat/>
    <w:rsid w:val="006A03D5"/>
    <w:pPr>
      <w:keepLines/>
      <w:overflowPunct w:val="0"/>
      <w:autoSpaceDE w:val="0"/>
      <w:autoSpaceDN w:val="0"/>
      <w:adjustRightInd w:val="0"/>
      <w:spacing w:before="840"/>
      <w:jc w:val="center"/>
      <w:textAlignment w:val="baseline"/>
      <w:outlineLvl w:val="1"/>
    </w:pPr>
    <w:rPr>
      <w:rFonts w:cs="Times New Roman"/>
      <w:bCs w:val="0"/>
      <w:kern w:val="0"/>
      <w:sz w:val="2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Figure">
    <w:name w:val="Figure"/>
    <w:basedOn w:val="Normal"/>
    <w:rsid w:val="006A03D5"/>
    <w:pPr>
      <w:keepNext/>
      <w:keepLines/>
      <w:tabs>
        <w:tab w:val="left" w:pos="1134"/>
        <w:tab w:val="left" w:pos="1871"/>
        <w:tab w:val="left" w:pos="2268"/>
      </w:tabs>
      <w:overflowPunct w:val="0"/>
      <w:autoSpaceDE w:val="0"/>
      <w:autoSpaceDN w:val="0"/>
      <w:adjustRightInd w:val="0"/>
      <w:spacing w:before="240"/>
      <w:jc w:val="center"/>
      <w:textAlignment w:val="baseline"/>
    </w:pPr>
    <w:rPr>
      <w:szCs w:val="20"/>
      <w:lang w:val="en-GB" w:eastAsia="en-US"/>
    </w:rPr>
  </w:style>
  <w:style w:type="paragraph" w:customStyle="1" w:styleId="MEP">
    <w:name w:val="MEP"/>
    <w:basedOn w:val="Normal"/>
    <w:rsid w:val="006A03D5"/>
    <w:pPr>
      <w:tabs>
        <w:tab w:val="left" w:pos="1134"/>
        <w:tab w:val="left" w:pos="1871"/>
        <w:tab w:val="left" w:pos="2268"/>
      </w:tabs>
      <w:overflowPunct w:val="0"/>
      <w:autoSpaceDE w:val="0"/>
      <w:autoSpaceDN w:val="0"/>
      <w:adjustRightInd w:val="0"/>
      <w:spacing w:before="200"/>
      <w:jc w:val="both"/>
      <w:textAlignment w:val="baseline"/>
    </w:pPr>
    <w:rPr>
      <w:szCs w:val="20"/>
      <w:lang w:val="en-GB" w:eastAsia="en-US"/>
    </w:rPr>
  </w:style>
  <w:style w:type="paragraph" w:customStyle="1" w:styleId="1">
    <w:name w:val="正文1"/>
    <w:basedOn w:val="Normal"/>
    <w:rsid w:val="006A03D5"/>
    <w:pPr>
      <w:widowControl w:val="0"/>
      <w:tabs>
        <w:tab w:val="left" w:pos="1104"/>
      </w:tabs>
      <w:overflowPunct w:val="0"/>
      <w:topLinePunct/>
      <w:spacing w:before="540"/>
      <w:jc w:val="both"/>
      <w:textAlignment w:val="baseline"/>
    </w:pPr>
    <w:rPr>
      <w:kern w:val="21"/>
      <w:sz w:val="21"/>
      <w:szCs w:val="20"/>
      <w:lang w:val="en-GB"/>
    </w:rPr>
  </w:style>
  <w:style w:type="paragraph" w:customStyle="1" w:styleId="5H">
    <w:name w:val="5H"/>
    <w:basedOn w:val="1"/>
    <w:rsid w:val="006A03D5"/>
    <w:rPr>
      <w:rFonts w:ascii="Times New Roman MT Extra Bold" w:eastAsia="SimHei" w:hAnsi="Times New Roman MT Extra Bold"/>
      <w:bCs/>
    </w:rPr>
  </w:style>
  <w:style w:type="paragraph" w:customStyle="1" w:styleId="Normalaftertitle">
    <w:name w:val="Normal after title"/>
    <w:basedOn w:val="Normal"/>
    <w:next w:val="Normal"/>
    <w:rsid w:val="00EF2B44"/>
    <w:pPr>
      <w:tabs>
        <w:tab w:val="left" w:pos="510"/>
        <w:tab w:val="left" w:pos="1134"/>
        <w:tab w:val="left" w:pos="1871"/>
        <w:tab w:val="left" w:pos="2268"/>
      </w:tabs>
      <w:overflowPunct w:val="0"/>
      <w:autoSpaceDE w:val="0"/>
      <w:autoSpaceDN w:val="0"/>
      <w:adjustRightInd w:val="0"/>
      <w:spacing w:before="360"/>
      <w:jc w:val="both"/>
      <w:textAlignment w:val="baseline"/>
    </w:pPr>
    <w:rPr>
      <w:szCs w:val="20"/>
      <w:lang w:val="en-GB" w:eastAsia="en-US"/>
    </w:rPr>
  </w:style>
  <w:style w:type="character" w:styleId="PageNumber">
    <w:name w:val="page number"/>
    <w:basedOn w:val="DefaultParagraphFont"/>
    <w:rsid w:val="006A03D5"/>
  </w:style>
  <w:style w:type="paragraph" w:customStyle="1" w:styleId="HeaderRegProc">
    <w:name w:val="Header_RegProc"/>
    <w:basedOn w:val="Normal"/>
    <w:rsid w:val="002F54DF"/>
    <w:pPr>
      <w:tabs>
        <w:tab w:val="center" w:pos="4678"/>
        <w:tab w:val="right" w:pos="9356"/>
      </w:tabs>
      <w:overflowPunct w:val="0"/>
      <w:autoSpaceDE w:val="0"/>
      <w:autoSpaceDN w:val="0"/>
      <w:adjustRightInd w:val="0"/>
      <w:spacing w:before="4"/>
      <w:ind w:left="142"/>
      <w:jc w:val="both"/>
      <w:textAlignment w:val="baseline"/>
    </w:pPr>
    <w:rPr>
      <w:rFonts w:ascii="Arial" w:hAnsi="Arial" w:cs="Arial"/>
      <w:bCs/>
      <w:sz w:val="20"/>
      <w:szCs w:val="20"/>
      <w:lang w:val="es-ES" w:eastAsia="en-US"/>
    </w:rPr>
  </w:style>
  <w:style w:type="paragraph" w:customStyle="1" w:styleId="StyleHeading212pt">
    <w:name w:val="Style Heading 2 + 12 pt"/>
    <w:basedOn w:val="Heading2"/>
    <w:link w:val="StyleHeading212ptChar"/>
    <w:rsid w:val="0009344C"/>
    <w:pPr>
      <w:spacing w:before="480"/>
    </w:pPr>
    <w:rPr>
      <w:szCs w:val="24"/>
    </w:rPr>
  </w:style>
  <w:style w:type="character" w:customStyle="1" w:styleId="Heading1Char">
    <w:name w:val="Heading 1 Char"/>
    <w:basedOn w:val="DefaultParagraphFont"/>
    <w:link w:val="Heading1"/>
    <w:rsid w:val="0009344C"/>
    <w:rPr>
      <w:rFonts w:eastAsia="SimSun" w:cs="Arial"/>
      <w:b/>
      <w:bCs/>
      <w:kern w:val="32"/>
      <w:sz w:val="28"/>
      <w:szCs w:val="32"/>
      <w:lang w:val="en-US" w:eastAsia="zh-CN" w:bidi="ar-SA"/>
    </w:rPr>
  </w:style>
  <w:style w:type="character" w:customStyle="1" w:styleId="Heading2Char">
    <w:name w:val="Heading 2 Char"/>
    <w:basedOn w:val="Heading1Char"/>
    <w:link w:val="Heading2"/>
    <w:rsid w:val="0009344C"/>
    <w:rPr>
      <w:rFonts w:eastAsia="SimSun" w:cs="Arial"/>
      <w:b/>
      <w:bCs/>
      <w:kern w:val="32"/>
      <w:sz w:val="26"/>
      <w:szCs w:val="32"/>
      <w:lang w:val="en-GB" w:eastAsia="zh-CN" w:bidi="ar-SA"/>
    </w:rPr>
  </w:style>
  <w:style w:type="character" w:customStyle="1" w:styleId="StyleHeading212ptChar">
    <w:name w:val="Style Heading 2 + 12 pt Char"/>
    <w:basedOn w:val="Heading2Char"/>
    <w:link w:val="StyleHeading212pt"/>
    <w:rsid w:val="0009344C"/>
    <w:rPr>
      <w:rFonts w:eastAsia="SimSun" w:cs="Arial"/>
      <w:b/>
      <w:bCs/>
      <w:kern w:val="32"/>
      <w:sz w:val="26"/>
      <w:szCs w:val="24"/>
      <w:lang w:val="en-GB" w:eastAsia="zh-CN" w:bidi="ar-SA"/>
    </w:rPr>
  </w:style>
  <w:style w:type="paragraph" w:customStyle="1" w:styleId="StylenormalaftertitreJustified">
    <w:name w:val="Style normal after titre + Justified"/>
    <w:basedOn w:val="Normal"/>
    <w:rsid w:val="00EF2B44"/>
    <w:pPr>
      <w:spacing w:before="360"/>
      <w:jc w:val="both"/>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68</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Gao, Lili</cp:lastModifiedBy>
  <cp:revision>6</cp:revision>
  <cp:lastPrinted>1999-11-03T08:25:00Z</cp:lastPrinted>
  <dcterms:created xsi:type="dcterms:W3CDTF">2012-09-06T08:29:00Z</dcterms:created>
  <dcterms:modified xsi:type="dcterms:W3CDTF">2017-04-11T12:45:00Z</dcterms:modified>
</cp:coreProperties>
</file>