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2B00C1" w:rsidP="00C46AC3">
      <w:pPr>
        <w:tabs>
          <w:tab w:val="clear" w:pos="1191"/>
          <w:tab w:val="clear" w:pos="1588"/>
          <w:tab w:val="clear" w:pos="1985"/>
        </w:tabs>
        <w:spacing w:before="300"/>
        <w:jc w:val="center"/>
        <w:rPr>
          <w:rFonts w:ascii="Times New Roman Bold" w:hAnsi="Times New Roman Bold"/>
          <w:b/>
          <w:bCs/>
          <w:sz w:val="30"/>
          <w:szCs w:val="40"/>
          <w:rtl/>
          <w:lang w:val="en-US"/>
        </w:rPr>
      </w:pPr>
      <w:r w:rsidRPr="002B00C1">
        <w:rPr>
          <w:rFonts w:ascii="Times New Roman Bold" w:hAnsi="Times New Roman Bold" w:hint="cs"/>
          <w:b/>
          <w:bCs/>
          <w:sz w:val="30"/>
          <w:szCs w:val="40"/>
          <w:rtl/>
          <w:lang w:bidi="ar-EG"/>
        </w:rPr>
        <w:t xml:space="preserve">الجزء </w:t>
      </w:r>
      <w:r w:rsidR="00C46AC3">
        <w:rPr>
          <w:rFonts w:ascii="Times New Roman Bold" w:hAnsi="Times New Roman Bold"/>
          <w:b/>
          <w:bCs/>
          <w:sz w:val="30"/>
          <w:szCs w:val="40"/>
          <w:lang w:val="en-US" w:bidi="ar-EG"/>
        </w:rPr>
        <w:t>4</w:t>
      </w:r>
      <w:r w:rsidRPr="002B00C1">
        <w:rPr>
          <w:rFonts w:ascii="Times New Roman Bold" w:hAnsi="Times New Roman Bold"/>
          <w:b/>
          <w:bCs/>
          <w:sz w:val="30"/>
          <w:szCs w:val="40"/>
          <w:lang w:val="en-US" w:bidi="ar-EG"/>
        </w:rPr>
        <w:t>A</w:t>
      </w:r>
    </w:p>
    <w:p w:rsidR="00920920" w:rsidRPr="002B00C1" w:rsidRDefault="00920920" w:rsidP="00920920">
      <w:pPr>
        <w:tabs>
          <w:tab w:val="clear" w:pos="1191"/>
          <w:tab w:val="clear" w:pos="1588"/>
          <w:tab w:val="clear" w:pos="1985"/>
        </w:tabs>
        <w:jc w:val="center"/>
        <w:rPr>
          <w:rFonts w:ascii="Times New Roman Bold" w:hAnsi="Times New Roman Bold"/>
          <w:b/>
          <w:bCs/>
          <w:sz w:val="30"/>
          <w:szCs w:val="40"/>
          <w:rtl/>
          <w:lang w:val="en-US"/>
        </w:rPr>
      </w:pPr>
    </w:p>
    <w:p w:rsidR="00EF788A" w:rsidRDefault="00EF788A" w:rsidP="00EF788A">
      <w:pPr>
        <w:pStyle w:val="Title"/>
        <w:spacing w:after="240" w:line="180" w:lineRule="auto"/>
        <w:rPr>
          <w:rFonts w:ascii="Times New Roman Bold" w:hAnsi="Times New Roman Bold" w:cs="Traditional Arabic"/>
          <w:sz w:val="30"/>
          <w:szCs w:val="40"/>
          <w:rtl/>
        </w:rPr>
      </w:pPr>
      <w:r w:rsidRPr="00EF788A">
        <w:rPr>
          <w:rFonts w:ascii="Times New Roman Bold" w:hAnsi="Times New Roman Bold" w:cs="Traditional Arabic"/>
          <w:sz w:val="30"/>
          <w:szCs w:val="40"/>
          <w:rtl/>
        </w:rPr>
        <w:t>القواعد المتعلقة بالاتفاق الإقليمي المعني باستعمال الخدمة الإذاعية</w:t>
      </w:r>
      <w:r w:rsidRPr="00EF788A">
        <w:rPr>
          <w:rFonts w:ascii="Times New Roman Bold" w:hAnsi="Times New Roman Bold" w:cs="Traditional Arabic"/>
          <w:sz w:val="30"/>
          <w:szCs w:val="40"/>
          <w:rtl/>
        </w:rPr>
        <w:br/>
        <w:t xml:space="preserve">للنطاق </w:t>
      </w:r>
      <w:r w:rsidRPr="00EF788A">
        <w:rPr>
          <w:rFonts w:ascii="Times New Roman Bold" w:hAnsi="Times New Roman Bold" w:cs="Traditional Arabic"/>
          <w:sz w:val="30"/>
          <w:szCs w:val="40"/>
        </w:rPr>
        <w:t>kHz 1</w:t>
      </w:r>
      <w:r w:rsidR="0029743B">
        <w:rPr>
          <w:rFonts w:ascii="Times New Roman Bold" w:hAnsi="Times New Roman Bold" w:cs="Traditional Arabic"/>
          <w:sz w:val="30"/>
          <w:szCs w:val="40"/>
        </w:rPr>
        <w:t> </w:t>
      </w:r>
      <w:r w:rsidRPr="00EF788A">
        <w:rPr>
          <w:rFonts w:ascii="Times New Roman Bold" w:hAnsi="Times New Roman Bold" w:cs="Traditional Arabic"/>
          <w:sz w:val="30"/>
          <w:szCs w:val="40"/>
        </w:rPr>
        <w:t>605-535</w:t>
      </w:r>
      <w:r w:rsidRPr="00EF788A">
        <w:rPr>
          <w:rFonts w:ascii="Times New Roman Bold" w:hAnsi="Times New Roman Bold" w:cs="Traditional Arabic"/>
          <w:sz w:val="30"/>
          <w:szCs w:val="40"/>
          <w:rtl/>
        </w:rPr>
        <w:t xml:space="preserve"> في الإقليم </w:t>
      </w:r>
      <w:r w:rsidRPr="00EF788A">
        <w:rPr>
          <w:rFonts w:ascii="Times New Roman Bold" w:hAnsi="Times New Roman Bold" w:cs="Traditional Arabic"/>
          <w:sz w:val="30"/>
          <w:szCs w:val="40"/>
        </w:rPr>
        <w:t>2</w:t>
      </w:r>
      <w:r w:rsidRPr="00EF788A">
        <w:rPr>
          <w:rFonts w:ascii="Times New Roman Bold" w:hAnsi="Times New Roman Bold" w:cs="Traditional Arabic"/>
          <w:sz w:val="30"/>
          <w:szCs w:val="40"/>
          <w:rtl/>
        </w:rPr>
        <w:br/>
        <w:t xml:space="preserve">(ريو دي جانيرو، </w:t>
      </w:r>
      <w:r w:rsidRPr="00EF788A">
        <w:rPr>
          <w:rFonts w:ascii="Times New Roman Bold" w:hAnsi="Times New Roman Bold" w:cs="Traditional Arabic"/>
          <w:sz w:val="30"/>
          <w:szCs w:val="40"/>
        </w:rPr>
        <w:t>(1981</w:t>
      </w:r>
      <w:r w:rsidRPr="00EF788A">
        <w:rPr>
          <w:rFonts w:ascii="Times New Roman Bold" w:hAnsi="Times New Roman Bold" w:cs="Traditional Arabic"/>
          <w:sz w:val="30"/>
          <w:szCs w:val="40"/>
          <w:rtl/>
        </w:rPr>
        <w:t xml:space="preserve"> </w:t>
      </w:r>
      <w:r w:rsidRPr="00EF788A">
        <w:rPr>
          <w:rFonts w:ascii="Times New Roman Bold" w:hAnsi="Times New Roman Bold" w:cs="Traditional Arabic"/>
          <w:sz w:val="30"/>
          <w:szCs w:val="40"/>
        </w:rPr>
        <w:t>(RJ81)</w:t>
      </w:r>
    </w:p>
    <w:p w:rsidR="00EF788A" w:rsidRPr="00920920" w:rsidRDefault="00EF788A" w:rsidP="00EF788A">
      <w:pPr>
        <w:pStyle w:val="Title"/>
        <w:spacing w:after="240" w:line="180" w:lineRule="auto"/>
        <w:rPr>
          <w:rFonts w:ascii="Times New Roman Bold" w:hAnsi="Times New Roman Bold" w:cs="Traditional Arabic"/>
          <w:sz w:val="8"/>
          <w:szCs w:val="18"/>
          <w:rtl/>
        </w:rPr>
      </w:pPr>
    </w:p>
    <w:tbl>
      <w:tblPr>
        <w:bidiVisual/>
        <w:tblW w:w="0" w:type="auto"/>
        <w:tblLayout w:type="fixed"/>
        <w:tblLook w:val="0000" w:firstRow="0" w:lastRow="0" w:firstColumn="0" w:lastColumn="0" w:noHBand="0" w:noVBand="0"/>
      </w:tblPr>
      <w:tblGrid>
        <w:gridCol w:w="1043"/>
        <w:gridCol w:w="7479"/>
      </w:tblGrid>
      <w:tr w:rsidR="00EF788A" w:rsidRPr="00D22B77">
        <w:tc>
          <w:tcPr>
            <w:tcW w:w="1043" w:type="dxa"/>
            <w:tcBorders>
              <w:top w:val="double" w:sz="6" w:space="0" w:color="auto"/>
              <w:left w:val="double" w:sz="6" w:space="0" w:color="auto"/>
              <w:bottom w:val="double" w:sz="6" w:space="0" w:color="auto"/>
              <w:right w:val="double" w:sz="6" w:space="0" w:color="auto"/>
            </w:tcBorders>
          </w:tcPr>
          <w:p w:rsidR="00EF788A" w:rsidRPr="00D22B77" w:rsidRDefault="00EF788A" w:rsidP="00EF788A">
            <w:pPr>
              <w:spacing w:before="40" w:after="40" w:line="-240" w:lineRule="auto"/>
              <w:rPr>
                <w:rtl/>
              </w:rPr>
            </w:pPr>
            <w:r w:rsidRPr="00D22B77">
              <w:rPr>
                <w:rtl/>
              </w:rPr>
              <w:br w:type="page"/>
            </w:r>
            <w:r w:rsidRPr="00D22B77">
              <w:rPr>
                <w:rtl/>
              </w:rPr>
              <w:br w:type="page"/>
            </w:r>
            <w:r w:rsidRPr="00D22B77">
              <w:rPr>
                <w:b/>
                <w:bCs/>
                <w:rtl/>
              </w:rPr>
              <w:t xml:space="preserve">المادة </w:t>
            </w:r>
            <w:r>
              <w:rPr>
                <w:b/>
                <w:bCs/>
              </w:rPr>
              <w:t>3</w:t>
            </w:r>
          </w:p>
        </w:tc>
        <w:tc>
          <w:tcPr>
            <w:tcW w:w="7479" w:type="dxa"/>
          </w:tcPr>
          <w:p w:rsidR="00EF788A" w:rsidRPr="00D22B77" w:rsidRDefault="00EF788A" w:rsidP="00EF788A">
            <w:pPr>
              <w:spacing w:before="40" w:after="40" w:line="-240" w:lineRule="auto"/>
              <w:rPr>
                <w:rtl/>
              </w:rPr>
            </w:pPr>
          </w:p>
        </w:tc>
      </w:tr>
    </w:tbl>
    <w:p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816"/>
        <w:gridCol w:w="7904"/>
      </w:tblGrid>
      <w:tr w:rsidR="00EF788A" w:rsidRPr="00D22B77">
        <w:tc>
          <w:tcPr>
            <w:tcW w:w="816" w:type="dxa"/>
            <w:tcBorders>
              <w:top w:val="single" w:sz="6" w:space="0" w:color="auto"/>
              <w:left w:val="single" w:sz="6" w:space="0" w:color="auto"/>
              <w:bottom w:val="single" w:sz="6" w:space="0" w:color="auto"/>
              <w:right w:val="single" w:sz="6" w:space="0" w:color="auto"/>
            </w:tcBorders>
          </w:tcPr>
          <w:p w:rsidR="00EF788A" w:rsidRPr="00920920" w:rsidRDefault="00C47E40" w:rsidP="00EF788A">
            <w:pPr>
              <w:spacing w:before="40" w:after="40" w:line="240" w:lineRule="exact"/>
              <w:rPr>
                <w:b/>
                <w:bCs/>
                <w:rtl/>
                <w:lang w:val="en-US"/>
              </w:rPr>
            </w:pPr>
            <w:r>
              <w:rPr>
                <w:b/>
                <w:bCs/>
              </w:rPr>
              <w:t>1.</w:t>
            </w:r>
            <w:r w:rsidR="00EF788A" w:rsidRPr="00D22B77">
              <w:rPr>
                <w:b/>
                <w:bCs/>
              </w:rPr>
              <w:t>3</w:t>
            </w:r>
          </w:p>
        </w:tc>
        <w:tc>
          <w:tcPr>
            <w:tcW w:w="7904" w:type="dxa"/>
          </w:tcPr>
          <w:p w:rsidR="00EF788A" w:rsidRPr="00D22B77" w:rsidRDefault="00EF788A" w:rsidP="00EF788A">
            <w:pPr>
              <w:spacing w:before="20" w:line="-240" w:lineRule="auto"/>
              <w:rPr>
                <w:b/>
                <w:bCs/>
                <w:rtl/>
              </w:rPr>
            </w:pPr>
          </w:p>
        </w:tc>
      </w:tr>
    </w:tbl>
    <w:p w:rsidR="00EF788A" w:rsidRPr="00D22B77" w:rsidRDefault="00EF788A" w:rsidP="0009689E">
      <w:pPr>
        <w:spacing w:before="240"/>
        <w:rPr>
          <w:rtl/>
        </w:rPr>
      </w:pPr>
      <w:r w:rsidRPr="00D22B77">
        <w:rPr>
          <w:rtl/>
        </w:rPr>
        <w:t xml:space="preserve">تقسم بلدان الإقليم </w:t>
      </w:r>
      <w:r w:rsidRPr="00D22B77">
        <w:t>2</w:t>
      </w:r>
      <w:r w:rsidRPr="00D22B77">
        <w:rPr>
          <w:rtl/>
        </w:rPr>
        <w:t xml:space="preserve"> إلى ثلاث مجموعات عند تطبيق هذا الاتفاق:</w:t>
      </w:r>
    </w:p>
    <w:p w:rsidR="00EF788A" w:rsidRPr="00D22B77" w:rsidRDefault="00EF788A" w:rsidP="00920920">
      <w:pPr>
        <w:tabs>
          <w:tab w:val="left" w:pos="1134"/>
        </w:tabs>
        <w:rPr>
          <w:rtl/>
        </w:rPr>
      </w:pPr>
      <w:r w:rsidRPr="00D22B77">
        <w:rPr>
          <w:i/>
          <w:iCs/>
          <w:rtl/>
        </w:rPr>
        <w:t xml:space="preserve">المجموعة </w:t>
      </w:r>
      <w:r w:rsidRPr="00D22B77">
        <w:rPr>
          <w:i/>
          <w:iCs/>
        </w:rPr>
        <w:t>A</w:t>
      </w:r>
      <w:r w:rsidRPr="00D22B77">
        <w:rPr>
          <w:rtl/>
        </w:rPr>
        <w:t>:</w:t>
      </w:r>
      <w:r w:rsidRPr="00D22B77">
        <w:rPr>
          <w:rtl/>
        </w:rPr>
        <w:tab/>
        <w:t>البلدان التي وق</w:t>
      </w:r>
      <w:r w:rsidR="00DA4DE6">
        <w:rPr>
          <w:rFonts w:hint="cs"/>
          <w:rtl/>
        </w:rPr>
        <w:t>ّ</w:t>
      </w:r>
      <w:r w:rsidRPr="00D22B77">
        <w:rPr>
          <w:rtl/>
        </w:rPr>
        <w:t>عت على الوثائق الختامية للمؤتمر أو التي انضمت إلى الاتفاق الإقليمي.</w:t>
      </w:r>
    </w:p>
    <w:p w:rsidR="00EF788A" w:rsidRPr="00D22B77" w:rsidRDefault="00EF788A" w:rsidP="0029743B">
      <w:pPr>
        <w:tabs>
          <w:tab w:val="left" w:pos="1134"/>
        </w:tabs>
        <w:ind w:left="1134" w:hanging="1134"/>
        <w:rPr>
          <w:rtl/>
        </w:rPr>
      </w:pPr>
      <w:r w:rsidRPr="00D22B77">
        <w:rPr>
          <w:i/>
          <w:iCs/>
          <w:rtl/>
        </w:rPr>
        <w:t>المجموعة</w:t>
      </w:r>
      <w:r w:rsidRPr="00D22B77">
        <w:rPr>
          <w:rtl/>
        </w:rPr>
        <w:t xml:space="preserve"> </w:t>
      </w:r>
      <w:r w:rsidRPr="00D22B77">
        <w:rPr>
          <w:i/>
          <w:iCs/>
        </w:rPr>
        <w:t>B</w:t>
      </w:r>
      <w:r w:rsidRPr="00D22B77">
        <w:rPr>
          <w:rtl/>
        </w:rPr>
        <w:t xml:space="preserve">: </w:t>
      </w:r>
      <w:r w:rsidRPr="00D22B77">
        <w:rPr>
          <w:rtl/>
        </w:rPr>
        <w:tab/>
        <w:t xml:space="preserve">البلدان التي ليست أطرافاً في الاتفاق ولكنها أحاطت اللجنة علماً بأنها تتعهد بالتقيد بأحكام القرارات </w:t>
      </w:r>
      <w:r w:rsidRPr="00D22B77">
        <w:t>2</w:t>
      </w:r>
      <w:r w:rsidRPr="00D22B77">
        <w:rPr>
          <w:rtl/>
        </w:rPr>
        <w:t xml:space="preserve"> و</w:t>
      </w:r>
      <w:r w:rsidRPr="00D22B77">
        <w:t>3</w:t>
      </w:r>
      <w:r w:rsidRPr="00D22B77">
        <w:rPr>
          <w:rtl/>
        </w:rPr>
        <w:t xml:space="preserve"> و</w:t>
      </w:r>
      <w:r w:rsidRPr="00D22B77">
        <w:t>4</w:t>
      </w:r>
      <w:r w:rsidRPr="00D22B77">
        <w:rPr>
          <w:rtl/>
        </w:rPr>
        <w:t xml:space="preserve">. وهذه البلدان هي، حتى هذا اليوم: بوليفيا </w:t>
      </w:r>
      <w:bookmarkStart w:id="0" w:name="_GoBack"/>
      <w:bookmarkEnd w:id="0"/>
      <w:r w:rsidRPr="00D22B77">
        <w:rPr>
          <w:rtl/>
        </w:rPr>
        <w:t xml:space="preserve">وبربادوس </w:t>
      </w:r>
      <w:r w:rsidR="0029743B">
        <w:rPr>
          <w:rFonts w:hint="cs"/>
          <w:rtl/>
        </w:rPr>
        <w:t>والدانمارك</w:t>
      </w:r>
      <w:r w:rsidRPr="00D22B77">
        <w:rPr>
          <w:rtl/>
        </w:rPr>
        <w:t xml:space="preserve"> وغواتيمالا وهندوراس وهايتي وسانتا لوسيا والسلفادور وسورينام.</w:t>
      </w:r>
    </w:p>
    <w:p w:rsidR="00EF788A" w:rsidRDefault="00EF788A" w:rsidP="00955667">
      <w:pPr>
        <w:tabs>
          <w:tab w:val="left" w:pos="1134"/>
        </w:tabs>
        <w:rPr>
          <w:rtl/>
        </w:rPr>
      </w:pPr>
      <w:r w:rsidRPr="00D22B77">
        <w:rPr>
          <w:i/>
          <w:iCs/>
          <w:rtl/>
        </w:rPr>
        <w:t>المجموعة</w:t>
      </w:r>
      <w:r w:rsidRPr="00D22B77">
        <w:rPr>
          <w:rtl/>
        </w:rPr>
        <w:t xml:space="preserve"> </w:t>
      </w:r>
      <w:r w:rsidRPr="00D22B77">
        <w:rPr>
          <w:i/>
          <w:iCs/>
        </w:rPr>
        <w:t>C</w:t>
      </w:r>
      <w:r w:rsidRPr="00D22B77">
        <w:rPr>
          <w:rtl/>
        </w:rPr>
        <w:t xml:space="preserve">: </w:t>
      </w:r>
      <w:r w:rsidRPr="00D22B77">
        <w:rPr>
          <w:rtl/>
        </w:rPr>
        <w:tab/>
        <w:t>البلدان التي ليست أطرافاً في الاتفاق. و</w:t>
      </w:r>
      <w:r w:rsidR="00955667">
        <w:rPr>
          <w:rFonts w:hint="cs"/>
          <w:rtl/>
        </w:rPr>
        <w:t>تضم هذه المجموعة بلدين</w:t>
      </w:r>
      <w:r w:rsidRPr="00D22B77">
        <w:rPr>
          <w:rtl/>
        </w:rPr>
        <w:t>: كوبا والجمهورية الدومينيكية.</w:t>
      </w:r>
    </w:p>
    <w:p w:rsidR="00920920" w:rsidRPr="00D22B77" w:rsidRDefault="00920920" w:rsidP="00920920">
      <w:pPr>
        <w:tabs>
          <w:tab w:val="left" w:pos="1134"/>
        </w:tabs>
        <w:rPr>
          <w:rtl/>
        </w:rPr>
      </w:pPr>
    </w:p>
    <w:tbl>
      <w:tblPr>
        <w:bidiVisual/>
        <w:tblW w:w="0" w:type="auto"/>
        <w:tblLayout w:type="fixed"/>
        <w:tblLook w:val="0000" w:firstRow="0" w:lastRow="0" w:firstColumn="0" w:lastColumn="0" w:noHBand="0" w:noVBand="0"/>
      </w:tblPr>
      <w:tblGrid>
        <w:gridCol w:w="1043"/>
        <w:gridCol w:w="7479"/>
      </w:tblGrid>
      <w:tr w:rsidR="00EF788A" w:rsidRPr="00955667">
        <w:tc>
          <w:tcPr>
            <w:tcW w:w="1043" w:type="dxa"/>
            <w:tcBorders>
              <w:top w:val="double" w:sz="6" w:space="0" w:color="auto"/>
              <w:left w:val="double" w:sz="6" w:space="0" w:color="auto"/>
              <w:bottom w:val="double" w:sz="6" w:space="0" w:color="auto"/>
              <w:right w:val="double" w:sz="6" w:space="0" w:color="auto"/>
            </w:tcBorders>
          </w:tcPr>
          <w:p w:rsidR="00EF788A" w:rsidRPr="00955667" w:rsidRDefault="0029743B" w:rsidP="00EF788A">
            <w:pPr>
              <w:spacing w:before="40" w:afterLines="40" w:after="96" w:line="240" w:lineRule="exact"/>
              <w:rPr>
                <w:b/>
                <w:bCs/>
                <w:rtl/>
                <w:lang w:val="en-US"/>
              </w:rPr>
            </w:pPr>
            <w:r>
              <w:rPr>
                <w:b/>
                <w:bCs/>
                <w:rtl/>
              </w:rPr>
              <w:br w:type="page"/>
            </w:r>
            <w:r>
              <w:rPr>
                <w:b/>
                <w:bCs/>
                <w:rtl/>
              </w:rPr>
              <w:br w:type="page"/>
              <w:t>الم</w:t>
            </w:r>
            <w:r w:rsidR="00EF788A" w:rsidRPr="00EF788A">
              <w:rPr>
                <w:b/>
                <w:bCs/>
                <w:rtl/>
              </w:rPr>
              <w:t xml:space="preserve">ادة </w:t>
            </w:r>
            <w:r w:rsidR="00EF788A" w:rsidRPr="00EF788A">
              <w:rPr>
                <w:b/>
                <w:bCs/>
              </w:rPr>
              <w:t>4</w:t>
            </w:r>
          </w:p>
        </w:tc>
        <w:tc>
          <w:tcPr>
            <w:tcW w:w="7479" w:type="dxa"/>
          </w:tcPr>
          <w:p w:rsidR="00EF788A" w:rsidRPr="00D22B77" w:rsidRDefault="00EF788A" w:rsidP="00EF788A">
            <w:pPr>
              <w:spacing w:before="40" w:afterLines="40" w:after="96" w:line="240" w:lineRule="exact"/>
              <w:rPr>
                <w:rtl/>
              </w:rPr>
            </w:pPr>
          </w:p>
        </w:tc>
      </w:tr>
    </w:tbl>
    <w:p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1383"/>
        <w:gridCol w:w="7337"/>
      </w:tblGrid>
      <w:tr w:rsidR="00EF788A" w:rsidRPr="00D22B77">
        <w:tc>
          <w:tcPr>
            <w:tcW w:w="1383" w:type="dxa"/>
            <w:tcBorders>
              <w:top w:val="single" w:sz="6" w:space="0" w:color="auto"/>
              <w:left w:val="single" w:sz="6" w:space="0" w:color="auto"/>
              <w:bottom w:val="single" w:sz="6" w:space="0" w:color="auto"/>
              <w:right w:val="single" w:sz="6" w:space="0" w:color="auto"/>
            </w:tcBorders>
          </w:tcPr>
          <w:p w:rsidR="00EF788A" w:rsidRPr="00D22B77" w:rsidRDefault="00EF788A" w:rsidP="00EF788A">
            <w:pPr>
              <w:spacing w:beforeLines="40" w:before="96" w:afterLines="40" w:after="96" w:line="240" w:lineRule="exact"/>
              <w:rPr>
                <w:b/>
                <w:bCs/>
                <w:rtl/>
              </w:rPr>
            </w:pPr>
            <w:r w:rsidRPr="00D22B77">
              <w:rPr>
                <w:b/>
                <w:bCs/>
              </w:rPr>
              <w:t>8.2.4</w:t>
            </w:r>
            <w:r w:rsidRPr="00D22B77">
              <w:rPr>
                <w:b/>
                <w:bCs/>
                <w:rtl/>
              </w:rPr>
              <w:t xml:space="preserve"> و</w:t>
            </w:r>
            <w:r w:rsidRPr="00D22B77">
              <w:rPr>
                <w:b/>
                <w:bCs/>
              </w:rPr>
              <w:t>9.2.4</w:t>
            </w:r>
          </w:p>
        </w:tc>
        <w:tc>
          <w:tcPr>
            <w:tcW w:w="7337" w:type="dxa"/>
          </w:tcPr>
          <w:p w:rsidR="00EF788A" w:rsidRPr="00D22B77" w:rsidRDefault="00EF788A" w:rsidP="00EF788A">
            <w:pPr>
              <w:spacing w:beforeLines="40" w:before="96" w:afterLines="40" w:after="96" w:line="240" w:lineRule="exact"/>
              <w:rPr>
                <w:b/>
                <w:bCs/>
                <w:rtl/>
              </w:rPr>
            </w:pPr>
          </w:p>
        </w:tc>
      </w:tr>
    </w:tbl>
    <w:p w:rsidR="00EF788A" w:rsidRPr="00D22B77" w:rsidRDefault="00EF788A" w:rsidP="00920920">
      <w:pPr>
        <w:spacing w:before="240"/>
        <w:rPr>
          <w:rtl/>
        </w:rPr>
      </w:pPr>
      <w:r w:rsidRPr="00D22B77">
        <w:t>1</w:t>
      </w:r>
      <w:r w:rsidRPr="00D22B77">
        <w:rPr>
          <w:rtl/>
        </w:rPr>
        <w:tab/>
        <w:t xml:space="preserve">تحدد الفقرتان </w:t>
      </w:r>
      <w:r w:rsidRPr="00D22B77">
        <w:t>8.2.4</w:t>
      </w:r>
      <w:r w:rsidRPr="00D22B77">
        <w:rPr>
          <w:rtl/>
        </w:rPr>
        <w:t xml:space="preserve"> و</w:t>
      </w:r>
      <w:r w:rsidRPr="00D22B77">
        <w:t>9.2.4</w:t>
      </w:r>
      <w:r w:rsidRPr="00D22B77">
        <w:rPr>
          <w:rtl/>
        </w:rPr>
        <w:t xml:space="preserve"> من الاتفاق التفحص الواجب إجراؤه بين تعديل مقترح وتعديلات معلقة. وطبقاً للفقرة </w:t>
      </w:r>
      <w:r w:rsidRPr="00D22B77">
        <w:t>9.2.4</w:t>
      </w:r>
      <w:r w:rsidRPr="00D22B77">
        <w:rPr>
          <w:rtl/>
        </w:rPr>
        <w:t xml:space="preserve">، يقتصر التفحص الذي يرمي إلى تحديد أثر التعديل المقترح على التعديلات المعلقة والعكس بالعكس، على التعديلات المعلقة منذ فترة لا تزيد على </w:t>
      </w:r>
      <w:r w:rsidRPr="00D22B77">
        <w:t>180</w:t>
      </w:r>
      <w:r w:rsidRPr="00D22B77">
        <w:rPr>
          <w:rtl/>
        </w:rPr>
        <w:t xml:space="preserve"> يوماً اعتباراً من تاريخ استلام المكتب لهذه التعديلات. وبمجرد انقضاء هذه المهلة الممتدة </w:t>
      </w:r>
      <w:r w:rsidRPr="00D22B77">
        <w:t>180</w:t>
      </w:r>
      <w:r w:rsidRPr="00D22B77">
        <w:rPr>
          <w:rtl/>
        </w:rPr>
        <w:t xml:space="preserve"> يوماً، لا يؤخذ بالحسبان أي تعديل معلق من أجل تأمين حماية متبادلة حيال تعديل مقترح جديد. ويدل ذلك على أنه يجب تفحص طلب التسجيل في الخطة  للتعديل المقترح الذي كان معلقاً لأكثر من </w:t>
      </w:r>
      <w:r w:rsidRPr="00D22B77">
        <w:t>180</w:t>
      </w:r>
      <w:r w:rsidRPr="00D22B77">
        <w:rPr>
          <w:rtl/>
        </w:rPr>
        <w:t xml:space="preserve"> يوماً، وذلك من حيث احتمال حدوث تداخلات يمكن الاعتراض عليها لتخصيصات كان يمكن تسجيلها في الخطة أثناء تلك الفترة نتيجة لتطبيق إجراء المادة </w:t>
      </w:r>
      <w:r w:rsidRPr="00D22B77">
        <w:t>4</w:t>
      </w:r>
      <w:r w:rsidRPr="00D22B77">
        <w:rPr>
          <w:rtl/>
        </w:rPr>
        <w:t xml:space="preserve"> بنجاح.</w:t>
      </w:r>
    </w:p>
    <w:p w:rsidR="00EF788A" w:rsidRDefault="00226EA5" w:rsidP="00920920">
      <w:pPr>
        <w:spacing w:before="240"/>
        <w:rPr>
          <w:rtl/>
        </w:rPr>
      </w:pPr>
      <w:r>
        <w:t>2</w:t>
      </w:r>
      <w:r w:rsidR="00EF788A" w:rsidRPr="00D22B77">
        <w:rPr>
          <w:rtl/>
        </w:rPr>
        <w:tab/>
      </w:r>
      <w:r w:rsidR="00DA4DE6">
        <w:rPr>
          <w:rFonts w:hint="cs"/>
          <w:rtl/>
        </w:rPr>
        <w:t>وبناءً على ذلك</w:t>
      </w:r>
      <w:r w:rsidR="00EF788A" w:rsidRPr="00D22B77">
        <w:rPr>
          <w:rtl/>
        </w:rPr>
        <w:t xml:space="preserve"> قررت اللجنة أنه عندما تحيط إحدى الإدارات المكتب علماً بالخصائص النهائية للتخصيص، تطبيقاً للفقرة </w:t>
      </w:r>
      <w:r w:rsidR="00EF788A" w:rsidRPr="00D22B77">
        <w:t>18.2.4</w:t>
      </w:r>
      <w:r w:rsidR="00EF788A" w:rsidRPr="00D22B77">
        <w:rPr>
          <w:rtl/>
        </w:rPr>
        <w:t xml:space="preserve"> من الاتفاق، بعد </w:t>
      </w:r>
      <w:r w:rsidR="00EF788A" w:rsidRPr="00D22B77">
        <w:t>180</w:t>
      </w:r>
      <w:r w:rsidR="00EF788A" w:rsidRPr="00D22B77">
        <w:rPr>
          <w:rtl/>
        </w:rPr>
        <w:t xml:space="preserve"> يوماً من نشر هذه الخصائص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يجب أن يخضع التعديل ثانية للإجراء الكامل الوارد في المادة </w:t>
      </w:r>
      <w:r w:rsidR="00EF788A" w:rsidRPr="00D22B77">
        <w:t>4</w:t>
      </w:r>
      <w:r w:rsidR="00EF788A" w:rsidRPr="00D22B77">
        <w:rPr>
          <w:rtl/>
        </w:rPr>
        <w:t xml:space="preserve">. ويعتبر تاريخ استلام المكتب هذا </w:t>
      </w:r>
      <w:r w:rsidR="00DA4DE6">
        <w:rPr>
          <w:rFonts w:hint="cs"/>
          <w:rtl/>
        </w:rPr>
        <w:t>البلاغ</w:t>
      </w:r>
      <w:r w:rsidR="00EF788A" w:rsidRPr="00D22B77">
        <w:rPr>
          <w:rtl/>
        </w:rPr>
        <w:t xml:space="preserve"> هو التاريخ الجديد لاستلام التعديل المقترح.</w:t>
      </w:r>
    </w:p>
    <w:p w:rsidR="00EF788A" w:rsidRDefault="005202F1" w:rsidP="0009689E">
      <w:pPr>
        <w:spacing w:before="240"/>
        <w:rPr>
          <w:rtl/>
        </w:rPr>
      </w:pPr>
      <w:r>
        <w:br w:type="page"/>
      </w:r>
      <w:r w:rsidR="00561DBF">
        <w:lastRenderedPageBreak/>
        <w:t>3</w:t>
      </w:r>
      <w:r w:rsidR="00EF788A" w:rsidRPr="00D22B77">
        <w:rPr>
          <w:rtl/>
        </w:rPr>
        <w:tab/>
      </w:r>
      <w:r w:rsidR="00774188">
        <w:rPr>
          <w:rFonts w:hint="cs"/>
          <w:rtl/>
        </w:rPr>
        <w:t>إن الغرض المنشود من حساب</w:t>
      </w:r>
      <w:r w:rsidR="00EF788A" w:rsidRPr="00D22B77">
        <w:rPr>
          <w:rtl/>
        </w:rPr>
        <w:t xml:space="preserve"> الفترة </w:t>
      </w:r>
      <w:r w:rsidR="00EF788A" w:rsidRPr="00D22B77">
        <w:t>180</w:t>
      </w:r>
      <w:r w:rsidR="00EF788A" w:rsidRPr="00D22B77">
        <w:rPr>
          <w:rtl/>
        </w:rPr>
        <w:t xml:space="preserve"> يوماً اعتباراً من تاريخ النشر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بدلاً من حسابها اعتباراً من تاريخ استلام المكتب التعديل المقترح، </w:t>
      </w:r>
      <w:r w:rsidR="00774188">
        <w:rPr>
          <w:rFonts w:hint="cs"/>
          <w:rtl/>
        </w:rPr>
        <w:t>هو إبطال</w:t>
      </w:r>
      <w:r w:rsidR="00EF788A" w:rsidRPr="00D22B77">
        <w:rPr>
          <w:rtl/>
        </w:rPr>
        <w:t xml:space="preserve"> التأثير المترتب على مهلة التأخر التي تسبق نشر التعديل المقترح وفقاً لأحكام الفقرة </w:t>
      </w:r>
      <w:r w:rsidR="00EF788A" w:rsidRPr="00D22B77">
        <w:t>5.2.4</w:t>
      </w:r>
      <w:r w:rsidR="00EF788A" w:rsidRPr="00D22B77">
        <w:rPr>
          <w:rtl/>
        </w:rPr>
        <w:t xml:space="preserve"> من الاتفاق.</w:t>
      </w:r>
    </w:p>
    <w:p w:rsidR="00E5075C" w:rsidRPr="00D22B77" w:rsidRDefault="00E5075C" w:rsidP="0023173F">
      <w:pPr>
        <w:rPr>
          <w:rtl/>
        </w:rPr>
      </w:pPr>
    </w:p>
    <w:tbl>
      <w:tblPr>
        <w:bidiVisual/>
        <w:tblW w:w="0" w:type="auto"/>
        <w:tblLayout w:type="fixed"/>
        <w:tblLook w:val="0000" w:firstRow="0" w:lastRow="0" w:firstColumn="0" w:lastColumn="0" w:noHBand="0" w:noVBand="0"/>
      </w:tblPr>
      <w:tblGrid>
        <w:gridCol w:w="1043"/>
        <w:gridCol w:w="8045"/>
      </w:tblGrid>
      <w:tr w:rsidR="00EF788A" w:rsidRPr="00D22B77">
        <w:tc>
          <w:tcPr>
            <w:tcW w:w="1043" w:type="dxa"/>
            <w:tcBorders>
              <w:top w:val="single" w:sz="6" w:space="0" w:color="auto"/>
              <w:left w:val="single" w:sz="6" w:space="0" w:color="auto"/>
              <w:bottom w:val="single" w:sz="6" w:space="0" w:color="auto"/>
              <w:right w:val="single" w:sz="6" w:space="0" w:color="auto"/>
            </w:tcBorders>
          </w:tcPr>
          <w:p w:rsidR="00EF788A" w:rsidRPr="00E5075C" w:rsidRDefault="00EF788A" w:rsidP="00EF788A">
            <w:pPr>
              <w:spacing w:before="40" w:after="40" w:line="240" w:lineRule="exact"/>
              <w:rPr>
                <w:b/>
                <w:bCs/>
                <w:rtl/>
                <w:lang w:val="en-US"/>
              </w:rPr>
            </w:pPr>
            <w:r w:rsidRPr="00D22B77">
              <w:rPr>
                <w:b/>
                <w:bCs/>
              </w:rPr>
              <w:t>6.4</w:t>
            </w:r>
          </w:p>
        </w:tc>
        <w:tc>
          <w:tcPr>
            <w:tcW w:w="8045" w:type="dxa"/>
          </w:tcPr>
          <w:p w:rsidR="00EF788A" w:rsidRPr="00D22B77" w:rsidRDefault="00EF788A" w:rsidP="00EF788A">
            <w:pPr>
              <w:spacing w:before="40" w:after="40" w:line="240" w:lineRule="exact"/>
              <w:rPr>
                <w:b/>
                <w:bCs/>
                <w:rtl/>
              </w:rPr>
            </w:pPr>
          </w:p>
        </w:tc>
      </w:tr>
    </w:tbl>
    <w:p w:rsidR="00EF788A" w:rsidRPr="00D22B77" w:rsidRDefault="00EF788A" w:rsidP="00B35C80">
      <w:pPr>
        <w:rPr>
          <w:rtl/>
        </w:rPr>
      </w:pPr>
      <w:r>
        <w:t>1</w:t>
      </w:r>
      <w:r w:rsidRPr="00D22B77">
        <w:rPr>
          <w:rtl/>
        </w:rPr>
        <w:tab/>
        <w:t xml:space="preserve">عندما يبقى تخصيص مسجلاً في الخطة لمدة أربع سنوات دون أن يوضع في الخدمة، وفقاً للفقرة </w:t>
      </w:r>
      <w:r w:rsidRPr="00D22B77">
        <w:t>6.4</w:t>
      </w:r>
      <w:r w:rsidRPr="00D22B77">
        <w:rPr>
          <w:rtl/>
        </w:rPr>
        <w:t xml:space="preserve"> من الاتفاق وفقرات</w:t>
      </w:r>
      <w:r w:rsidR="00A13467">
        <w:rPr>
          <w:rFonts w:hint="cs"/>
          <w:rtl/>
        </w:rPr>
        <w:t>ها</w:t>
      </w:r>
      <w:r w:rsidRPr="00D22B77">
        <w:rPr>
          <w:rtl/>
        </w:rPr>
        <w:t xml:space="preserve"> الفرعية، يستشير المكتب الإدارة المعنية لكي يحدد ما إذا كان يستحسن إلغاء هذا التخصيص من الخطة. وتشرح الفقرة </w:t>
      </w:r>
      <w:r w:rsidRPr="00D22B77">
        <w:t>3.6.4</w:t>
      </w:r>
      <w:r w:rsidRPr="00D22B77">
        <w:rPr>
          <w:rtl/>
        </w:rPr>
        <w:t xml:space="preserve"> الإجراء الذي اتبعه المكتب لتطبيق أحكام الاتفاق المتعلقة بالتخصيصات المسجلة في الخطة دون أن توضع في الخدمة.</w:t>
      </w:r>
    </w:p>
    <w:p w:rsidR="00EF788A" w:rsidRPr="00D22B77" w:rsidRDefault="00EF788A" w:rsidP="00B35C80">
      <w:pPr>
        <w:rPr>
          <w:rtl/>
        </w:rPr>
      </w:pPr>
      <w:r>
        <w:t>2</w:t>
      </w:r>
      <w:r w:rsidRPr="00D22B77">
        <w:rPr>
          <w:rtl/>
        </w:rPr>
        <w:tab/>
        <w:t xml:space="preserve">يحدد بشأن كل تسجيل (نهاري أو ليلي) ما إذا كان التخصيص موضوعاً في الخدمة، </w:t>
      </w:r>
      <w:r w:rsidR="00E5075C">
        <w:rPr>
          <w:rFonts w:hint="cs"/>
          <w:rtl/>
        </w:rPr>
        <w:t>و</w:t>
      </w:r>
      <w:r w:rsidRPr="00D22B77">
        <w:rPr>
          <w:rtl/>
        </w:rPr>
        <w:t xml:space="preserve">يتم </w:t>
      </w:r>
      <w:r w:rsidR="00E5075C">
        <w:rPr>
          <w:rFonts w:hint="cs"/>
          <w:rtl/>
        </w:rPr>
        <w:t xml:space="preserve">ذلك </w:t>
      </w:r>
      <w:r w:rsidRPr="00D22B77">
        <w:rPr>
          <w:rtl/>
        </w:rPr>
        <w:t xml:space="preserve">عن طريق الرجوع إلى السجل </w:t>
      </w:r>
      <w:r w:rsidR="0029743B">
        <w:rPr>
          <w:rFonts w:hint="cs"/>
          <w:rtl/>
        </w:rPr>
        <w:t>الأساسي</w:t>
      </w:r>
      <w:r w:rsidRPr="00D22B77">
        <w:rPr>
          <w:rtl/>
        </w:rPr>
        <w:t xml:space="preserve"> ومقارنة التخصيصات </w:t>
      </w:r>
      <w:r w:rsidR="00A13467">
        <w:rPr>
          <w:rFonts w:hint="cs"/>
          <w:rtl/>
        </w:rPr>
        <w:t>المدرجة</w:t>
      </w:r>
      <w:r w:rsidRPr="00D22B77">
        <w:rPr>
          <w:rtl/>
        </w:rPr>
        <w:t xml:space="preserve"> في السجل مع التخصيص الوارد في الخطة وفقاً للمعايير التالية:</w:t>
      </w:r>
    </w:p>
    <w:p w:rsidR="00EF788A" w:rsidRPr="00D22B77" w:rsidRDefault="00EF788A" w:rsidP="009705AF">
      <w:pPr>
        <w:pStyle w:val="enumlev1"/>
        <w:spacing w:before="120"/>
        <w:rPr>
          <w:rtl/>
        </w:rPr>
      </w:pPr>
      <w:r w:rsidRPr="00D22B77">
        <w:rPr>
          <w:szCs w:val="22"/>
        </w:rPr>
        <w:sym w:font="Symbol" w:char="F02D"/>
      </w:r>
      <w:r w:rsidRPr="00D22B77">
        <w:rPr>
          <w:rtl/>
        </w:rPr>
        <w:tab/>
        <w:t>نفس التردد،</w:t>
      </w:r>
    </w:p>
    <w:p w:rsidR="00EF788A" w:rsidRPr="00D22B77" w:rsidRDefault="00EF788A" w:rsidP="009705AF">
      <w:pPr>
        <w:pStyle w:val="enumlev1"/>
        <w:spacing w:before="120"/>
        <w:rPr>
          <w:rtl/>
        </w:rPr>
      </w:pPr>
      <w:r w:rsidRPr="00D22B77">
        <w:rPr>
          <w:szCs w:val="22"/>
        </w:rPr>
        <w:sym w:font="Symbol" w:char="F02D"/>
      </w:r>
      <w:r w:rsidRPr="00D22B77">
        <w:rPr>
          <w:rtl/>
        </w:rPr>
        <w:tab/>
        <w:t>نفس الرمز الدليلي للبلد،</w:t>
      </w:r>
    </w:p>
    <w:p w:rsidR="00EF788A" w:rsidRPr="00D22B77" w:rsidRDefault="00EF788A" w:rsidP="009705AF">
      <w:pPr>
        <w:pStyle w:val="enumlev1"/>
        <w:spacing w:before="120"/>
        <w:rPr>
          <w:rtl/>
        </w:rPr>
      </w:pPr>
      <w:r w:rsidRPr="00D22B77">
        <w:rPr>
          <w:szCs w:val="22"/>
        </w:rPr>
        <w:sym w:font="Symbol" w:char="F02D"/>
      </w:r>
      <w:r w:rsidRPr="00D22B77">
        <w:rPr>
          <w:rtl/>
        </w:rPr>
        <w:tab/>
        <w:t>نفس فترة التشغيل،</w:t>
      </w:r>
    </w:p>
    <w:p w:rsidR="00EF788A" w:rsidRPr="00D22B77" w:rsidRDefault="00EF788A" w:rsidP="009705AF">
      <w:pPr>
        <w:pStyle w:val="enumlev1"/>
        <w:spacing w:before="120"/>
        <w:rPr>
          <w:rtl/>
        </w:rPr>
      </w:pPr>
      <w:r w:rsidRPr="00D22B77">
        <w:rPr>
          <w:szCs w:val="22"/>
        </w:rPr>
        <w:sym w:font="Symbol" w:char="F02D"/>
      </w:r>
      <w:r w:rsidRPr="00D22B77">
        <w:rPr>
          <w:rtl/>
        </w:rPr>
        <w:tab/>
        <w:t xml:space="preserve">الموقع ضمن حدود </w:t>
      </w:r>
      <w:r w:rsidR="007A0CA7">
        <w:rPr>
          <w:rFonts w:hint="cs"/>
          <w:rtl/>
        </w:rPr>
        <w:t>قيم</w:t>
      </w:r>
      <w:r w:rsidR="005C3B12">
        <w:rPr>
          <w:rFonts w:hint="cs"/>
          <w:rtl/>
        </w:rPr>
        <w:t xml:space="preserve"> التسامح</w:t>
      </w:r>
      <w:r w:rsidRPr="00D22B77">
        <w:rPr>
          <w:rtl/>
        </w:rPr>
        <w:t xml:space="preserve"> في الفقرة </w:t>
      </w:r>
      <w:r w:rsidRPr="00D22B77">
        <w:t>14.2.4</w:t>
      </w:r>
      <w:r w:rsidRPr="00D22B77">
        <w:rPr>
          <w:rtl/>
        </w:rPr>
        <w:t xml:space="preserve"> من الاتفاق.</w:t>
      </w:r>
    </w:p>
    <w:p w:rsidR="00EF788A" w:rsidRDefault="003328A0" w:rsidP="0009689E">
      <w:pPr>
        <w:spacing w:before="240"/>
        <w:rPr>
          <w:rtl/>
        </w:rPr>
      </w:pPr>
      <w:r>
        <w:rPr>
          <w:rFonts w:hint="cs"/>
          <w:rtl/>
        </w:rPr>
        <w:t xml:space="preserve">إذا وُجد في السجل </w:t>
      </w:r>
      <w:r w:rsidR="0029743B">
        <w:rPr>
          <w:rFonts w:hint="cs"/>
          <w:rtl/>
        </w:rPr>
        <w:t>الأساسي</w:t>
      </w:r>
      <w:r>
        <w:rPr>
          <w:rFonts w:hint="cs"/>
          <w:rtl/>
        </w:rPr>
        <w:t xml:space="preserve"> تخصيص يلبي الشروط المذكورة أعلاه، اعتبر التخصيص الوارد في الخطة موضوعاً في الخدمة</w:t>
      </w:r>
      <w:r w:rsidR="00EF788A" w:rsidRPr="00D22B77">
        <w:rPr>
          <w:rtl/>
        </w:rPr>
        <w:t xml:space="preserve">. وفي الحالات الأخرى لا يعتبر </w:t>
      </w:r>
      <w:r w:rsidR="00AA5337">
        <w:rPr>
          <w:rFonts w:hint="cs"/>
          <w:rtl/>
        </w:rPr>
        <w:t>التخصيص المسجّل</w:t>
      </w:r>
      <w:r w:rsidR="00EF788A" w:rsidRPr="00D22B77">
        <w:rPr>
          <w:rtl/>
        </w:rPr>
        <w:t xml:space="preserve"> موضوعاً في الخدمة.</w:t>
      </w:r>
    </w:p>
    <w:p w:rsidR="00EF788A" w:rsidRPr="00D22B77" w:rsidRDefault="00EF788A" w:rsidP="00B35C80">
      <w:pPr>
        <w:rPr>
          <w:rtl/>
        </w:rPr>
      </w:pPr>
    </w:p>
    <w:tbl>
      <w:tblPr>
        <w:bidiVisual/>
        <w:tblW w:w="0" w:type="auto"/>
        <w:tblLayout w:type="fixed"/>
        <w:tblLook w:val="0000" w:firstRow="0" w:lastRow="0" w:firstColumn="0" w:lastColumn="0" w:noHBand="0" w:noVBand="0"/>
      </w:tblPr>
      <w:tblGrid>
        <w:gridCol w:w="1043"/>
        <w:gridCol w:w="8045"/>
      </w:tblGrid>
      <w:tr w:rsidR="00EF788A" w:rsidRPr="00D22B77">
        <w:tc>
          <w:tcPr>
            <w:tcW w:w="1043" w:type="dxa"/>
            <w:tcBorders>
              <w:top w:val="single" w:sz="6" w:space="0" w:color="auto"/>
              <w:left w:val="single" w:sz="6" w:space="0" w:color="auto"/>
              <w:bottom w:val="single" w:sz="6" w:space="0" w:color="auto"/>
              <w:right w:val="single" w:sz="6" w:space="0" w:color="auto"/>
            </w:tcBorders>
          </w:tcPr>
          <w:p w:rsidR="00EF788A" w:rsidRPr="00EF788A" w:rsidRDefault="00EF788A" w:rsidP="00EF788A">
            <w:pPr>
              <w:spacing w:before="40" w:after="40" w:line="240" w:lineRule="exact"/>
              <w:rPr>
                <w:b/>
                <w:bCs/>
                <w:rtl/>
                <w:lang w:val="en-US"/>
              </w:rPr>
            </w:pPr>
            <w:r w:rsidRPr="00D22B77">
              <w:rPr>
                <w:b/>
                <w:bCs/>
              </w:rPr>
              <w:t>3.6.4</w:t>
            </w:r>
          </w:p>
        </w:tc>
        <w:tc>
          <w:tcPr>
            <w:tcW w:w="8045" w:type="dxa"/>
          </w:tcPr>
          <w:p w:rsidR="00EF788A" w:rsidRPr="00D22B77" w:rsidRDefault="00EF788A" w:rsidP="00EF788A">
            <w:pPr>
              <w:spacing w:before="40" w:after="40" w:line="240" w:lineRule="exact"/>
              <w:rPr>
                <w:b/>
                <w:bCs/>
                <w:rtl/>
              </w:rPr>
            </w:pPr>
          </w:p>
        </w:tc>
      </w:tr>
    </w:tbl>
    <w:p w:rsidR="00EF788A" w:rsidRPr="00D22B77" w:rsidRDefault="00EF788A" w:rsidP="0009689E">
      <w:pPr>
        <w:spacing w:before="240"/>
        <w:rPr>
          <w:rtl/>
        </w:rPr>
      </w:pPr>
      <w:r>
        <w:t>1</w:t>
      </w:r>
      <w:r w:rsidRPr="00D22B77">
        <w:rPr>
          <w:rtl/>
        </w:rPr>
        <w:tab/>
        <w:t xml:space="preserve">تحسب فترة الأربع سنوات وتمديدها المسموح به لسنة واحدة المذكوران في الفقرتين </w:t>
      </w:r>
      <w:r w:rsidRPr="00D22B77">
        <w:t>1.6.4</w:t>
      </w:r>
      <w:r w:rsidRPr="00D22B77">
        <w:rPr>
          <w:rtl/>
        </w:rPr>
        <w:t xml:space="preserve"> و</w:t>
      </w:r>
      <w:r w:rsidRPr="00D22B77">
        <w:t>2.6.4</w:t>
      </w:r>
      <w:r w:rsidRPr="00D22B77">
        <w:rPr>
          <w:rtl/>
        </w:rPr>
        <w:t xml:space="preserve"> من الاتفاق اعتباراً من تاريخ تسجيل التخصيص في الخطة. وفي حالة تغيير خاصية أساسية من خصائص تخصيص التردد السابق تسجيله في الخطة، يعتبر تاريخ التسجيل في الخطة هو التاريخ المشار إليه بشأن الخصائص المعدلة في الجزء </w:t>
      </w:r>
      <w:r w:rsidRPr="00D22B77">
        <w:t>B</w:t>
      </w:r>
      <w:r w:rsidRPr="00D22B77">
        <w:rPr>
          <w:rtl/>
        </w:rPr>
        <w:t xml:space="preserve"> من القسم الخاص </w:t>
      </w:r>
      <w:r w:rsidRPr="00D22B77">
        <w:t>RJ81</w:t>
      </w:r>
      <w:r w:rsidRPr="00D22B77">
        <w:rPr>
          <w:rtl/>
        </w:rPr>
        <w:t xml:space="preserve"> المقابل.</w:t>
      </w:r>
    </w:p>
    <w:p w:rsidR="00EF788A" w:rsidRPr="00D22B77" w:rsidRDefault="00EF788A" w:rsidP="0009689E">
      <w:pPr>
        <w:spacing w:before="240"/>
        <w:rPr>
          <w:rtl/>
        </w:rPr>
      </w:pPr>
      <w:r>
        <w:t>2</w:t>
      </w:r>
      <w:r w:rsidRPr="00D22B77">
        <w:rPr>
          <w:rtl/>
        </w:rPr>
        <w:tab/>
        <w:t xml:space="preserve">يجب أن يصل إلى المكتب طلب إعادة إدراج التخصيص، وإلغاء الرمز المذكور في الفقرة </w:t>
      </w:r>
      <w:r w:rsidRPr="00D22B77">
        <w:t>3.6.4</w:t>
      </w:r>
      <w:r w:rsidR="00E5075C">
        <w:rPr>
          <w:rtl/>
        </w:rPr>
        <w:t xml:space="preserve"> </w:t>
      </w:r>
      <w:r w:rsidRPr="00D22B77">
        <w:rPr>
          <w:rtl/>
        </w:rPr>
        <w:t xml:space="preserve">من الاتفاق قبل التاريخ المتوقع لوضع هذا التخصيص في الخدمة بثلاثة أشهر على الأقل. ويعزى ذلك إلى كون طلب إلغاء الرمز متوقفاً على وضع التخصيص في الخدمة. وعليه فإن تشبيه هذه الحالة بالرقم </w:t>
      </w:r>
      <w:r w:rsidR="0029743B">
        <w:rPr>
          <w:b/>
          <w:bCs/>
        </w:rPr>
        <w:t>24</w:t>
      </w:r>
      <w:r w:rsidRPr="00D22B77">
        <w:rPr>
          <w:b/>
          <w:bCs/>
        </w:rPr>
        <w:t>.</w:t>
      </w:r>
      <w:r w:rsidR="0029743B">
        <w:rPr>
          <w:b/>
          <w:bCs/>
        </w:rPr>
        <w:t>11</w:t>
      </w:r>
      <w:r w:rsidRPr="00D22B77">
        <w:rPr>
          <w:rtl/>
        </w:rPr>
        <w:t xml:space="preserve"> </w:t>
      </w:r>
      <w:r w:rsidR="0029743B">
        <w:rPr>
          <w:rFonts w:hint="cs"/>
          <w:rtl/>
          <w:lang w:bidi="ar-EG"/>
        </w:rPr>
        <w:t xml:space="preserve">من لوائح الراديو </w:t>
      </w:r>
      <w:r w:rsidRPr="00D22B77">
        <w:rPr>
          <w:rtl/>
        </w:rPr>
        <w:t xml:space="preserve">يعد تشبيهاً سليماً. وكل طلب يُستلم قبل هذه الفترة يبقى معلقاً إلى حين حلول الموعد المحدد المذكور أعلاه وتحاط الإدارة المعنية </w:t>
      </w:r>
      <w:r w:rsidRPr="00D22B77">
        <w:rPr>
          <w:rtl/>
        </w:rPr>
        <w:br/>
        <w:t>علماً بذلك.</w:t>
      </w:r>
    </w:p>
    <w:p w:rsidR="00EF788A" w:rsidRPr="00D22B77" w:rsidRDefault="00EF788A" w:rsidP="0009689E">
      <w:pPr>
        <w:spacing w:before="240"/>
        <w:rPr>
          <w:rtl/>
        </w:rPr>
      </w:pPr>
      <w:r>
        <w:t>3</w:t>
      </w:r>
      <w:r w:rsidRPr="00D22B77">
        <w:rPr>
          <w:rtl/>
        </w:rPr>
        <w:tab/>
        <w:t>عندما يستوفى شرط الثلاثة</w:t>
      </w:r>
      <w:r w:rsidR="00E5075C">
        <w:rPr>
          <w:rFonts w:hint="cs"/>
          <w:rtl/>
        </w:rPr>
        <w:t xml:space="preserve"> </w:t>
      </w:r>
      <w:r w:rsidR="00E5075C" w:rsidRPr="00D22B77">
        <w:rPr>
          <w:rtl/>
        </w:rPr>
        <w:t>الأشهر</w:t>
      </w:r>
      <w:r w:rsidRPr="00D22B77">
        <w:rPr>
          <w:rtl/>
        </w:rPr>
        <w:t>، يجري تفحص التخصيص المعني من حيث التداخل الذي يمكن الاعتراض عليه وتتعرض له المحطات المسج</w:t>
      </w:r>
      <w:r w:rsidR="00AA5337">
        <w:rPr>
          <w:rFonts w:hint="cs"/>
          <w:rtl/>
        </w:rPr>
        <w:t>ّ</w:t>
      </w:r>
      <w:r w:rsidRPr="00D22B77">
        <w:rPr>
          <w:rtl/>
        </w:rPr>
        <w:t>لة في الخطة اعتباراً من تاريخ تعليق التخصيص. وتشمل المحطات "المسجلة في الخطة" المحطات الجديدة المسج</w:t>
      </w:r>
      <w:r w:rsidR="00AA5337">
        <w:rPr>
          <w:rFonts w:hint="cs"/>
          <w:rtl/>
        </w:rPr>
        <w:t>ّ</w:t>
      </w:r>
      <w:r w:rsidRPr="00D22B77">
        <w:rPr>
          <w:rtl/>
        </w:rPr>
        <w:t>لة في الخطة إلى جانب التعديلات التي أدخلت على خصائص المحطات الموجودة في الخطة سابقاً.</w:t>
      </w:r>
    </w:p>
    <w:p w:rsidR="00EF788A" w:rsidRPr="00D22B77" w:rsidRDefault="005202F1" w:rsidP="0009689E">
      <w:pPr>
        <w:spacing w:before="240"/>
        <w:rPr>
          <w:rtl/>
        </w:rPr>
      </w:pPr>
      <w:r>
        <w:br w:type="page"/>
      </w:r>
      <w:r w:rsidR="00EF788A">
        <w:lastRenderedPageBreak/>
        <w:t>4</w:t>
      </w:r>
      <w:r w:rsidR="00EF788A" w:rsidRPr="00D22B77">
        <w:rPr>
          <w:rtl/>
        </w:rPr>
        <w:tab/>
        <w:t>إذا بيّن التفحص أن المحطات المعنية لن تتعرض إلى أي تداخل يمكن الاعتراض عليه، يعاد إدراج التخصيص المعلق في الخطة ويلغى الرمز المقابل له. ويخضع لنشر مناسب في قسم خاص</w:t>
      </w:r>
      <w:r w:rsidR="00F30CC5">
        <w:rPr>
          <w:rFonts w:hint="cs"/>
          <w:rtl/>
        </w:rPr>
        <w:t xml:space="preserve"> في إطار الاتفاق</w:t>
      </w:r>
      <w:r w:rsidR="00EF788A" w:rsidRPr="00D22B77">
        <w:rPr>
          <w:rtl/>
        </w:rPr>
        <w:t xml:space="preserve"> </w:t>
      </w:r>
      <w:r w:rsidR="00EF788A" w:rsidRPr="00D22B77">
        <w:t>RJ81</w:t>
      </w:r>
      <w:r w:rsidR="00EF788A" w:rsidRPr="00D22B77">
        <w:rPr>
          <w:rtl/>
        </w:rPr>
        <w:t>.</w:t>
      </w:r>
    </w:p>
    <w:p w:rsidR="00EF788A" w:rsidRPr="00D22B77" w:rsidRDefault="00EF788A" w:rsidP="0009689E">
      <w:pPr>
        <w:spacing w:before="240"/>
        <w:rPr>
          <w:rtl/>
        </w:rPr>
      </w:pPr>
      <w:r>
        <w:t>5</w:t>
      </w:r>
      <w:r w:rsidRPr="00D22B77">
        <w:rPr>
          <w:rtl/>
        </w:rPr>
        <w:tab/>
        <w:t xml:space="preserve">لما كان تاريخ الوضع في الخدمة معروفاً، يجري تفحص التخصيص الذي أعيد إدراجه بموجب المادة </w:t>
      </w:r>
      <w:r w:rsidRPr="00D22B77">
        <w:rPr>
          <w:b/>
          <w:bCs/>
        </w:rPr>
        <w:t>11</w:t>
      </w:r>
      <w:r w:rsidRPr="00D22B77">
        <w:rPr>
          <w:rtl/>
        </w:rPr>
        <w:t xml:space="preserve"> من لوائح الراديو بهدف تسجيله في السجل الأساسي. وتؤكد الإدارة المعنية وضع التخصيص في الخدمة وفقاً للوائح الراديو. وفي غياب هذا التأكيد، ي</w:t>
      </w:r>
      <w:r w:rsidR="00F30CC5">
        <w:rPr>
          <w:rFonts w:hint="cs"/>
          <w:rtl/>
        </w:rPr>
        <w:t>ُ</w:t>
      </w:r>
      <w:r w:rsidRPr="00D22B77">
        <w:rPr>
          <w:rtl/>
        </w:rPr>
        <w:t xml:space="preserve">عاد إدراج الرمز المذكور في الفقرة </w:t>
      </w:r>
      <w:r w:rsidRPr="00D22B77">
        <w:t>3.6.4</w:t>
      </w:r>
      <w:r w:rsidRPr="00D22B77">
        <w:rPr>
          <w:rtl/>
        </w:rPr>
        <w:t xml:space="preserve"> من الاتفاق مما يؤدي إلى تعليق التخصيص من جديد.</w:t>
      </w:r>
    </w:p>
    <w:p w:rsidR="00EF788A" w:rsidRPr="00D22B77" w:rsidRDefault="00EF788A" w:rsidP="0009689E">
      <w:pPr>
        <w:spacing w:before="240"/>
        <w:rPr>
          <w:rtl/>
        </w:rPr>
      </w:pPr>
      <w:r>
        <w:t>6</w:t>
      </w:r>
      <w:r w:rsidRPr="00D22B77">
        <w:rPr>
          <w:rtl/>
        </w:rPr>
        <w:tab/>
        <w:t xml:space="preserve">أثناء نشر القسم الخاص المذكور في الفقرة </w:t>
      </w:r>
      <w:r w:rsidRPr="00D22B77">
        <w:t>4</w:t>
      </w:r>
      <w:r w:rsidRPr="00D22B77">
        <w:rPr>
          <w:rtl/>
        </w:rPr>
        <w:t xml:space="preserve"> أعلاه، تُرجى الإدارة أن تبل</w:t>
      </w:r>
      <w:r w:rsidR="00E24532">
        <w:rPr>
          <w:rFonts w:hint="cs"/>
          <w:rtl/>
        </w:rPr>
        <w:t>ّ</w:t>
      </w:r>
      <w:r w:rsidRPr="00D22B77">
        <w:rPr>
          <w:rtl/>
        </w:rPr>
        <w:t xml:space="preserve">غ عن التخصيص وفقاً للمادة </w:t>
      </w:r>
      <w:r w:rsidRPr="00D22B77">
        <w:rPr>
          <w:b/>
          <w:bCs/>
        </w:rPr>
        <w:t>11</w:t>
      </w:r>
      <w:r w:rsidRPr="00D22B77">
        <w:rPr>
          <w:rtl/>
        </w:rPr>
        <w:t xml:space="preserve"> مع تذكيرها بالترتيبات التي تتخذ وفقاً للفقرة </w:t>
      </w:r>
      <w:r w:rsidRPr="00D22B77">
        <w:t>5</w:t>
      </w:r>
      <w:r w:rsidRPr="00D22B77">
        <w:rPr>
          <w:rtl/>
        </w:rPr>
        <w:t xml:space="preserve"> أعلاه. وعلى الرغم من ذلك، يتم التفحص بموجب المادة </w:t>
      </w:r>
      <w:r w:rsidRPr="00D22B77">
        <w:rPr>
          <w:b/>
          <w:bCs/>
        </w:rPr>
        <w:t>11</w:t>
      </w:r>
      <w:r w:rsidR="00E24532">
        <w:rPr>
          <w:rtl/>
        </w:rPr>
        <w:t xml:space="preserve"> (الفقرة</w:t>
      </w:r>
      <w:r w:rsidR="00E24532">
        <w:rPr>
          <w:rFonts w:hint="cs"/>
          <w:rtl/>
        </w:rPr>
        <w:t> </w:t>
      </w:r>
      <w:r w:rsidR="00E24532">
        <w:t>5</w:t>
      </w:r>
      <w:r w:rsidRPr="00D22B77">
        <w:rPr>
          <w:rtl/>
        </w:rPr>
        <w:t xml:space="preserve"> أعلاه) دون انتظار استلام التبليغ.</w:t>
      </w:r>
    </w:p>
    <w:p w:rsidR="00EF788A" w:rsidRPr="00D22B77" w:rsidRDefault="00EF788A" w:rsidP="0009689E">
      <w:pPr>
        <w:spacing w:before="240"/>
        <w:rPr>
          <w:rtl/>
        </w:rPr>
      </w:pPr>
      <w:r>
        <w:t>7</w:t>
      </w:r>
      <w:r w:rsidRPr="00D22B77">
        <w:rPr>
          <w:rtl/>
        </w:rPr>
        <w:tab/>
        <w:t xml:space="preserve">عندما تعلن إدارة ما عن نيتها تعديل خصائص التخصيص المعلق، ليس بموجب الفقرة </w:t>
      </w:r>
      <w:r w:rsidRPr="00D22B77">
        <w:t>4.6.4</w:t>
      </w:r>
      <w:r w:rsidRPr="00D22B77">
        <w:rPr>
          <w:rtl/>
        </w:rPr>
        <w:t xml:space="preserve"> من الاتفاق، يفهم من هذا الطلب أن الإدارة قررت أن تتخلى عن التخصيص المعلق. وبالتالي يجري فحص التعديل المقترح كطلب لإدخال تخصيص جديد في الخطة. فيلغى التخصيص المعلق المقابل من الخطة مباشرة دون انتظار استكمال إجراء التعديل أو نتيجته.</w:t>
      </w:r>
    </w:p>
    <w:p w:rsidR="00EF788A" w:rsidRPr="00D22B77" w:rsidRDefault="00EF788A" w:rsidP="0009689E">
      <w:pPr>
        <w:spacing w:before="240"/>
        <w:rPr>
          <w:rtl/>
        </w:rPr>
      </w:pPr>
      <w:r>
        <w:t>8</w:t>
      </w:r>
      <w:r w:rsidRPr="00D22B77">
        <w:rPr>
          <w:rtl/>
        </w:rPr>
        <w:tab/>
        <w:t xml:space="preserve">تنص الفقرة </w:t>
      </w:r>
      <w:r w:rsidRPr="00D22B77">
        <w:t>3.6.4</w:t>
      </w:r>
      <w:r w:rsidRPr="00D22B77">
        <w:rPr>
          <w:rtl/>
        </w:rPr>
        <w:t xml:space="preserve"> من الاتفاق على أن التخصيص مع الرمز (أي التخصيص المعلق) لن يؤخذ في الاعتبار عند إدخال التعديلات على الخطة في المستقبل. ونظراً إلى أنه يجوز إعادة إدراج تخصيص معلق بموجب الفقرة </w:t>
      </w:r>
      <w:r w:rsidRPr="00D22B77">
        <w:t>4.6.4</w:t>
      </w:r>
      <w:r w:rsidRPr="00D22B77">
        <w:rPr>
          <w:rtl/>
        </w:rPr>
        <w:t xml:space="preserve"> من الاتفاق، لا يمكن أن يعتبر هذا التخصيص ملغياً من الخطة. وبالتالي تؤخذ التخصيصات المعلقة في الاعتبار عند تحويل تخصيصات من القائمة </w:t>
      </w:r>
      <w:r w:rsidRPr="00D22B77">
        <w:t>B</w:t>
      </w:r>
      <w:r w:rsidRPr="00D22B77">
        <w:rPr>
          <w:rtl/>
        </w:rPr>
        <w:t xml:space="preserve"> إلى القائمة </w:t>
      </w:r>
      <w:r w:rsidRPr="00D22B77">
        <w:t>A</w:t>
      </w:r>
      <w:r w:rsidRPr="00D22B77">
        <w:rPr>
          <w:rtl/>
        </w:rPr>
        <w:t>.</w:t>
      </w:r>
    </w:p>
    <w:p w:rsidR="00EF788A" w:rsidRDefault="00EF788A" w:rsidP="0009689E">
      <w:pPr>
        <w:spacing w:before="240"/>
        <w:rPr>
          <w:rtl/>
        </w:rPr>
      </w:pPr>
      <w:r>
        <w:t>9</w:t>
      </w:r>
      <w:r w:rsidRPr="00D22B77">
        <w:rPr>
          <w:rtl/>
        </w:rPr>
        <w:tab/>
        <w:t xml:space="preserve">لا تحدد الفقرة </w:t>
      </w:r>
      <w:r w:rsidRPr="00D22B77">
        <w:t>6.4</w:t>
      </w:r>
      <w:r w:rsidRPr="00D22B77">
        <w:rPr>
          <w:rtl/>
        </w:rPr>
        <w:t xml:space="preserve"> من الاتفاق أي مهلة للاحتفاظ بالتخصيصات المعلقة في الخطة. ومع ذلك، قد يؤدي الاحتفاظ بالتخصيصات المعلقة في الخطة بصورة غير محددة إلى تعقيدات بشأن تحديد الحالة المرجعية التي قد يعتبر تداخل حياله</w:t>
      </w:r>
      <w:r w:rsidR="00F30CC5">
        <w:rPr>
          <w:rFonts w:hint="cs"/>
          <w:rtl/>
        </w:rPr>
        <w:t>ا</w:t>
      </w:r>
      <w:r w:rsidRPr="00D22B77">
        <w:rPr>
          <w:rtl/>
        </w:rPr>
        <w:t xml:space="preserve"> </w:t>
      </w:r>
      <w:r w:rsidR="00F30CC5">
        <w:rPr>
          <w:rFonts w:hint="cs"/>
          <w:rtl/>
        </w:rPr>
        <w:t>موضع اعتراض</w:t>
      </w:r>
      <w:r w:rsidRPr="00D22B77">
        <w:rPr>
          <w:rtl/>
        </w:rPr>
        <w:t xml:space="preserve">، وكذلك بشأن حل المشاكل بموجب القرار </w:t>
      </w:r>
      <w:r w:rsidRPr="00D22B77">
        <w:t>2</w:t>
      </w:r>
      <w:r w:rsidRPr="00D22B77">
        <w:rPr>
          <w:rtl/>
        </w:rPr>
        <w:t xml:space="preserve"> الصادر عن المؤتمر. وقررت اللجنة أن كل تخصيص معلق لم تباشر بشأنه إعادة الإدراج بموجب الفقرة </w:t>
      </w:r>
      <w:r w:rsidRPr="00D22B77">
        <w:t>4.6.4</w:t>
      </w:r>
      <w:r w:rsidRPr="00D22B77">
        <w:rPr>
          <w:rtl/>
        </w:rPr>
        <w:t xml:space="preserve"> من الاتفاق في </w:t>
      </w:r>
      <w:r w:rsidR="00F30CC5">
        <w:rPr>
          <w:rFonts w:hint="cs"/>
          <w:rtl/>
        </w:rPr>
        <w:t>غضون</w:t>
      </w:r>
      <w:r w:rsidRPr="00D22B77">
        <w:rPr>
          <w:rtl/>
        </w:rPr>
        <w:t xml:space="preserve"> سنة اعتباراً من تاريخ التعليق، ينبغي إلغاؤه من الخطة.</w:t>
      </w:r>
    </w:p>
    <w:p w:rsidR="00EF788A" w:rsidRPr="00D22B77" w:rsidRDefault="00EF788A" w:rsidP="005202F1">
      <w:pPr>
        <w:spacing w:before="240"/>
        <w:rPr>
          <w:rtl/>
        </w:rPr>
      </w:pPr>
    </w:p>
    <w:tbl>
      <w:tblPr>
        <w:bidiVisual/>
        <w:tblW w:w="0" w:type="auto"/>
        <w:tblLayout w:type="fixed"/>
        <w:tblLook w:val="0000" w:firstRow="0" w:lastRow="0" w:firstColumn="0" w:lastColumn="0" w:noHBand="0" w:noVBand="0"/>
      </w:tblPr>
      <w:tblGrid>
        <w:gridCol w:w="1043"/>
        <w:gridCol w:w="7479"/>
      </w:tblGrid>
      <w:tr w:rsidR="00EF788A" w:rsidRPr="00D22B77">
        <w:tc>
          <w:tcPr>
            <w:tcW w:w="1043" w:type="dxa"/>
            <w:tcBorders>
              <w:top w:val="double" w:sz="6" w:space="0" w:color="auto"/>
              <w:left w:val="double" w:sz="6" w:space="0" w:color="auto"/>
              <w:bottom w:val="double" w:sz="6" w:space="0" w:color="auto"/>
              <w:right w:val="double" w:sz="6" w:space="0" w:color="auto"/>
            </w:tcBorders>
          </w:tcPr>
          <w:p w:rsidR="00EF788A" w:rsidRPr="00D22B77" w:rsidRDefault="00EF788A" w:rsidP="00EF788A">
            <w:pPr>
              <w:spacing w:before="40" w:after="40" w:line="240" w:lineRule="exact"/>
              <w:rPr>
                <w:rtl/>
              </w:rPr>
            </w:pPr>
            <w:r w:rsidRPr="00D22B77">
              <w:rPr>
                <w:rtl/>
              </w:rPr>
              <w:br w:type="page"/>
            </w:r>
            <w:r w:rsidRPr="00D22B77">
              <w:rPr>
                <w:rtl/>
              </w:rPr>
              <w:br w:type="page"/>
            </w:r>
            <w:r w:rsidRPr="00D22B77">
              <w:rPr>
                <w:b/>
                <w:bCs/>
                <w:rtl/>
              </w:rPr>
              <w:t xml:space="preserve">القرار </w:t>
            </w:r>
            <w:r w:rsidRPr="00D22B77">
              <w:rPr>
                <w:b/>
                <w:bCs/>
              </w:rPr>
              <w:t>2</w:t>
            </w:r>
          </w:p>
        </w:tc>
        <w:tc>
          <w:tcPr>
            <w:tcW w:w="7479" w:type="dxa"/>
          </w:tcPr>
          <w:p w:rsidR="00EF788A" w:rsidRPr="00D22B77" w:rsidRDefault="00EF788A" w:rsidP="00EF788A">
            <w:pPr>
              <w:spacing w:before="40" w:after="40" w:line="240" w:lineRule="exact"/>
              <w:rPr>
                <w:rtl/>
              </w:rPr>
            </w:pPr>
          </w:p>
        </w:tc>
      </w:tr>
    </w:tbl>
    <w:p w:rsidR="00EF788A" w:rsidRPr="00D22B77" w:rsidRDefault="00EF788A" w:rsidP="0009689E">
      <w:pPr>
        <w:spacing w:before="240"/>
        <w:rPr>
          <w:rtl/>
        </w:rPr>
      </w:pPr>
      <w:r>
        <w:t>1</w:t>
      </w:r>
      <w:r w:rsidRPr="00D22B77">
        <w:rPr>
          <w:rtl/>
        </w:rPr>
        <w:tab/>
        <w:t xml:space="preserve">يمكن تحويل تخصيص معين من القائمة </w:t>
      </w:r>
      <w:r w:rsidRPr="00D22B77">
        <w:t>B</w:t>
      </w:r>
      <w:r w:rsidRPr="00D22B77">
        <w:rPr>
          <w:rtl/>
        </w:rPr>
        <w:t xml:space="preserve"> إلى القائمة </w:t>
      </w:r>
      <w:r w:rsidRPr="00D22B77">
        <w:t>A</w:t>
      </w:r>
      <w:r w:rsidRPr="00D22B77">
        <w:rPr>
          <w:rtl/>
        </w:rPr>
        <w:t xml:space="preserve"> شريطة التغلب على حالات عدم المواءمة التي أدت في البداية إلى تسجيل هذا التخصيص في القائمة </w:t>
      </w:r>
      <w:r w:rsidRPr="00D22B77">
        <w:t>B</w:t>
      </w:r>
      <w:r w:rsidRPr="00D22B77">
        <w:rPr>
          <w:rtl/>
        </w:rPr>
        <w:t xml:space="preserve">. ويصف القرار </w:t>
      </w:r>
      <w:r w:rsidRPr="00D22B77">
        <w:t>2</w:t>
      </w:r>
      <w:r w:rsidRPr="00D22B77">
        <w:rPr>
          <w:rtl/>
        </w:rPr>
        <w:t xml:space="preserve"> الصادر عن المؤتمر الإداري الإقليمي للإذاعة بالموجات الهكتومترية </w:t>
      </w:r>
      <w:r w:rsidRPr="00D22B77">
        <w:t>(MF)</w:t>
      </w:r>
      <w:r w:rsidRPr="00D22B77">
        <w:rPr>
          <w:rtl/>
        </w:rPr>
        <w:t xml:space="preserve"> (الإقليم </w:t>
      </w:r>
      <w:r w:rsidRPr="00D22B77">
        <w:t>2</w:t>
      </w:r>
      <w:r w:rsidRPr="00D22B77">
        <w:rPr>
          <w:rtl/>
        </w:rPr>
        <w:t xml:space="preserve">) (ريو دي جانيرو، </w:t>
      </w:r>
      <w:r w:rsidRPr="00D22B77">
        <w:t>1981</w:t>
      </w:r>
      <w:r w:rsidRPr="00D22B77">
        <w:rPr>
          <w:rtl/>
        </w:rPr>
        <w:t xml:space="preserve">) الإجراء الذي يجب تطبيقه من أجل التغلب على حالات عدم المواءمة. وبموجب هذا الإجراء، يتعين على الإدارات التي لها تخصيصات مسجلة في القائمة </w:t>
      </w:r>
      <w:r w:rsidRPr="00D22B77">
        <w:t>B</w:t>
      </w:r>
      <w:r w:rsidRPr="00D22B77">
        <w:rPr>
          <w:rtl/>
        </w:rPr>
        <w:t>، أن تواصل المفاوضات وأن تجد حلولاً، في أقرب وقت ممكن، لحالات عدم المواءمة التي تعذر حلها.</w:t>
      </w:r>
    </w:p>
    <w:p w:rsidR="00EF788A" w:rsidRPr="00D22B77" w:rsidRDefault="005202F1" w:rsidP="0009689E">
      <w:pPr>
        <w:spacing w:before="240"/>
        <w:rPr>
          <w:rtl/>
        </w:rPr>
      </w:pPr>
      <w:r>
        <w:br w:type="page"/>
      </w:r>
      <w:r w:rsidR="00EF788A">
        <w:lastRenderedPageBreak/>
        <w:t>2</w:t>
      </w:r>
      <w:r w:rsidR="00EF788A" w:rsidRPr="00D22B77">
        <w:rPr>
          <w:rtl/>
        </w:rPr>
        <w:tab/>
        <w:t xml:space="preserve">بعد أن يطبق بنجاح الإجراء المتصل بإدخال تعديلات على الخطة (المادة </w:t>
      </w:r>
      <w:r w:rsidR="00EF788A" w:rsidRPr="00D22B77">
        <w:t>4</w:t>
      </w:r>
      <w:r w:rsidR="00EF788A" w:rsidRPr="00D22B77">
        <w:rPr>
          <w:rtl/>
        </w:rPr>
        <w:t xml:space="preserve"> من الاتفاق الإقليمي)، يجوز إدخال تعديلات على خصائص تخصيص مسجل في القائمة </w:t>
      </w:r>
      <w:r w:rsidR="00EF788A" w:rsidRPr="00D22B77">
        <w:t>B</w:t>
      </w:r>
      <w:r w:rsidR="00EF788A" w:rsidRPr="00D22B77">
        <w:rPr>
          <w:rtl/>
        </w:rPr>
        <w:t xml:space="preserve"> بحيث يتم تبرير تحويل التخصيص إلى القائمة </w:t>
      </w:r>
      <w:r w:rsidR="00EF788A" w:rsidRPr="00D22B77">
        <w:t>A</w:t>
      </w:r>
      <w:r w:rsidR="00EF788A" w:rsidRPr="00D22B77">
        <w:rPr>
          <w:rtl/>
        </w:rPr>
        <w:t xml:space="preserve">. ولذا ينبغي وضع إجراء يطبق على كل تخصيص من القائمة </w:t>
      </w:r>
      <w:r w:rsidR="00EF788A" w:rsidRPr="00D22B77">
        <w:t>B</w:t>
      </w:r>
      <w:r w:rsidR="00EF788A" w:rsidRPr="00D22B77">
        <w:rPr>
          <w:rtl/>
        </w:rPr>
        <w:t xml:space="preserve">، تم تعديل خصائصه بموجب المادة </w:t>
      </w:r>
      <w:r w:rsidR="00EF788A" w:rsidRPr="00D22B77">
        <w:t>4</w:t>
      </w:r>
      <w:r w:rsidR="00EF788A" w:rsidRPr="00D22B77">
        <w:rPr>
          <w:rtl/>
        </w:rPr>
        <w:t xml:space="preserve"> من الاتفاق الإقليمي، لتحديد ما إذا كان يجوز تحويل هذا التخصيص إلى القائمة </w:t>
      </w:r>
      <w:r w:rsidR="00EF788A" w:rsidRPr="00D22B77">
        <w:t>A</w:t>
      </w:r>
      <w:r w:rsidR="00EF788A" w:rsidRPr="00D22B77">
        <w:rPr>
          <w:rtl/>
        </w:rPr>
        <w:t>. و</w:t>
      </w:r>
      <w:r w:rsidR="009C7089">
        <w:rPr>
          <w:rFonts w:hint="cs"/>
          <w:rtl/>
        </w:rPr>
        <w:t>و</w:t>
      </w:r>
      <w:r w:rsidR="00EF788A" w:rsidRPr="00D22B77">
        <w:rPr>
          <w:rtl/>
        </w:rPr>
        <w:t>ضعت اللجنة الإجراء التالي لهذه الغاية ويعد هذا الإجر</w:t>
      </w:r>
      <w:r w:rsidR="00EF788A">
        <w:rPr>
          <w:rFonts w:hint="cs"/>
          <w:rtl/>
        </w:rPr>
        <w:t>ا</w:t>
      </w:r>
      <w:r w:rsidR="00EF788A" w:rsidRPr="00D22B77">
        <w:rPr>
          <w:rtl/>
        </w:rPr>
        <w:t xml:space="preserve">ء متمايزاً عن الإجراء الذي يحدده القرار </w:t>
      </w:r>
      <w:r w:rsidR="00EF788A" w:rsidRPr="00D22B77">
        <w:t>2</w:t>
      </w:r>
      <w:r w:rsidR="00EF788A" w:rsidRPr="00D22B77">
        <w:rPr>
          <w:rtl/>
        </w:rPr>
        <w:t xml:space="preserve"> الصادر عن المؤتمر ويضاف إليه.</w:t>
      </w:r>
    </w:p>
    <w:p w:rsidR="00EF788A" w:rsidRPr="00D22B77" w:rsidRDefault="00EF788A" w:rsidP="0009689E">
      <w:pPr>
        <w:spacing w:before="240"/>
        <w:rPr>
          <w:rtl/>
        </w:rPr>
      </w:pPr>
      <w:r>
        <w:t>3</w:t>
      </w:r>
      <w:r w:rsidRPr="00D22B77">
        <w:rPr>
          <w:rtl/>
        </w:rPr>
        <w:tab/>
        <w:t xml:space="preserve">عند تطبيق إجراء المادة </w:t>
      </w:r>
      <w:r w:rsidRPr="00D22B77">
        <w:t>4</w:t>
      </w:r>
      <w:r w:rsidRPr="00D22B77">
        <w:rPr>
          <w:rtl/>
        </w:rPr>
        <w:t xml:space="preserve"> على التعديل الذي يُقترح إدخاله على خصائص التخصيص الوارد في القائمة </w:t>
      </w:r>
      <w:r w:rsidRPr="00D22B77">
        <w:t>B</w:t>
      </w:r>
      <w:r w:rsidRPr="00D22B77">
        <w:rPr>
          <w:rtl/>
        </w:rPr>
        <w:t>، يجب ألا</w:t>
      </w:r>
      <w:r w:rsidR="00E24532">
        <w:rPr>
          <w:rFonts w:hint="cs"/>
          <w:rtl/>
        </w:rPr>
        <w:t>ّ</w:t>
      </w:r>
      <w:r w:rsidRPr="00D22B77">
        <w:rPr>
          <w:rtl/>
        </w:rPr>
        <w:t xml:space="preserve"> تؤخذ في الاعتبار الجوانب المتصلة باحتمال تحويل هذا التخصيص من القائمة </w:t>
      </w:r>
      <w:r w:rsidRPr="00D22B77">
        <w:t>B</w:t>
      </w:r>
      <w:r w:rsidRPr="00D22B77">
        <w:rPr>
          <w:rtl/>
        </w:rPr>
        <w:t xml:space="preserve"> إلى القائمة </w:t>
      </w:r>
      <w:r w:rsidRPr="00D22B77">
        <w:t>A</w:t>
      </w:r>
      <w:r w:rsidRPr="00D22B77">
        <w:rPr>
          <w:rtl/>
        </w:rPr>
        <w:t xml:space="preserve">. وسيتم </w:t>
      </w:r>
      <w:r w:rsidR="008D3369">
        <w:rPr>
          <w:rFonts w:hint="cs"/>
          <w:rtl/>
        </w:rPr>
        <w:t>النظر في</w:t>
      </w:r>
      <w:r w:rsidRPr="00D22B77">
        <w:rPr>
          <w:rtl/>
        </w:rPr>
        <w:t xml:space="preserve"> التحويل المحتمل من القائمة </w:t>
      </w:r>
      <w:r w:rsidRPr="00D22B77">
        <w:t>B</w:t>
      </w:r>
      <w:r w:rsidRPr="00D22B77">
        <w:rPr>
          <w:rtl/>
        </w:rPr>
        <w:t xml:space="preserve"> إلى القائمة </w:t>
      </w:r>
      <w:r w:rsidRPr="00D22B77">
        <w:t>A</w:t>
      </w:r>
      <w:r w:rsidRPr="00D22B77">
        <w:rPr>
          <w:rtl/>
        </w:rPr>
        <w:t xml:space="preserve"> بمجرد استكمال إجراء المادة </w:t>
      </w:r>
      <w:r w:rsidRPr="00D22B77">
        <w:t>4</w:t>
      </w:r>
      <w:r w:rsidRPr="00D22B77">
        <w:rPr>
          <w:rtl/>
        </w:rPr>
        <w:t>.</w:t>
      </w:r>
    </w:p>
    <w:p w:rsidR="00EF788A" w:rsidRPr="00D22B77" w:rsidRDefault="00EF788A" w:rsidP="0009689E">
      <w:pPr>
        <w:spacing w:before="240"/>
        <w:rPr>
          <w:rtl/>
        </w:rPr>
      </w:pPr>
      <w:r>
        <w:t>4</w:t>
      </w:r>
      <w:r w:rsidRPr="00D22B77">
        <w:rPr>
          <w:rtl/>
        </w:rPr>
        <w:tab/>
        <w:t xml:space="preserve">بعد استكمال إجراء المادة </w:t>
      </w:r>
      <w:r w:rsidRPr="00D22B77">
        <w:t>4</w:t>
      </w:r>
      <w:r w:rsidRPr="00D22B77">
        <w:rPr>
          <w:rtl/>
        </w:rPr>
        <w:t xml:space="preserve"> مباشرة، يجب تفحص كل تخصيص (مع الخصائص المعد</w:t>
      </w:r>
      <w:r w:rsidR="00E24532">
        <w:rPr>
          <w:rFonts w:hint="cs"/>
          <w:rtl/>
        </w:rPr>
        <w:t>ّ</w:t>
      </w:r>
      <w:r w:rsidRPr="00D22B77">
        <w:rPr>
          <w:rtl/>
        </w:rPr>
        <w:t xml:space="preserve">لة) لتقييم مفعول التعديلات المدخلة </w:t>
      </w:r>
      <w:r w:rsidR="007A0CA7">
        <w:rPr>
          <w:rFonts w:hint="cs"/>
          <w:rtl/>
        </w:rPr>
        <w:t xml:space="preserve">توخياً </w:t>
      </w:r>
      <w:r w:rsidRPr="00D22B77">
        <w:rPr>
          <w:rtl/>
        </w:rPr>
        <w:t xml:space="preserve">لاحتمال تحويل التخصيصات من القائمة </w:t>
      </w:r>
      <w:r w:rsidRPr="00D22B77">
        <w:t>B</w:t>
      </w:r>
      <w:r w:rsidRPr="00D22B77">
        <w:rPr>
          <w:rtl/>
        </w:rPr>
        <w:t xml:space="preserve"> إلى القائمة </w:t>
      </w:r>
      <w:r w:rsidRPr="00D22B77">
        <w:t>A</w:t>
      </w:r>
      <w:r w:rsidRPr="00D22B77">
        <w:rPr>
          <w:rtl/>
        </w:rPr>
        <w:t xml:space="preserve">. وقد يؤدي هذا التفحص إلى ظهور زيادة أو نقصان في مجال التشويش الذي تعانيه التخصيصات الأخرى المعنية الواردة في القائمة </w:t>
      </w:r>
      <w:r w:rsidRPr="00D22B77">
        <w:t>B</w:t>
      </w:r>
      <w:r w:rsidRPr="00D22B77">
        <w:rPr>
          <w:rtl/>
        </w:rPr>
        <w:t>.</w:t>
      </w:r>
    </w:p>
    <w:p w:rsidR="00EF788A" w:rsidRPr="00561DBF" w:rsidRDefault="00EF788A" w:rsidP="00EF788A">
      <w:pPr>
        <w:pStyle w:val="Heading1"/>
        <w:rPr>
          <w:bCs/>
          <w:rtl/>
        </w:rPr>
      </w:pPr>
      <w:r w:rsidRPr="00561DBF">
        <w:rPr>
          <w:bCs/>
        </w:rPr>
        <w:t>5</w:t>
      </w:r>
      <w:r w:rsidRPr="00561DBF">
        <w:rPr>
          <w:bCs/>
          <w:rtl/>
        </w:rPr>
        <w:tab/>
        <w:t>زيادة مجال التشويش</w:t>
      </w:r>
    </w:p>
    <w:p w:rsidR="00EF788A" w:rsidRPr="00D22B77" w:rsidRDefault="00EF788A" w:rsidP="0009689E">
      <w:pPr>
        <w:spacing w:before="240"/>
        <w:rPr>
          <w:rtl/>
        </w:rPr>
      </w:pPr>
      <w:r>
        <w:t>1.5</w:t>
      </w:r>
      <w:r w:rsidRPr="00D22B77">
        <w:rPr>
          <w:rtl/>
        </w:rPr>
        <w:tab/>
        <w:t xml:space="preserve">قد يحتوي </w:t>
      </w:r>
      <w:r w:rsidR="00E24532">
        <w:rPr>
          <w:rFonts w:hint="cs"/>
          <w:rtl/>
        </w:rPr>
        <w:t>أيضاً</w:t>
      </w:r>
      <w:r w:rsidRPr="00D22B77">
        <w:rPr>
          <w:rtl/>
        </w:rPr>
        <w:t xml:space="preserve"> الجزء </w:t>
      </w:r>
      <w:r w:rsidRPr="00D22B77">
        <w:t>A</w:t>
      </w:r>
      <w:r w:rsidRPr="00D22B77">
        <w:rPr>
          <w:rtl/>
        </w:rPr>
        <w:t xml:space="preserve"> من القسم الخاص </w:t>
      </w:r>
      <w:r w:rsidRPr="00D22B77">
        <w:t>RJ81</w:t>
      </w:r>
      <w:r w:rsidRPr="00D22B77">
        <w:rPr>
          <w:rtl/>
        </w:rPr>
        <w:t xml:space="preserve"> الذي نشر فيه التعديل المذكور سابقاً على أسماء الإدارات التي لديها تخصيصات مسجلة في القائمة </w:t>
      </w:r>
      <w:r w:rsidRPr="00D22B77">
        <w:t>B</w:t>
      </w:r>
      <w:r w:rsidRPr="00D22B77">
        <w:rPr>
          <w:rtl/>
        </w:rPr>
        <w:t xml:space="preserve"> تعرضت إلى تأثيرات غير مؤاتية. </w:t>
      </w:r>
      <w:r w:rsidR="000F5E64">
        <w:rPr>
          <w:rFonts w:hint="cs"/>
          <w:rtl/>
        </w:rPr>
        <w:t>وبما</w:t>
      </w:r>
      <w:r w:rsidRPr="00D22B77">
        <w:rPr>
          <w:rtl/>
        </w:rPr>
        <w:t xml:space="preserve"> أنه كان من الممكن تسجيل التخصيص الذي عدلت خصائصه في الخطة، فإن ذلك يدل على أن اتفاقاً قد أ</w:t>
      </w:r>
      <w:r w:rsidR="00E24532">
        <w:rPr>
          <w:rFonts w:hint="cs"/>
          <w:rtl/>
        </w:rPr>
        <w:t>ُ</w:t>
      </w:r>
      <w:r w:rsidRPr="00D22B77">
        <w:rPr>
          <w:rtl/>
        </w:rPr>
        <w:t xml:space="preserve">برم بشأن التداخل خاصة مع الإدارات التي لديها تخصيصات مسجلة في القائمة </w:t>
      </w:r>
      <w:r w:rsidRPr="00D22B77">
        <w:t>B</w:t>
      </w:r>
      <w:r w:rsidRPr="00D22B77">
        <w:rPr>
          <w:rtl/>
        </w:rPr>
        <w:t xml:space="preserve"> تعرضت إلى تأثيرات غير </w:t>
      </w:r>
      <w:r w:rsidR="0029743B">
        <w:rPr>
          <w:rFonts w:hint="cs"/>
          <w:rtl/>
        </w:rPr>
        <w:t>مؤاتية</w:t>
      </w:r>
      <w:r w:rsidR="00E24532">
        <w:rPr>
          <w:rFonts w:hint="cs"/>
          <w:rtl/>
        </w:rPr>
        <w:t xml:space="preserve"> بسبب هذا التداخل</w:t>
      </w:r>
      <w:r w:rsidRPr="00D22B77">
        <w:rPr>
          <w:rtl/>
        </w:rPr>
        <w:t xml:space="preserve">. وإذا تم في الأصل تسجيل التخصيص المعدل في القائمة </w:t>
      </w:r>
      <w:r w:rsidRPr="00D22B77">
        <w:t>B</w:t>
      </w:r>
      <w:r w:rsidRPr="00D22B77">
        <w:rPr>
          <w:rtl/>
        </w:rPr>
        <w:t xml:space="preserve"> فقط لأن التداخلات التي سببها غير مقبولة، يجب الآن تحويل هذه التخصيصات إلى القائمة </w:t>
      </w:r>
      <w:r w:rsidRPr="00D22B77">
        <w:t>A</w:t>
      </w:r>
      <w:r w:rsidRPr="00D22B77">
        <w:rPr>
          <w:rtl/>
        </w:rPr>
        <w:t xml:space="preserve"> إذا كان الاتفاق الذي ينطبق على جميع التخصيصات المعنية </w:t>
      </w:r>
      <w:r w:rsidR="000F5E64">
        <w:rPr>
          <w:rFonts w:hint="cs"/>
          <w:rtl/>
        </w:rPr>
        <w:t>في</w:t>
      </w:r>
      <w:r w:rsidRPr="00D22B77">
        <w:rPr>
          <w:rtl/>
        </w:rPr>
        <w:t xml:space="preserve"> القائمة </w:t>
      </w:r>
      <w:r w:rsidRPr="00D22B77">
        <w:t>B</w:t>
      </w:r>
      <w:r w:rsidRPr="00D22B77">
        <w:rPr>
          <w:rtl/>
        </w:rPr>
        <w:t xml:space="preserve"> قد تم الحصول عليه من خلال إجراء المادة </w:t>
      </w:r>
      <w:r w:rsidRPr="00D22B77">
        <w:t>4</w:t>
      </w:r>
      <w:r w:rsidRPr="00D22B77">
        <w:rPr>
          <w:rtl/>
        </w:rPr>
        <w:t xml:space="preserve">. أما إذا كان سبب التحويل ليس فقط إحداث تداخل غير مقبول وإنما أيضاً تلقي تداخل غير مقبول، فيجب التشاور مع الإدارة المعنية قبل تحويل التخصيص إلى القائمة </w:t>
      </w:r>
      <w:r w:rsidRPr="00D22B77">
        <w:t>A</w:t>
      </w:r>
      <w:r w:rsidRPr="00D22B77">
        <w:rPr>
          <w:rtl/>
        </w:rPr>
        <w:t>.</w:t>
      </w:r>
    </w:p>
    <w:p w:rsidR="00EF788A" w:rsidRPr="00561DBF" w:rsidRDefault="00EF788A" w:rsidP="00EF788A">
      <w:pPr>
        <w:pStyle w:val="Heading1"/>
        <w:rPr>
          <w:bCs/>
          <w:rtl/>
        </w:rPr>
      </w:pPr>
      <w:r w:rsidRPr="00561DBF">
        <w:rPr>
          <w:bCs/>
        </w:rPr>
        <w:t>6</w:t>
      </w:r>
      <w:r w:rsidRPr="00561DBF">
        <w:rPr>
          <w:bCs/>
          <w:rtl/>
        </w:rPr>
        <w:tab/>
        <w:t>نقصان مجال التشويش</w:t>
      </w:r>
    </w:p>
    <w:p w:rsidR="00EF788A" w:rsidRPr="00D22B77" w:rsidRDefault="00EF788A" w:rsidP="0009689E">
      <w:pPr>
        <w:spacing w:before="240"/>
        <w:rPr>
          <w:rtl/>
        </w:rPr>
      </w:pPr>
      <w:r>
        <w:t>1.6</w:t>
      </w:r>
      <w:r w:rsidRPr="00D22B77">
        <w:rPr>
          <w:rtl/>
        </w:rPr>
        <w:tab/>
        <w:t>يجب تفحص التخصيص المعد</w:t>
      </w:r>
      <w:r w:rsidR="000F5E64">
        <w:rPr>
          <w:rFonts w:hint="cs"/>
          <w:rtl/>
        </w:rPr>
        <w:t>ّ</w:t>
      </w:r>
      <w:r w:rsidRPr="00D22B77">
        <w:rPr>
          <w:rtl/>
        </w:rPr>
        <w:t>ل لإظهار التحسين الناتج الذي تشهده جميع التخصيصات المسج</w:t>
      </w:r>
      <w:r w:rsidR="000F5E64">
        <w:rPr>
          <w:rFonts w:hint="cs"/>
          <w:rtl/>
        </w:rPr>
        <w:t>ّ</w:t>
      </w:r>
      <w:r w:rsidRPr="00D22B77">
        <w:rPr>
          <w:rtl/>
        </w:rPr>
        <w:t xml:space="preserve">لة في القائمة </w:t>
      </w:r>
      <w:r w:rsidRPr="00D22B77">
        <w:t>B</w:t>
      </w:r>
      <w:r w:rsidRPr="00D22B77">
        <w:rPr>
          <w:rtl/>
        </w:rPr>
        <w:t xml:space="preserve"> التي كان يسبب لها هذا التخصيص تداخلات غير مقبولة في خطة </w:t>
      </w:r>
      <w:r w:rsidRPr="00D22B77">
        <w:t>1</w:t>
      </w:r>
      <w:r w:rsidRPr="00D22B77">
        <w:rPr>
          <w:rtl/>
        </w:rPr>
        <w:t xml:space="preserve"> يناير </w:t>
      </w:r>
      <w:r w:rsidRPr="00D22B77">
        <w:t>1982</w:t>
      </w:r>
      <w:r w:rsidRPr="00D22B77">
        <w:rPr>
          <w:rtl/>
        </w:rPr>
        <w:t>. وإذا بي</w:t>
      </w:r>
      <w:r w:rsidR="000F5E64">
        <w:rPr>
          <w:rFonts w:hint="cs"/>
          <w:rtl/>
        </w:rPr>
        <w:t>ّ</w:t>
      </w:r>
      <w:r w:rsidRPr="00D22B77">
        <w:rPr>
          <w:rtl/>
        </w:rPr>
        <w:t xml:space="preserve">ن هذا التفحص أن التخصيصات المسجلة في القائمة </w:t>
      </w:r>
      <w:r w:rsidRPr="00D22B77">
        <w:t>B</w:t>
      </w:r>
      <w:r w:rsidRPr="00D22B77">
        <w:rPr>
          <w:rtl/>
        </w:rPr>
        <w:t xml:space="preserve"> لم تعد بفضل هذه الخصائص المعدلة تعتبر متأثرة تأثراً غير مؤاتٍ بتاريخ </w:t>
      </w:r>
      <w:r w:rsidRPr="00D22B77">
        <w:t>1</w:t>
      </w:r>
      <w:r w:rsidRPr="00D22B77">
        <w:rPr>
          <w:rtl/>
        </w:rPr>
        <w:t xml:space="preserve"> يناير </w:t>
      </w:r>
      <w:r w:rsidRPr="00D22B77">
        <w:t>1982</w:t>
      </w:r>
      <w:r w:rsidRPr="00D22B77">
        <w:rPr>
          <w:rtl/>
        </w:rPr>
        <w:t xml:space="preserve">، يجب تحويل التخصيص المعدل إلى القائمة </w:t>
      </w:r>
      <w:r w:rsidRPr="00D22B77">
        <w:t>A</w:t>
      </w:r>
      <w:r w:rsidRPr="00D22B77">
        <w:rPr>
          <w:rtl/>
        </w:rPr>
        <w:t xml:space="preserve"> بعد التشاور بشأن التداخل </w:t>
      </w:r>
      <w:r w:rsidR="0029743B">
        <w:rPr>
          <w:rFonts w:hint="cs"/>
          <w:rtl/>
        </w:rPr>
        <w:t>المستقبل</w:t>
      </w:r>
      <w:r w:rsidR="000F5E64">
        <w:rPr>
          <w:rFonts w:hint="cs"/>
          <w:rtl/>
        </w:rPr>
        <w:t xml:space="preserve"> إذا اقتضى الأمر ذلك</w:t>
      </w:r>
      <w:r w:rsidRPr="00D22B77">
        <w:rPr>
          <w:rtl/>
        </w:rPr>
        <w:t>.</w:t>
      </w:r>
    </w:p>
    <w:p w:rsidR="00EF788A" w:rsidRPr="00D22B77" w:rsidRDefault="00E24532" w:rsidP="0009689E">
      <w:pPr>
        <w:spacing w:before="240"/>
        <w:rPr>
          <w:rtl/>
        </w:rPr>
      </w:pPr>
      <w:r>
        <w:t>2</w:t>
      </w:r>
      <w:r w:rsidR="00EF788A">
        <w:t>.6</w:t>
      </w:r>
      <w:r w:rsidR="00EF788A" w:rsidRPr="00D22B77">
        <w:rPr>
          <w:rtl/>
        </w:rPr>
        <w:tab/>
        <w:t>عندما يؤدي التفحص المذكور أعلاه إلى نتيجة غير مؤاتية، يجب تفحص مساهمة التخصيص المعدل في التداخل حسب الحالة العامة للتداخل العائد إلى محطات مسجلة في الخطة با</w:t>
      </w:r>
      <w:r w:rsidR="00EF788A">
        <w:rPr>
          <w:rtl/>
        </w:rPr>
        <w:t xml:space="preserve">سم البلد الذي له تخصيصات واردة </w:t>
      </w:r>
      <w:r w:rsidR="00EF788A" w:rsidRPr="00D22B77">
        <w:rPr>
          <w:rtl/>
        </w:rPr>
        <w:t xml:space="preserve">في القائمة </w:t>
      </w:r>
      <w:r w:rsidR="00EF788A" w:rsidRPr="00D22B77">
        <w:t>B</w:t>
      </w:r>
      <w:r w:rsidR="00EF788A" w:rsidRPr="00D22B77">
        <w:rPr>
          <w:rtl/>
        </w:rPr>
        <w:t xml:space="preserve"> تتأثر تأثراً غير مؤات. وستبين نتائج هذا التفحص ما إذا كان يجب على المكتب أن يدعو الإدارات المعنية إلى النظر في إمكانية الموافقة على هذا المستوى من عدم </w:t>
      </w:r>
      <w:r>
        <w:rPr>
          <w:rFonts w:hint="cs"/>
          <w:rtl/>
        </w:rPr>
        <w:t>المواءمة</w:t>
      </w:r>
      <w:r w:rsidR="00EF788A" w:rsidRPr="00D22B77">
        <w:rPr>
          <w:rtl/>
        </w:rPr>
        <w:t>.</w:t>
      </w:r>
    </w:p>
    <w:p w:rsidR="00EF788A" w:rsidRPr="00561DBF" w:rsidRDefault="005202F1" w:rsidP="00137606">
      <w:pPr>
        <w:pStyle w:val="Heading1"/>
        <w:spacing w:before="120"/>
        <w:rPr>
          <w:bCs/>
          <w:rtl/>
        </w:rPr>
      </w:pPr>
      <w:r>
        <w:rPr>
          <w:bCs/>
        </w:rPr>
        <w:br w:type="page"/>
      </w:r>
      <w:r w:rsidR="00EF788A" w:rsidRPr="00561DBF">
        <w:rPr>
          <w:bCs/>
        </w:rPr>
        <w:lastRenderedPageBreak/>
        <w:t>7</w:t>
      </w:r>
      <w:r w:rsidR="00EF788A" w:rsidRPr="00561DBF">
        <w:rPr>
          <w:bCs/>
          <w:rtl/>
        </w:rPr>
        <w:tab/>
        <w:t xml:space="preserve">تخصيصات أخرى من القائمة </w:t>
      </w:r>
      <w:r w:rsidR="00EF788A" w:rsidRPr="00561DBF">
        <w:rPr>
          <w:bCs/>
        </w:rPr>
        <w:t>B</w:t>
      </w:r>
    </w:p>
    <w:p w:rsidR="00EF788A" w:rsidRPr="00D22B77" w:rsidRDefault="00EF788A" w:rsidP="0088574C">
      <w:pPr>
        <w:spacing w:before="240"/>
        <w:rPr>
          <w:rtl/>
        </w:rPr>
      </w:pPr>
      <w:r>
        <w:t>1.7</w:t>
      </w:r>
      <w:r w:rsidRPr="00D22B77">
        <w:rPr>
          <w:rtl/>
        </w:rPr>
        <w:tab/>
        <w:t xml:space="preserve">عندما يحوّل تخصيص </w:t>
      </w:r>
      <w:r w:rsidR="00191681">
        <w:rPr>
          <w:rFonts w:hint="cs"/>
          <w:rtl/>
        </w:rPr>
        <w:t>ذو خصائص معدلة</w:t>
      </w:r>
      <w:r w:rsidRPr="00D22B77">
        <w:rPr>
          <w:rtl/>
        </w:rPr>
        <w:t xml:space="preserve"> من القائمة </w:t>
      </w:r>
      <w:r w:rsidRPr="00D22B77">
        <w:t>B</w:t>
      </w:r>
      <w:r w:rsidRPr="00D22B77">
        <w:rPr>
          <w:rtl/>
        </w:rPr>
        <w:t xml:space="preserve"> إلى القائمة </w:t>
      </w:r>
      <w:r w:rsidRPr="00D22B77">
        <w:t>A</w:t>
      </w:r>
      <w:r w:rsidRPr="00D22B77">
        <w:rPr>
          <w:rtl/>
        </w:rPr>
        <w:t xml:space="preserve">، ينبغي تفحص حالة التخصيصات الأخرى المصاحبة من القائمة </w:t>
      </w:r>
      <w:r w:rsidRPr="00D22B77">
        <w:t>B</w:t>
      </w:r>
      <w:r w:rsidRPr="00D22B77">
        <w:rPr>
          <w:rtl/>
        </w:rPr>
        <w:t xml:space="preserve"> من منظور البطاقة </w:t>
      </w:r>
      <w:r w:rsidRPr="00D22B77">
        <w:t>B</w:t>
      </w:r>
      <w:r w:rsidRPr="00D22B77">
        <w:rPr>
          <w:rtl/>
        </w:rPr>
        <w:t xml:space="preserve"> ويتعين التشاور مع الإدارات المعنية قبل </w:t>
      </w:r>
      <w:r w:rsidR="00C12FC2">
        <w:rPr>
          <w:rFonts w:hint="cs"/>
          <w:rtl/>
        </w:rPr>
        <w:t>النظر في</w:t>
      </w:r>
      <w:r w:rsidRPr="00D22B77">
        <w:rPr>
          <w:rtl/>
        </w:rPr>
        <w:t xml:space="preserve"> إجراء أية تحويلات أخرى</w:t>
      </w:r>
      <w:r w:rsidR="0029743B">
        <w:rPr>
          <w:rFonts w:hint="cs"/>
          <w:rtl/>
        </w:rPr>
        <w:t xml:space="preserve"> تبدو ممكنة</w:t>
      </w:r>
      <w:r w:rsidRPr="00D22B77">
        <w:rPr>
          <w:rtl/>
        </w:rPr>
        <w:t>.</w:t>
      </w:r>
    </w:p>
    <w:p w:rsidR="00EF788A" w:rsidRPr="00D22B77" w:rsidRDefault="00E24532" w:rsidP="0088574C">
      <w:pPr>
        <w:spacing w:before="240"/>
        <w:rPr>
          <w:rtl/>
        </w:rPr>
      </w:pPr>
      <w:r>
        <w:t>2</w:t>
      </w:r>
      <w:r w:rsidR="00EF788A">
        <w:t>.7</w:t>
      </w:r>
      <w:r w:rsidR="00EF788A" w:rsidRPr="00D22B77">
        <w:rPr>
          <w:rtl/>
        </w:rPr>
        <w:tab/>
        <w:t xml:space="preserve">فيما يتعلق بالتحويلات من القائمة </w:t>
      </w:r>
      <w:r w:rsidR="00EF788A" w:rsidRPr="00D22B77">
        <w:t>B</w:t>
      </w:r>
      <w:r w:rsidR="00EF788A" w:rsidRPr="00D22B77">
        <w:rPr>
          <w:rtl/>
        </w:rPr>
        <w:t xml:space="preserve"> إلى القائمة </w:t>
      </w:r>
      <w:r w:rsidR="00EF788A" w:rsidRPr="00D22B77">
        <w:t>A</w:t>
      </w:r>
      <w:r w:rsidR="00EF788A" w:rsidRPr="00D22B77">
        <w:rPr>
          <w:rtl/>
        </w:rPr>
        <w:t xml:space="preserve">، تكون الحالة المرجعية لتفحص التحويل هي الحالة السارية في </w:t>
      </w:r>
      <w:r w:rsidR="00EF788A" w:rsidRPr="00D22B77">
        <w:t>1</w:t>
      </w:r>
      <w:r w:rsidR="00EF788A" w:rsidRPr="00D22B77">
        <w:rPr>
          <w:rtl/>
        </w:rPr>
        <w:t xml:space="preserve"> يناير </w:t>
      </w:r>
      <w:r w:rsidR="00EF788A" w:rsidRPr="00D22B77">
        <w:t>1982</w:t>
      </w:r>
      <w:r w:rsidR="00EF788A" w:rsidRPr="00D22B77">
        <w:rPr>
          <w:rtl/>
        </w:rPr>
        <w:t xml:space="preserve"> بعد تطبيق إجراء التصحيح الوارد في الملحق </w:t>
      </w:r>
      <w:r w:rsidR="00EF788A" w:rsidRPr="00D22B77">
        <w:t>1</w:t>
      </w:r>
      <w:r w:rsidR="00EF788A" w:rsidRPr="00D22B77">
        <w:rPr>
          <w:rtl/>
        </w:rPr>
        <w:t xml:space="preserve"> بالقرار </w:t>
      </w:r>
      <w:r w:rsidR="00EF788A" w:rsidRPr="00D22B77">
        <w:t>2</w:t>
      </w:r>
      <w:r w:rsidR="00EF788A" w:rsidRPr="00D22B77">
        <w:rPr>
          <w:rtl/>
        </w:rPr>
        <w:t xml:space="preserve"> الصادر عن المؤتمر. وينبغي ألا تؤخذ بالحسبان جميع المجالات المسببة للتداخل التي كانت محجوبة في السابق بتداخل أعلى عند النظر في إمكانية التحويل من القائمة </w:t>
      </w:r>
      <w:r w:rsidR="00EF788A" w:rsidRPr="00D22B77">
        <w:t>B</w:t>
      </w:r>
      <w:r w:rsidR="00EF788A" w:rsidRPr="00D22B77">
        <w:rPr>
          <w:rtl/>
        </w:rPr>
        <w:t xml:space="preserve"> إلى القائمة </w:t>
      </w:r>
      <w:r w:rsidR="00EF788A" w:rsidRPr="00D22B77">
        <w:t>A</w:t>
      </w:r>
      <w:r w:rsidR="00EF788A" w:rsidRPr="00D22B77">
        <w:rPr>
          <w:rtl/>
        </w:rPr>
        <w:t>.</w:t>
      </w:r>
    </w:p>
    <w:p w:rsidR="00EF788A" w:rsidRPr="00561DBF" w:rsidRDefault="00EF788A" w:rsidP="00EF788A">
      <w:pPr>
        <w:pStyle w:val="Heading1"/>
        <w:rPr>
          <w:bCs/>
          <w:rtl/>
        </w:rPr>
      </w:pPr>
      <w:r w:rsidRPr="00561DBF">
        <w:rPr>
          <w:bCs/>
        </w:rPr>
        <w:t>8</w:t>
      </w:r>
      <w:r w:rsidRPr="00561DBF">
        <w:rPr>
          <w:bCs/>
        </w:rPr>
        <w:tab/>
      </w:r>
      <w:r w:rsidRPr="00561DBF">
        <w:rPr>
          <w:bCs/>
          <w:rtl/>
        </w:rPr>
        <w:t>النشر</w:t>
      </w:r>
    </w:p>
    <w:p w:rsidR="00EF788A" w:rsidRPr="00D22B77" w:rsidRDefault="00EF788A" w:rsidP="0088574C">
      <w:pPr>
        <w:spacing w:before="240"/>
        <w:rPr>
          <w:rtl/>
        </w:rPr>
      </w:pPr>
      <w:r>
        <w:t>1.8</w:t>
      </w:r>
      <w:r w:rsidRPr="00D22B77">
        <w:rPr>
          <w:rtl/>
        </w:rPr>
        <w:tab/>
      </w:r>
      <w:r w:rsidR="00E24532" w:rsidRPr="00D22B77">
        <w:rPr>
          <w:rtl/>
        </w:rPr>
        <w:t xml:space="preserve">يجب أن تنشر في القسم الخاص </w:t>
      </w:r>
      <w:r w:rsidR="00E24532" w:rsidRPr="00D22B77">
        <w:t>RJ81</w:t>
      </w:r>
      <w:r w:rsidR="00E24532">
        <w:rPr>
          <w:rFonts w:hint="cs"/>
          <w:rtl/>
        </w:rPr>
        <w:t xml:space="preserve"> </w:t>
      </w:r>
      <w:r w:rsidRPr="00D22B77">
        <w:rPr>
          <w:rtl/>
        </w:rPr>
        <w:t xml:space="preserve">جميع التحويلات إلى القائمة </w:t>
      </w:r>
      <w:r w:rsidRPr="00D22B77">
        <w:t>A</w:t>
      </w:r>
      <w:r w:rsidRPr="00D22B77">
        <w:rPr>
          <w:rtl/>
        </w:rPr>
        <w:t xml:space="preserve"> الحاصلة </w:t>
      </w:r>
      <w:r w:rsidR="00E24532">
        <w:rPr>
          <w:rFonts w:hint="cs"/>
          <w:rtl/>
        </w:rPr>
        <w:t>بموجب</w:t>
      </w:r>
      <w:r w:rsidRPr="00D22B77">
        <w:rPr>
          <w:rtl/>
        </w:rPr>
        <w:t xml:space="preserve"> </w:t>
      </w:r>
      <w:r w:rsidR="00E24532">
        <w:rPr>
          <w:rFonts w:hint="cs"/>
          <w:rtl/>
        </w:rPr>
        <w:t>ا</w:t>
      </w:r>
      <w:r w:rsidRPr="00D22B77">
        <w:rPr>
          <w:rtl/>
        </w:rPr>
        <w:t xml:space="preserve">لإجراء </w:t>
      </w:r>
      <w:r w:rsidR="007A0CA7">
        <w:rPr>
          <w:rFonts w:hint="cs"/>
          <w:rtl/>
        </w:rPr>
        <w:t>المذكور أعلاه</w:t>
      </w:r>
      <w:r w:rsidRPr="00D22B77">
        <w:rPr>
          <w:rtl/>
        </w:rPr>
        <w:t>.</w:t>
      </w:r>
    </w:p>
    <w:p w:rsidR="00EF788A" w:rsidRPr="00D22B77" w:rsidRDefault="00EF788A" w:rsidP="00073F61">
      <w:pPr>
        <w:spacing w:before="600"/>
        <w:jc w:val="center"/>
        <w:rPr>
          <w:rtl/>
        </w:rPr>
      </w:pPr>
      <w:r w:rsidRPr="00D22B77">
        <w:rPr>
          <w:rtl/>
        </w:rPr>
        <w:t>______________</w:t>
      </w:r>
    </w:p>
    <w:p w:rsidR="00EF788A" w:rsidRDefault="00EF788A" w:rsidP="00793422">
      <w:pPr>
        <w:rPr>
          <w:rtl/>
        </w:rPr>
      </w:pPr>
    </w:p>
    <w:p w:rsidR="005202F1" w:rsidRDefault="005202F1" w:rsidP="00793422">
      <w:pPr>
        <w:rPr>
          <w:rtl/>
        </w:rPr>
      </w:pPr>
    </w:p>
    <w:p w:rsidR="00793422" w:rsidRDefault="00793422" w:rsidP="00793422">
      <w:pPr>
        <w:rPr>
          <w:rtl/>
        </w:rPr>
      </w:pPr>
    </w:p>
    <w:p w:rsidR="005202F1" w:rsidRDefault="005202F1"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5202F1" w:rsidRDefault="005202F1" w:rsidP="00793422">
      <w:pPr>
        <w:rPr>
          <w:rtl/>
        </w:rPr>
      </w:pPr>
    </w:p>
    <w:p w:rsidR="005202F1" w:rsidRDefault="005202F1" w:rsidP="00793422">
      <w:pPr>
        <w:rPr>
          <w:rtl/>
        </w:rPr>
      </w:pPr>
    </w:p>
    <w:p w:rsidR="005202F1" w:rsidRDefault="005202F1" w:rsidP="00793422">
      <w:pPr>
        <w:rPr>
          <w:rtl/>
        </w:rPr>
      </w:pPr>
    </w:p>
    <w:p w:rsidR="005202F1" w:rsidRDefault="005202F1" w:rsidP="00793422">
      <w:pPr>
        <w:rPr>
          <w:rtl/>
        </w:rPr>
      </w:pPr>
    </w:p>
    <w:p w:rsidR="006201AE" w:rsidRDefault="006201AE" w:rsidP="00793422">
      <w:pPr>
        <w:rPr>
          <w:rtl/>
        </w:rPr>
        <w:sectPr w:rsidR="006201AE" w:rsidSect="005202F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rsidR="005202F1" w:rsidRPr="00CF1ABB" w:rsidRDefault="005202F1" w:rsidP="00793422">
      <w:pPr>
        <w:rPr>
          <w:rtl/>
        </w:rPr>
      </w:pPr>
    </w:p>
    <w:sectPr w:rsidR="005202F1" w:rsidRPr="00CF1ABB" w:rsidSect="005202F1">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74C" w:rsidRDefault="0088574C">
      <w:r>
        <w:separator/>
      </w:r>
    </w:p>
  </w:endnote>
  <w:endnote w:type="continuationSeparator" w:id="0">
    <w:p w:rsidR="0088574C" w:rsidRDefault="008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74C" w:rsidRDefault="0009689E">
    <w:pPr>
      <w:pStyle w:val="Footer"/>
    </w:pPr>
    <w:fldSimple w:instr=" FILENAME \p \* MERGEFORMAT ">
      <w:r w:rsidR="00510E50">
        <w:t>M:\COMP\COMP\Regl_proc\2017\Publication\Edition_2017-407878\word\A\28-A4-RJ81-a.docx</w:t>
      </w:r>
    </w:fldSimple>
    <w:r w:rsidR="0088574C">
      <w:tab/>
    </w:r>
    <w:r w:rsidR="0088574C">
      <w:fldChar w:fldCharType="begin"/>
    </w:r>
    <w:r w:rsidR="0088574C">
      <w:instrText xml:space="preserve"> savedate \@ dd.MM.yy </w:instrText>
    </w:r>
    <w:r w:rsidR="0088574C">
      <w:fldChar w:fldCharType="separate"/>
    </w:r>
    <w:r w:rsidR="00510E50">
      <w:t>18.05.17</w:t>
    </w:r>
    <w:r w:rsidR="0088574C">
      <w:fldChar w:fldCharType="end"/>
    </w:r>
    <w:r w:rsidR="0088574C">
      <w:tab/>
    </w:r>
    <w:r w:rsidR="0088574C">
      <w:fldChar w:fldCharType="begin"/>
    </w:r>
    <w:r w:rsidR="0088574C">
      <w:instrText xml:space="preserve"> printdate \@ dd.MM.yy </w:instrText>
    </w:r>
    <w:r w:rsidR="0088574C">
      <w:fldChar w:fldCharType="separate"/>
    </w:r>
    <w:r w:rsidR="00510E50">
      <w:t>18.05.17</w:t>
    </w:r>
    <w:r w:rsidR="0088574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74C" w:rsidRDefault="0088574C" w:rsidP="004C253F">
      <w:pPr>
        <w:spacing w:after="40"/>
      </w:pPr>
      <w:r>
        <w:t>____________________</w:t>
      </w:r>
    </w:p>
  </w:footnote>
  <w:footnote w:type="continuationSeparator" w:id="0">
    <w:p w:rsidR="0088574C" w:rsidRDefault="00885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6804" w:type="dxa"/>
      <w:tblLook w:val="01E0" w:firstRow="1" w:lastRow="1" w:firstColumn="1" w:lastColumn="1" w:noHBand="0" w:noVBand="0"/>
    </w:tblPr>
    <w:tblGrid>
      <w:gridCol w:w="1701"/>
      <w:gridCol w:w="1701"/>
      <w:gridCol w:w="1701"/>
      <w:gridCol w:w="1701"/>
    </w:tblGrid>
    <w:tr w:rsidR="0088574C" w:rsidRPr="000F2A0B">
      <w:tc>
        <w:tcPr>
          <w:tcW w:w="1701" w:type="dxa"/>
        </w:tcPr>
        <w:p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10E50">
            <w:rPr>
              <w:rStyle w:val="PageNumber"/>
              <w:noProof/>
              <w:sz w:val="21"/>
              <w:szCs w:val="21"/>
              <w:rtl/>
            </w:rPr>
            <w:t>4</w:t>
          </w:r>
          <w:r w:rsidRPr="000F2A0B">
            <w:rPr>
              <w:rStyle w:val="PageNumber"/>
              <w:sz w:val="21"/>
              <w:szCs w:val="21"/>
            </w:rPr>
            <w:fldChar w:fldCharType="end"/>
          </w:r>
        </w:p>
      </w:tc>
      <w:tc>
        <w:tcPr>
          <w:tcW w:w="1701" w:type="dxa"/>
        </w:tcPr>
        <w:p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rsidR="0088574C" w:rsidRPr="007358FA" w:rsidRDefault="0088574C"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88574C" w:rsidRPr="000F2A0B">
      <w:trPr>
        <w:jc w:val="right"/>
      </w:trPr>
      <w:tc>
        <w:tcPr>
          <w:tcW w:w="1701" w:type="dxa"/>
        </w:tcPr>
        <w:p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10E50">
            <w:rPr>
              <w:rStyle w:val="PageNumber"/>
              <w:noProof/>
              <w:sz w:val="21"/>
              <w:szCs w:val="21"/>
              <w:rtl/>
            </w:rPr>
            <w:t>5</w:t>
          </w:r>
          <w:r w:rsidRPr="000F2A0B">
            <w:rPr>
              <w:rStyle w:val="PageNumber"/>
              <w:sz w:val="21"/>
              <w:szCs w:val="21"/>
            </w:rPr>
            <w:fldChar w:fldCharType="end"/>
          </w:r>
        </w:p>
      </w:tc>
      <w:tc>
        <w:tcPr>
          <w:tcW w:w="1701" w:type="dxa"/>
        </w:tcPr>
        <w:p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rsidR="0088574C" w:rsidRPr="007358FA" w:rsidRDefault="0088574C">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AE" w:rsidRPr="006201AE" w:rsidRDefault="006201AE" w:rsidP="006201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5BBF"/>
    <w:rsid w:val="00026803"/>
    <w:rsid w:val="00041E07"/>
    <w:rsid w:val="00073F61"/>
    <w:rsid w:val="0009689E"/>
    <w:rsid w:val="000A7E64"/>
    <w:rsid w:val="000F2A0B"/>
    <w:rsid w:val="000F5E64"/>
    <w:rsid w:val="00105401"/>
    <w:rsid w:val="001139B6"/>
    <w:rsid w:val="001147B6"/>
    <w:rsid w:val="00130C60"/>
    <w:rsid w:val="00137606"/>
    <w:rsid w:val="00191681"/>
    <w:rsid w:val="001A0B93"/>
    <w:rsid w:val="001D5BBF"/>
    <w:rsid w:val="001F6707"/>
    <w:rsid w:val="00202655"/>
    <w:rsid w:val="0020710C"/>
    <w:rsid w:val="00226EA5"/>
    <w:rsid w:val="002301AE"/>
    <w:rsid w:val="0023173F"/>
    <w:rsid w:val="002466FF"/>
    <w:rsid w:val="002631B1"/>
    <w:rsid w:val="00291F1D"/>
    <w:rsid w:val="0029743B"/>
    <w:rsid w:val="002B00C1"/>
    <w:rsid w:val="002B499D"/>
    <w:rsid w:val="002C0904"/>
    <w:rsid w:val="002C55F4"/>
    <w:rsid w:val="002D6D41"/>
    <w:rsid w:val="003328A0"/>
    <w:rsid w:val="00360881"/>
    <w:rsid w:val="00377732"/>
    <w:rsid w:val="00396483"/>
    <w:rsid w:val="004036A6"/>
    <w:rsid w:val="00433E7A"/>
    <w:rsid w:val="0044702B"/>
    <w:rsid w:val="00463414"/>
    <w:rsid w:val="004B159B"/>
    <w:rsid w:val="004C253F"/>
    <w:rsid w:val="004E5A0A"/>
    <w:rsid w:val="00510E50"/>
    <w:rsid w:val="005202F1"/>
    <w:rsid w:val="0055056E"/>
    <w:rsid w:val="00561DBF"/>
    <w:rsid w:val="005726FE"/>
    <w:rsid w:val="005937D1"/>
    <w:rsid w:val="005C3B12"/>
    <w:rsid w:val="006201AE"/>
    <w:rsid w:val="006242E2"/>
    <w:rsid w:val="0066056C"/>
    <w:rsid w:val="006A69F5"/>
    <w:rsid w:val="006B3E33"/>
    <w:rsid w:val="006B42DC"/>
    <w:rsid w:val="006B5D10"/>
    <w:rsid w:val="006C1EF7"/>
    <w:rsid w:val="007358FA"/>
    <w:rsid w:val="007460F7"/>
    <w:rsid w:val="00770B96"/>
    <w:rsid w:val="00774188"/>
    <w:rsid w:val="0078123B"/>
    <w:rsid w:val="00783B3D"/>
    <w:rsid w:val="00793422"/>
    <w:rsid w:val="007A0CA7"/>
    <w:rsid w:val="0084051F"/>
    <w:rsid w:val="0084336A"/>
    <w:rsid w:val="0085221D"/>
    <w:rsid w:val="0086697F"/>
    <w:rsid w:val="00867AB1"/>
    <w:rsid w:val="0088574C"/>
    <w:rsid w:val="00885EC1"/>
    <w:rsid w:val="008975AF"/>
    <w:rsid w:val="008A4F80"/>
    <w:rsid w:val="008B0B84"/>
    <w:rsid w:val="008B631A"/>
    <w:rsid w:val="008D3369"/>
    <w:rsid w:val="00913BF7"/>
    <w:rsid w:val="009158D2"/>
    <w:rsid w:val="00920920"/>
    <w:rsid w:val="00955667"/>
    <w:rsid w:val="009705AF"/>
    <w:rsid w:val="009725E8"/>
    <w:rsid w:val="00993C1C"/>
    <w:rsid w:val="009C7089"/>
    <w:rsid w:val="009F171D"/>
    <w:rsid w:val="00A0604B"/>
    <w:rsid w:val="00A13467"/>
    <w:rsid w:val="00A13969"/>
    <w:rsid w:val="00A4754E"/>
    <w:rsid w:val="00A64B91"/>
    <w:rsid w:val="00A7482F"/>
    <w:rsid w:val="00A85CA0"/>
    <w:rsid w:val="00AA5337"/>
    <w:rsid w:val="00AC41A3"/>
    <w:rsid w:val="00AD269C"/>
    <w:rsid w:val="00AF44BC"/>
    <w:rsid w:val="00B0263D"/>
    <w:rsid w:val="00B07C41"/>
    <w:rsid w:val="00B10079"/>
    <w:rsid w:val="00B35C80"/>
    <w:rsid w:val="00B46C79"/>
    <w:rsid w:val="00B65C80"/>
    <w:rsid w:val="00B67E1D"/>
    <w:rsid w:val="00B765E7"/>
    <w:rsid w:val="00B850E1"/>
    <w:rsid w:val="00BE07F9"/>
    <w:rsid w:val="00BE0D0E"/>
    <w:rsid w:val="00BF3BC8"/>
    <w:rsid w:val="00C12FC2"/>
    <w:rsid w:val="00C46AC3"/>
    <w:rsid w:val="00C47E40"/>
    <w:rsid w:val="00CA31BF"/>
    <w:rsid w:val="00CA4B7C"/>
    <w:rsid w:val="00CC2891"/>
    <w:rsid w:val="00CD2902"/>
    <w:rsid w:val="00CF1ABB"/>
    <w:rsid w:val="00DA4DE6"/>
    <w:rsid w:val="00DE66AC"/>
    <w:rsid w:val="00DE6CD7"/>
    <w:rsid w:val="00DF5487"/>
    <w:rsid w:val="00E003AC"/>
    <w:rsid w:val="00E03822"/>
    <w:rsid w:val="00E20FD7"/>
    <w:rsid w:val="00E23CFA"/>
    <w:rsid w:val="00E24532"/>
    <w:rsid w:val="00E25FD9"/>
    <w:rsid w:val="00E40169"/>
    <w:rsid w:val="00E4591B"/>
    <w:rsid w:val="00E46A44"/>
    <w:rsid w:val="00E5075C"/>
    <w:rsid w:val="00E7261D"/>
    <w:rsid w:val="00EA0C99"/>
    <w:rsid w:val="00EB4871"/>
    <w:rsid w:val="00EB7F8D"/>
    <w:rsid w:val="00EC59CD"/>
    <w:rsid w:val="00EF788A"/>
    <w:rsid w:val="00F30CC5"/>
    <w:rsid w:val="00F371F5"/>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56121A-9117-4254-A9DF-479BF780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C80"/>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B35C80"/>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4336A"/>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aliases w:val="Footnote,Text"/>
    <w:basedOn w:val="Note"/>
    <w:semiHidden/>
    <w:rsid w:val="00377732"/>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10</TotalTime>
  <Pages>7</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9</cp:revision>
  <cp:lastPrinted>2017-05-18T15:18:00Z</cp:lastPrinted>
  <dcterms:created xsi:type="dcterms:W3CDTF">2012-09-07T13:04:00Z</dcterms:created>
  <dcterms:modified xsi:type="dcterms:W3CDTF">2017-05-18T15:19:00Z</dcterms:modified>
</cp:coreProperties>
</file>