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E47" w:rsidRPr="0069500F" w:rsidRDefault="00DF0E47" w:rsidP="00415437">
      <w:pPr>
        <w:pStyle w:val="Heading1"/>
        <w:spacing w:before="300"/>
        <w:jc w:val="center"/>
      </w:pPr>
      <w:r w:rsidRPr="0069500F">
        <w:rPr>
          <w:rStyle w:val="href"/>
        </w:rPr>
        <w:t>PART</w:t>
      </w:r>
      <w:bookmarkStart w:id="0" w:name="_GoBack"/>
      <w:r w:rsidRPr="0069500F">
        <w:rPr>
          <w:rStyle w:val="href"/>
        </w:rPr>
        <w:t xml:space="preserve">  </w:t>
      </w:r>
      <w:bookmarkEnd w:id="0"/>
      <w:r w:rsidRPr="0069500F">
        <w:rPr>
          <w:rStyle w:val="href"/>
        </w:rPr>
        <w:t>A10</w:t>
      </w:r>
    </w:p>
    <w:p w:rsidR="00DF0E47" w:rsidRPr="0069500F" w:rsidRDefault="00DF0E47" w:rsidP="0069500F">
      <w:pPr>
        <w:pStyle w:val="Heading1"/>
        <w:ind w:left="0" w:firstLine="0"/>
        <w:jc w:val="center"/>
      </w:pPr>
      <w:r w:rsidRPr="0069500F">
        <w:t>Rules concerning the Regional Agreement relating to the planning of</w:t>
      </w:r>
      <w:r w:rsidR="0069500F" w:rsidRPr="0069500F">
        <w:t xml:space="preserve"> </w:t>
      </w:r>
      <w:r w:rsidRPr="0069500F">
        <w:t>the</w:t>
      </w:r>
      <w:r w:rsidR="0069500F" w:rsidRPr="0069500F">
        <w:br/>
      </w:r>
      <w:r w:rsidRPr="0069500F">
        <w:t>digital terrestrial broadcasting service in parts of Regions 1 and 3,</w:t>
      </w:r>
      <w:r w:rsidRPr="0069500F">
        <w:br/>
        <w:t>in the frequency bands 174-230 MHz and 470-862 MHz</w:t>
      </w:r>
      <w:r w:rsidRPr="0069500F">
        <w:br/>
        <w:t>(Geneva, 2006) (</w:t>
      </w:r>
      <w:r w:rsidRPr="0069500F">
        <w:rPr>
          <w:rStyle w:val="href2"/>
        </w:rPr>
        <w:t>GE06</w:t>
      </w:r>
      <w:r w:rsidRPr="0069500F">
        <w:t>)</w:t>
      </w:r>
    </w:p>
    <w:p w:rsidR="00DF0E47" w:rsidRPr="0069500F" w:rsidRDefault="00DF0E47">
      <w:pPr>
        <w:pStyle w:val="Heading1"/>
      </w:pPr>
      <w:r w:rsidRPr="0069500F">
        <w:t>1</w:t>
      </w:r>
      <w:r w:rsidRPr="0069500F">
        <w:tab/>
        <w:t>Receivability of notices</w:t>
      </w:r>
    </w:p>
    <w:p w:rsidR="00DF0E47" w:rsidRDefault="00DF0E47" w:rsidP="0069500F">
      <w:r w:rsidRPr="0069500F">
        <w:t>In the application of the Regional Agreement relating to the planning of the digital terrestrial broadcasting service in Region 1 (parts of Region 1 situated to the west of meridian 170°</w:t>
      </w:r>
      <w:r w:rsidR="0069500F" w:rsidRPr="0069500F">
        <w:t> </w:t>
      </w:r>
      <w:r w:rsidR="00C94CCD" w:rsidRPr="0069500F">
        <w:t xml:space="preserve">E and to north of parallel 40° </w:t>
      </w:r>
      <w:r w:rsidR="005034D7" w:rsidRPr="0069500F">
        <w:t>S</w:t>
      </w:r>
      <w:r w:rsidRPr="0069500F">
        <w:t>, except the territory of Mongolia) and in the Islamic Republic of Iran, in the frequency bands 174-230 MHz and 470-862 MHz (Geneva, 2006), the Bureau will apply the procedures contained in Articles 4 and 5 of the Agreement and associated technical criteria with respect to the notices from all administrations having territories in the planning area, provided that the station concerned (or the allotment area concerned) is situated within the planning area.</w:t>
      </w:r>
    </w:p>
    <w:p w:rsidR="00FA6B97" w:rsidRPr="00FA6B97" w:rsidRDefault="00FA6B97" w:rsidP="00FA6B97">
      <w:pPr>
        <w:rPr>
          <w:sz w:val="16"/>
          <w:szCs w:val="16"/>
        </w:rPr>
      </w:pPr>
      <w:r w:rsidRPr="00FA6B97">
        <w:rPr>
          <w:sz w:val="16"/>
          <w:szCs w:val="16"/>
        </w:rPr>
        <w:t>(ADD RRB16/21)</w:t>
      </w:r>
    </w:p>
    <w:p w:rsidR="00FA6B97" w:rsidRPr="00662E1B" w:rsidRDefault="00FA6B97" w:rsidP="00FA6B97">
      <w:pPr>
        <w:pStyle w:val="Heading1"/>
      </w:pPr>
      <w:r>
        <w:t>2</w:t>
      </w:r>
      <w:r>
        <w:tab/>
      </w:r>
      <w:r w:rsidRPr="00662E1B">
        <w:t>Protection of a Plan entry from interference caused by a Plan entry of another Administration and with which the coordination procedure was not triggered in the application of Article 4 of the GE06 Agreement</w:t>
      </w:r>
    </w:p>
    <w:p w:rsidR="00FA6B97" w:rsidRPr="00662E1B" w:rsidRDefault="00FA6B97" w:rsidP="00FA6B97">
      <w:pPr>
        <w:spacing w:before="360"/>
        <w:rPr>
          <w:rFonts w:asciiTheme="majorBidi" w:hAnsiTheme="majorBidi" w:cstheme="majorBidi"/>
          <w:szCs w:val="24"/>
          <w:lang w:val="en-US"/>
        </w:rPr>
      </w:pPr>
      <w:r w:rsidRPr="00662E1B">
        <w:rPr>
          <w:rFonts w:asciiTheme="majorBidi" w:hAnsiTheme="majorBidi" w:cstheme="majorBidi"/>
          <w:szCs w:val="24"/>
          <w:lang w:val="en-US"/>
        </w:rPr>
        <w:t>1</w:t>
      </w:r>
      <w:r>
        <w:rPr>
          <w:rFonts w:asciiTheme="majorBidi" w:hAnsiTheme="majorBidi" w:cstheme="majorBidi"/>
          <w:szCs w:val="24"/>
          <w:lang w:val="en-US"/>
        </w:rPr>
        <w:t>)</w:t>
      </w:r>
      <w:r w:rsidRPr="00662E1B">
        <w:rPr>
          <w:rFonts w:asciiTheme="majorBidi" w:hAnsiTheme="majorBidi" w:cstheme="majorBidi"/>
          <w:szCs w:val="24"/>
          <w:lang w:val="en-US"/>
        </w:rPr>
        <w:tab/>
        <w:t>During the RRC-06 Conference, a compatibility analysis for all requirements (allotments and assignments) was carried out in two directions (transmission and reception). When requirements were not compatible with each other in one or both directions, the administrations concerned had to resolve the incompatibility. This ensured that all entries in the Plan, as adopted by RRC-06, were evaluated and agreed as compatible by the concerned administrations.</w:t>
      </w:r>
    </w:p>
    <w:p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2</w:t>
      </w:r>
      <w:r>
        <w:rPr>
          <w:rFonts w:asciiTheme="majorBidi" w:hAnsiTheme="majorBidi" w:cstheme="majorBidi"/>
          <w:szCs w:val="24"/>
          <w:lang w:val="en-US"/>
        </w:rPr>
        <w:t>)</w:t>
      </w:r>
      <w:r w:rsidRPr="00662E1B">
        <w:rPr>
          <w:rFonts w:asciiTheme="majorBidi" w:hAnsiTheme="majorBidi" w:cstheme="majorBidi"/>
          <w:szCs w:val="24"/>
          <w:lang w:val="en-US"/>
        </w:rPr>
        <w:tab/>
        <w:t>Since then, new or modified assignments/allotments were included in the Plan following the successful application of the procedure of Article 4 of the GE06 Agreement. This procedure however, considers administrations as affected by a proposed modification only when the limits given in Section I of Annex 4 of the Agreement are exceeded. This approach was designed to trigger the need to coordinate with the potentially affected administration(s) in order to ensure that the proposed modification will not affect the ability of other administrations to receive broadcasting emissions on any channel over their territory. Nonetheless, the Agreement does not address the interference that a proposed modification will receive from assignments previously recorded in the Plan.</w:t>
      </w:r>
    </w:p>
    <w:p w:rsidR="00976694" w:rsidRDefault="00976694" w:rsidP="00FA6B97">
      <w:pPr>
        <w:spacing w:before="160"/>
        <w:rPr>
          <w:rFonts w:asciiTheme="majorBidi" w:hAnsiTheme="majorBidi" w:cstheme="majorBidi"/>
          <w:szCs w:val="24"/>
          <w:lang w:val="en-US"/>
        </w:rPr>
      </w:pPr>
      <w:r>
        <w:rPr>
          <w:rFonts w:asciiTheme="majorBidi" w:hAnsiTheme="majorBidi" w:cstheme="majorBidi"/>
          <w:szCs w:val="24"/>
          <w:lang w:val="en-US"/>
        </w:rPr>
        <w:br w:type="page"/>
      </w:r>
    </w:p>
    <w:p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lastRenderedPageBreak/>
        <w:t>3</w:t>
      </w:r>
      <w:r>
        <w:rPr>
          <w:rFonts w:asciiTheme="majorBidi" w:hAnsiTheme="majorBidi" w:cstheme="majorBidi"/>
          <w:szCs w:val="24"/>
          <w:lang w:val="en-US"/>
        </w:rPr>
        <w:t>)</w:t>
      </w:r>
      <w:r w:rsidRPr="00662E1B">
        <w:rPr>
          <w:rFonts w:asciiTheme="majorBidi" w:hAnsiTheme="majorBidi" w:cstheme="majorBidi"/>
          <w:szCs w:val="24"/>
          <w:lang w:val="en-US"/>
        </w:rPr>
        <w:tab/>
        <w:t>In the application of Article 4 of the GE06 Agreement, the Bureau received a request from an administration to be included in the list of administrations affected by a proposed modification to the Plan because that modification might be affected by that administration’s own entries in the plan. However, since the proposed modification did not exceed the limits of Annex 4 of the GE06 Agreement, the Bureau could not accede to this request.</w:t>
      </w:r>
    </w:p>
    <w:p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4</w:t>
      </w:r>
      <w:r>
        <w:rPr>
          <w:rFonts w:asciiTheme="majorBidi" w:hAnsiTheme="majorBidi" w:cstheme="majorBidi"/>
          <w:szCs w:val="24"/>
          <w:lang w:val="en-US"/>
        </w:rPr>
        <w:t>)</w:t>
      </w:r>
      <w:r w:rsidRPr="00662E1B">
        <w:rPr>
          <w:rFonts w:asciiTheme="majorBidi" w:hAnsiTheme="majorBidi" w:cstheme="majorBidi"/>
          <w:szCs w:val="24"/>
          <w:lang w:val="en-US"/>
        </w:rPr>
        <w:tab/>
        <w:t>This situation highlights that the procedures of the GE06 Agreement do not require, prior to its inclusion in the Plan, to coordinate the protection of a proposed modification to the Plan from the interference that may be caused to it by entries already recorded in the Plan.</w:t>
      </w:r>
    </w:p>
    <w:p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5</w:t>
      </w:r>
      <w:r>
        <w:rPr>
          <w:rFonts w:asciiTheme="majorBidi" w:hAnsiTheme="majorBidi" w:cstheme="majorBidi"/>
          <w:szCs w:val="24"/>
          <w:lang w:val="en-US"/>
        </w:rPr>
        <w:t>)</w:t>
      </w:r>
      <w:r w:rsidRPr="00662E1B">
        <w:rPr>
          <w:rFonts w:asciiTheme="majorBidi" w:hAnsiTheme="majorBidi" w:cstheme="majorBidi"/>
          <w:szCs w:val="24"/>
          <w:lang w:val="en-US"/>
        </w:rPr>
        <w:tab/>
        <w:t xml:space="preserve">The Board considered that a general principle of the Radio Regulations is that the status, i.e. the rights for transmission or the rights for protection of new assignments are derived from the successful application of the relevant procedures (See RR No. </w:t>
      </w:r>
      <w:r w:rsidRPr="00662E1B">
        <w:rPr>
          <w:rFonts w:asciiTheme="majorBidi" w:hAnsiTheme="majorBidi" w:cstheme="majorBidi"/>
          <w:b/>
          <w:bCs/>
          <w:szCs w:val="24"/>
          <w:lang w:val="en-US"/>
        </w:rPr>
        <w:t>8.3</w:t>
      </w:r>
      <w:r w:rsidRPr="00662E1B">
        <w:rPr>
          <w:rFonts w:asciiTheme="majorBidi" w:hAnsiTheme="majorBidi" w:cstheme="majorBidi"/>
          <w:szCs w:val="24"/>
          <w:lang w:val="en-US"/>
        </w:rPr>
        <w:t xml:space="preserve">). </w:t>
      </w:r>
    </w:p>
    <w:p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6</w:t>
      </w:r>
      <w:r>
        <w:rPr>
          <w:rFonts w:asciiTheme="majorBidi" w:hAnsiTheme="majorBidi" w:cstheme="majorBidi"/>
          <w:szCs w:val="24"/>
          <w:lang w:val="en-US"/>
        </w:rPr>
        <w:t>)</w:t>
      </w:r>
      <w:r w:rsidRPr="00662E1B">
        <w:rPr>
          <w:rFonts w:asciiTheme="majorBidi" w:hAnsiTheme="majorBidi" w:cstheme="majorBidi"/>
          <w:szCs w:val="24"/>
          <w:lang w:val="en-US"/>
        </w:rPr>
        <w:tab/>
        <w:t>In the absence of a relevant procedure in the GE06 Agreement to acquire such rights, the Board considered that, unless otherwise agreed between the administrations concerned, an assignment in conformity with the Plan and recorded in the Master Register cannot claim protection from assignments that are in conformity with the Plan, irrespective of whether or not the corresponding Plan entries have any Plan remarks (R2, R3), corresponding to an entry which was recorded in the Plan prior to the entry corresponding to the assignment for which protection is claimed.</w:t>
      </w:r>
    </w:p>
    <w:p w:rsidR="00FA6B97"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7</w:t>
      </w:r>
      <w:r>
        <w:rPr>
          <w:rFonts w:asciiTheme="majorBidi" w:hAnsiTheme="majorBidi" w:cstheme="majorBidi"/>
          <w:szCs w:val="24"/>
          <w:lang w:val="en-US"/>
        </w:rPr>
        <w:t>)</w:t>
      </w:r>
      <w:r w:rsidRPr="00662E1B">
        <w:rPr>
          <w:rFonts w:asciiTheme="majorBidi" w:hAnsiTheme="majorBidi" w:cstheme="majorBidi"/>
          <w:szCs w:val="24"/>
          <w:lang w:val="en-US"/>
        </w:rPr>
        <w:tab/>
        <w:t xml:space="preserve">The Board noted that several provisions of the GE06 Agreement indicate that, after successful application of the procedure, the new entry will have the same status as the other entries in the Plan. Consistent with the above considerations, the Board is of the view that all entries in the plan involve a right for transmission for the corresponding assignments and a right for protection of these assignments against subsequent entries in the plan. Conformity with the plan does not involve the right for protection against previous entries in the plan. </w:t>
      </w:r>
    </w:p>
    <w:p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8</w:t>
      </w:r>
      <w:r>
        <w:rPr>
          <w:rFonts w:asciiTheme="majorBidi" w:hAnsiTheme="majorBidi" w:cstheme="majorBidi"/>
          <w:szCs w:val="24"/>
          <w:lang w:val="en-US"/>
        </w:rPr>
        <w:t>)</w:t>
      </w:r>
      <w:r w:rsidRPr="00662E1B">
        <w:rPr>
          <w:rFonts w:asciiTheme="majorBidi" w:hAnsiTheme="majorBidi" w:cstheme="majorBidi"/>
          <w:szCs w:val="24"/>
          <w:lang w:val="en-US"/>
        </w:rPr>
        <w:tab/>
        <w:t>The Board also noted that several administrations had communicated to the Bureau proposed modifications to the GE06 Plan on the basis of low power stations located near the border of their territory in a way that does not trigger the limits of Annex 4 of the GE06 Agreement. Consistent with the above considerations, the Board is of the view that the inclusion in the Plan and/or the MIFR of the corresponding assignments does not provide any additional rights to protect these assignments from assignments previously included in the Plan</w:t>
      </w:r>
      <w:r w:rsidRPr="00662E1B">
        <w:rPr>
          <w:rFonts w:asciiTheme="majorBidi" w:hAnsiTheme="majorBidi" w:cstheme="majorBidi"/>
          <w:position w:val="6"/>
          <w:sz w:val="18"/>
          <w:szCs w:val="24"/>
          <w:lang w:val="en-US"/>
        </w:rPr>
        <w:footnoteReference w:id="1"/>
      </w:r>
      <w:r w:rsidRPr="00662E1B">
        <w:rPr>
          <w:rFonts w:asciiTheme="majorBidi" w:hAnsiTheme="majorBidi" w:cstheme="majorBidi"/>
          <w:szCs w:val="24"/>
          <w:lang w:val="en-US"/>
        </w:rPr>
        <w:t xml:space="preserve"> as protection from these assignments cannot be obtained from application of Article 4 if the limits in Annex 4 are not exceeded.</w:t>
      </w:r>
    </w:p>
    <w:p w:rsidR="00CD423D" w:rsidRDefault="00CD423D" w:rsidP="00FA6B97">
      <w:pPr>
        <w:spacing w:before="160"/>
        <w:rPr>
          <w:rFonts w:asciiTheme="majorBidi" w:hAnsiTheme="majorBidi" w:cstheme="majorBidi"/>
          <w:szCs w:val="24"/>
          <w:lang w:val="en-US"/>
        </w:rPr>
      </w:pPr>
      <w:r>
        <w:rPr>
          <w:rFonts w:asciiTheme="majorBidi" w:hAnsiTheme="majorBidi" w:cstheme="majorBidi"/>
          <w:szCs w:val="24"/>
          <w:lang w:val="en-US"/>
        </w:rPr>
        <w:br w:type="page"/>
      </w:r>
    </w:p>
    <w:p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lastRenderedPageBreak/>
        <w:t>9</w:t>
      </w:r>
      <w:r>
        <w:rPr>
          <w:rFonts w:asciiTheme="majorBidi" w:hAnsiTheme="majorBidi" w:cstheme="majorBidi"/>
          <w:szCs w:val="24"/>
          <w:lang w:val="en-US"/>
        </w:rPr>
        <w:t>)</w:t>
      </w:r>
      <w:r w:rsidRPr="00662E1B">
        <w:rPr>
          <w:rFonts w:asciiTheme="majorBidi" w:hAnsiTheme="majorBidi" w:cstheme="majorBidi"/>
          <w:szCs w:val="24"/>
          <w:lang w:val="en-US"/>
        </w:rPr>
        <w:tab/>
        <w:t>The Board also noted that this Rule of Procedure does not require any modification to the current practice by the Bureau in processing notices for the application of Articles 4 and 5 of the GE06 Agreement. Similarly this Rule of Procedure does not apply to other primary terrestrial services.</w:t>
      </w:r>
    </w:p>
    <w:p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10</w:t>
      </w:r>
      <w:r>
        <w:rPr>
          <w:rFonts w:asciiTheme="majorBidi" w:hAnsiTheme="majorBidi" w:cstheme="majorBidi"/>
          <w:szCs w:val="24"/>
          <w:lang w:val="en-US"/>
        </w:rPr>
        <w:t>)</w:t>
      </w:r>
      <w:r w:rsidRPr="00662E1B">
        <w:rPr>
          <w:rFonts w:asciiTheme="majorBidi" w:hAnsiTheme="majorBidi" w:cstheme="majorBidi"/>
          <w:szCs w:val="24"/>
          <w:lang w:val="en-US"/>
        </w:rPr>
        <w:tab/>
        <w:t>This ROP is applicable immediately, irrespective of the date of entry in the Plan/MIFR of the concerned assignments/allotments.</w:t>
      </w:r>
    </w:p>
    <w:p w:rsidR="00976694" w:rsidRDefault="00976694" w:rsidP="0069500F">
      <w:pPr>
        <w:rPr>
          <w:lang w:val="en-US"/>
        </w:rPr>
      </w:pPr>
    </w:p>
    <w:p w:rsidR="00DF0E47" w:rsidRPr="0069500F" w:rsidRDefault="00DF0E47" w:rsidP="0069500F">
      <w:pPr>
        <w:pStyle w:val="Heading8"/>
      </w:pPr>
      <w:r w:rsidRPr="0069500F">
        <w:t>Art. 4</w:t>
      </w:r>
    </w:p>
    <w:p w:rsidR="00DF0E47" w:rsidRPr="0069500F" w:rsidRDefault="00DF0E47" w:rsidP="0069500F">
      <w:pPr>
        <w:pStyle w:val="Heading2"/>
        <w:spacing w:before="240"/>
        <w:ind w:left="0" w:firstLine="0"/>
        <w:jc w:val="center"/>
      </w:pPr>
      <w:r w:rsidRPr="0069500F">
        <w:t>Procedure for modifications to the Plans and procedure for</w:t>
      </w:r>
      <w:r w:rsidRPr="0069500F">
        <w:br/>
        <w:t>coordination of other primary terrestrial services</w:t>
      </w:r>
    </w:p>
    <w:p w:rsidR="00DF0E47" w:rsidRPr="0069500F" w:rsidRDefault="00DF0E47">
      <w:pPr>
        <w:pStyle w:val="Heading9"/>
      </w:pPr>
      <w:r w:rsidRPr="0069500F">
        <w:t>4.1.1</w:t>
      </w:r>
    </w:p>
    <w:p w:rsidR="008F0A0E" w:rsidRDefault="00DF0E47" w:rsidP="0069500F">
      <w:r w:rsidRPr="0069500F">
        <w:t>1)</w:t>
      </w:r>
      <w:r w:rsidRPr="0069500F">
        <w:tab/>
        <w:t>This provision specifies the various cases envisaged in the procedure for modifications to the Plans. Essentially, the procedure provides a phased approach in the case when an administration wishes to add to the digital Plan an allotment and assignment(s) stemming from that allotment: the administration firstly needs to successfully complete the Plan modification procedure for the allotment and, once the allotment is entered in the digital Plan, the administration could apply the procedure referred to in No.</w:t>
      </w:r>
      <w:r w:rsidR="0069500F" w:rsidRPr="0069500F">
        <w:t> </w:t>
      </w:r>
      <w:r w:rsidRPr="0069500F">
        <w:t xml:space="preserve">4.1.1 </w:t>
      </w:r>
      <w:r w:rsidRPr="0069500F">
        <w:rPr>
          <w:i/>
          <w:iCs/>
        </w:rPr>
        <w:t>c)</w:t>
      </w:r>
      <w:r w:rsidRPr="0069500F">
        <w:t>. Therefore, the Board concluded that there was no possibility for simultaneous application of the procedure for adding an allotment to the Plan and the procedure of adding assignment(s) stemming from that allotment and instructed the Bureau to act accordingly.</w:t>
      </w:r>
    </w:p>
    <w:p w:rsidR="00DF0E47" w:rsidRDefault="00DF0E47" w:rsidP="00976694">
      <w:r w:rsidRPr="0069500F">
        <w:t>2)</w:t>
      </w:r>
      <w:r w:rsidRPr="0069500F">
        <w:tab/>
        <w:t>In the case of proposed changes to the characteristics of an allotment already included in the Plan, which also comprises one or several assignments stemming from the allotment already included in the Plan, the Bureau will follow the following procedure:</w:t>
      </w:r>
    </w:p>
    <w:p w:rsidR="00DF0E47" w:rsidRDefault="00DF0E47" w:rsidP="0069500F">
      <w:pPr>
        <w:pStyle w:val="enumlev1"/>
      </w:pPr>
      <w:r w:rsidRPr="0069500F">
        <w:t>–</w:t>
      </w:r>
      <w:r w:rsidRPr="0069500F">
        <w:tab/>
        <w:t>in the application of No.</w:t>
      </w:r>
      <w:r w:rsidR="0069500F" w:rsidRPr="0069500F">
        <w:t> </w:t>
      </w:r>
      <w:r w:rsidRPr="0069500F">
        <w:t xml:space="preserve">4.1.1 </w:t>
      </w:r>
      <w:r w:rsidRPr="0069500F">
        <w:rPr>
          <w:i/>
          <w:iCs/>
        </w:rPr>
        <w:t>a)</w:t>
      </w:r>
      <w:r w:rsidRPr="0069500F">
        <w:t>, the Bureau will publish the characteristics of the modified allotment; to this end, the Bureau will include such notes in the concerned Special Section, as may be appropriate, to indicate the appl</w:t>
      </w:r>
      <w:r w:rsidR="006B0BD6">
        <w:t>icable situations, notably: (1)</w:t>
      </w:r>
      <w:r w:rsidR="0069500F" w:rsidRPr="0069500F">
        <w:t> </w:t>
      </w:r>
      <w:r w:rsidRPr="0069500F">
        <w:t>that the Plan contains one or more assignments stemming from the original allotment which would be reviewed after the successful completion of the Plan modification procedure in respect of the concerned allotment, and (2) that the administration concerned announced a submission of other assignments stemming from the modified allotment, which would be examined after the successful completion of the Plan modification procedure for the modified allotment and appropriately reflected in another Special Section;</w:t>
      </w:r>
    </w:p>
    <w:p w:rsidR="00CD423D" w:rsidRDefault="00CD423D" w:rsidP="0069500F">
      <w:pPr>
        <w:pStyle w:val="enumlev1"/>
      </w:pPr>
    </w:p>
    <w:p w:rsidR="00CD423D" w:rsidRPr="0069500F" w:rsidRDefault="00CD423D" w:rsidP="0069500F">
      <w:pPr>
        <w:pStyle w:val="enumlev1"/>
      </w:pPr>
    </w:p>
    <w:p w:rsidR="009E7087" w:rsidRDefault="009E7087">
      <w:pPr>
        <w:pStyle w:val="enumlev1"/>
        <w:sectPr w:rsidR="009E7087" w:rsidSect="0015592B">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DF0E47" w:rsidRPr="0069500F" w:rsidRDefault="00DF0E47">
      <w:pPr>
        <w:pStyle w:val="enumlev1"/>
      </w:pPr>
      <w:r w:rsidRPr="0069500F">
        <w:lastRenderedPageBreak/>
        <w:t>–</w:t>
      </w:r>
      <w:r w:rsidRPr="0069500F">
        <w:tab/>
        <w:t>until the successful completion of the Plan modification procedure for the modified allotment, the Bureau will retain the previous allotment (together with the assignments stemming from that allotment);</w:t>
      </w:r>
    </w:p>
    <w:p w:rsidR="00DF0E47" w:rsidRDefault="00DF0E47" w:rsidP="0069500F">
      <w:pPr>
        <w:pStyle w:val="enumlev1"/>
      </w:pPr>
      <w:r w:rsidRPr="0069500F">
        <w:t>–</w:t>
      </w:r>
      <w:r w:rsidRPr="0069500F">
        <w:tab/>
        <w:t>after the successful completion of the Plan modification procedure for the modified allotment, the Bureau will include it in the Plan (as a replacement for the previous allotment) and will examine all the assignments stemming from the previous allotment, if any, with respect to their conformity with the replacement allotment. If the assignments are in conformity with the replacement allotment, they will be maintained in the Plan; otherwise they will be deleted from the Plan and the administration concerned will be informed accordingly. The notifying administration, if it so wishes, may submit other assignment(s) stemming from the modified allotment under provision No.</w:t>
      </w:r>
      <w:r w:rsidR="0069500F" w:rsidRPr="0069500F">
        <w:t> </w:t>
      </w:r>
      <w:r w:rsidRPr="0069500F">
        <w:t xml:space="preserve">4.1.1 </w:t>
      </w:r>
      <w:r w:rsidRPr="0069500F">
        <w:rPr>
          <w:i/>
          <w:iCs/>
        </w:rPr>
        <w:t>c)</w:t>
      </w:r>
      <w:r w:rsidRPr="0069500F">
        <w:t>; upon receipt of these other assignments stemming from the modified allotment, the Bureau will examine them under No.</w:t>
      </w:r>
      <w:r w:rsidR="0069500F" w:rsidRPr="0069500F">
        <w:t> </w:t>
      </w:r>
      <w:r w:rsidRPr="0069500F">
        <w:t>4.1.2.7 and will act accordingly.</w:t>
      </w:r>
    </w:p>
    <w:p w:rsidR="00961CAA" w:rsidRPr="0069500F" w:rsidRDefault="00961CAA" w:rsidP="00A244E7">
      <w:pPr>
        <w:pStyle w:val="Heading9"/>
        <w:ind w:right="7655"/>
      </w:pPr>
      <w:r w:rsidRPr="0069500F">
        <w:t>4.1.</w:t>
      </w:r>
      <w:r>
        <w:t>4/4.2.4</w:t>
      </w:r>
      <w:r>
        <w:tab/>
      </w:r>
      <w:r>
        <w:tab/>
      </w:r>
      <w:r w:rsidRPr="00A244E7">
        <w:rPr>
          <w:b w:val="0"/>
          <w:bCs/>
          <w:sz w:val="16"/>
          <w:szCs w:val="16"/>
        </w:rPr>
        <w:t>(ADD RRB16/</w:t>
      </w:r>
      <w:r w:rsidR="00A244E7" w:rsidRPr="00A244E7">
        <w:rPr>
          <w:b w:val="0"/>
          <w:bCs/>
          <w:sz w:val="16"/>
          <w:szCs w:val="16"/>
        </w:rPr>
        <w:t>58</w:t>
      </w:r>
      <w:r w:rsidRPr="00A244E7">
        <w:rPr>
          <w:b w:val="0"/>
          <w:bCs/>
          <w:sz w:val="16"/>
          <w:szCs w:val="16"/>
        </w:rPr>
        <w:t>)</w:t>
      </w:r>
    </w:p>
    <w:p w:rsidR="00961CAA" w:rsidRPr="00961CAA" w:rsidRDefault="00961CAA" w:rsidP="00961CAA">
      <w:pPr>
        <w:pStyle w:val="Heading2"/>
        <w:ind w:left="0" w:firstLine="0"/>
        <w:jc w:val="center"/>
        <w:rPr>
          <w:bCs/>
        </w:rPr>
      </w:pPr>
      <w:r w:rsidRPr="00961CAA">
        <w:rPr>
          <w:bCs/>
        </w:rPr>
        <w:t xml:space="preserve">Rule of Procedure </w:t>
      </w:r>
    </w:p>
    <w:p w:rsidR="00961CAA" w:rsidRPr="00961CAA" w:rsidRDefault="00961CAA" w:rsidP="00961CAA">
      <w:r w:rsidRPr="00961CAA">
        <w:t xml:space="preserve">Sections 4.1.4 and 4.2.4 of the GE06 Regional Agreement outline the procedures to be followed by administrations and the Bureau for obtaining the agreement from administrations which are considered to be affected and whose agreement are yet to be obtained. </w:t>
      </w:r>
    </w:p>
    <w:p w:rsidR="00961CAA" w:rsidRPr="00961CAA" w:rsidRDefault="00961CAA" w:rsidP="00961CAA">
      <w:r w:rsidRPr="00961CAA">
        <w:t xml:space="preserve">Paragraphs 4.1.4.10 and 4.2.4.9, in particular, instruct the Bureau to send, upon request of an administration, a reminder requesting a decision from administrations, which did not reply within the 75-day period after the date of the publication of the relating BR IFIC. </w:t>
      </w:r>
    </w:p>
    <w:p w:rsidR="00961CAA" w:rsidRPr="00961CAA" w:rsidRDefault="00961CAA" w:rsidP="00961CAA">
      <w:r w:rsidRPr="00961CAA">
        <w:t>In addition to sending the reminders pursuant to § 4.1.4.10 or § 4.2.4.9 of the GE06 Regional Agreement, the Bureau will make them available simultaneously for the administrations concerned using another electronic means of communication e.g. using the web application “MyAdmin” (see CR/408, dated 5 July 2016).</w:t>
      </w:r>
    </w:p>
    <w:p w:rsidR="00961CAA" w:rsidRPr="00961CAA" w:rsidRDefault="00961CAA" w:rsidP="00961CAA">
      <w:r w:rsidRPr="00961CAA">
        <w:t>Paragraphs 4.1.4.11 and 4.2.4.10 state that if no decision is communicated to the Bureau within 40 days after the date of dispatch of the reminder, it shall be deemed that the administration has agreed to the proposed modification.</w:t>
      </w:r>
    </w:p>
    <w:p w:rsidR="00DF0E47" w:rsidRPr="0069500F" w:rsidRDefault="00DF0E47">
      <w:pPr>
        <w:pStyle w:val="Heading8"/>
      </w:pPr>
      <w:r w:rsidRPr="0069500F">
        <w:t>Art. 5</w:t>
      </w:r>
    </w:p>
    <w:p w:rsidR="00DF0E47" w:rsidRPr="0069500F" w:rsidRDefault="00DF0E47">
      <w:pPr>
        <w:pStyle w:val="Heading2"/>
        <w:spacing w:before="240"/>
        <w:ind w:left="0" w:firstLine="0"/>
        <w:jc w:val="center"/>
      </w:pPr>
      <w:r w:rsidRPr="0069500F">
        <w:t>Notification of frequency assignments</w:t>
      </w:r>
    </w:p>
    <w:p w:rsidR="00DF0E47" w:rsidRPr="0069500F" w:rsidRDefault="00DF0E47">
      <w:pPr>
        <w:pStyle w:val="Heading9"/>
      </w:pPr>
      <w:r w:rsidRPr="0069500F">
        <w:t>5.1.2</w:t>
      </w:r>
    </w:p>
    <w:p w:rsidR="00914EF4" w:rsidRDefault="00DF0E47" w:rsidP="0069500F">
      <w:r w:rsidRPr="0069500F">
        <w:t>1)</w:t>
      </w:r>
      <w:r w:rsidRPr="0069500F">
        <w:tab/>
        <w:t>This provision deals with the examination by the Bureau of the assignment with respect to No.</w:t>
      </w:r>
      <w:r w:rsidR="0069500F" w:rsidRPr="0069500F">
        <w:t> </w:t>
      </w:r>
      <w:r w:rsidRPr="0069500F">
        <w:rPr>
          <w:rStyle w:val="Artref"/>
          <w:b/>
          <w:color w:val="auto"/>
        </w:rPr>
        <w:t>11.34</w:t>
      </w:r>
      <w:r w:rsidRPr="0069500F">
        <w:t xml:space="preserve"> of the Radio Regulations (RR), i.e., its conformity with the Plans and the associated provisions. For the case of an analogue television assignment, sub-paragraph</w:t>
      </w:r>
      <w:r w:rsidR="0069500F" w:rsidRPr="0069500F">
        <w:t> </w:t>
      </w:r>
      <w:r w:rsidRPr="0069500F">
        <w:t xml:space="preserve">a) applies and it requires that the conditions of Section II of Annex 4 be met. However, Section II of Annex 4 deals only with the examination of conformity with the digital Plan entry. The Board concluded that, by analogy with § 4.2 of Section II of Annex 4 (dealing with digital plan entry comprising one assignment only), the notified frequency assignment to an analogue television assignment will be considered as compliant with the analogue television </w:t>
      </w:r>
      <w:r w:rsidRPr="0069500F">
        <w:lastRenderedPageBreak/>
        <w:t>Plan if it fulfils the conditions specified in § 4.2 of Section II of Annex 4, as adapted to the case of analogue television assignment.</w:t>
      </w:r>
    </w:p>
    <w:p w:rsidR="00B63DC3" w:rsidRDefault="00B63DC3" w:rsidP="00B63DC3">
      <w:r w:rsidRPr="0069500F">
        <w:t>2)</w:t>
      </w:r>
      <w:r w:rsidRPr="0069500F">
        <w:tab/>
        <w:t xml:space="preserve">In addition, the Board concluded that the analogue television assignments in the bands 174-230 MHz (for Morocco 170-230 MHz) and 470-862 MHz, which were recorded in the Master Register at the time of the establishment of the GE06 analogue Plan with favourable findings under No. </w:t>
      </w:r>
      <w:r w:rsidRPr="0069500F">
        <w:rPr>
          <w:rStyle w:val="Artref"/>
          <w:b/>
          <w:color w:val="auto"/>
        </w:rPr>
        <w:t>11.34</w:t>
      </w:r>
      <w:r w:rsidRPr="0069500F">
        <w:t xml:space="preserve"> of the RR, shall retain such favourable findings as long as their characteristics and the characteristics of the equivalent entry in the analogue television plan of the GE06 Agreement remain unchanged.</w:t>
      </w:r>
    </w:p>
    <w:p w:rsidR="00B63DC3" w:rsidRPr="0069500F" w:rsidRDefault="00B63DC3" w:rsidP="00B63DC3">
      <w:pPr>
        <w:pStyle w:val="Heading9"/>
      </w:pPr>
      <w:r w:rsidRPr="0069500F">
        <w:t xml:space="preserve">5.1.2 </w:t>
      </w:r>
      <w:r w:rsidRPr="0069500F">
        <w:rPr>
          <w:i/>
          <w:iCs/>
        </w:rPr>
        <w:t>e)</w:t>
      </w:r>
    </w:p>
    <w:p w:rsidR="00B63DC3" w:rsidRPr="0069500F" w:rsidRDefault="00B63DC3" w:rsidP="00C535A6">
      <w:r>
        <w:t>1)</w:t>
      </w:r>
      <w:r>
        <w:tab/>
      </w:r>
      <w:r w:rsidRPr="0069500F">
        <w:t xml:space="preserve">If the digital Plan entry bears a remark with respect to assignments in the analogue Plan or to existing assignments to other primary terrestrial services, the finding of the notified frequency assignment referring to this digital Plan entry and being within the scope of provision No. 5.1.2 </w:t>
      </w:r>
      <w:r w:rsidRPr="0069500F">
        <w:rPr>
          <w:i/>
          <w:iCs/>
        </w:rPr>
        <w:t>e)</w:t>
      </w:r>
      <w:r w:rsidRPr="0069500F">
        <w:t xml:space="preserve"> shall be favourable if all the necessary agreements have been obtained and if the conditions specified in Section II of Annex 4 are met.</w:t>
      </w:r>
    </w:p>
    <w:p w:rsidR="00B63DC3" w:rsidRDefault="00B63DC3" w:rsidP="00C535A6">
      <w:r>
        <w:t>2)</w:t>
      </w:r>
      <w:r>
        <w:tab/>
      </w:r>
      <w:r w:rsidRPr="0069500F">
        <w:t xml:space="preserve">If the digital Plan entry bears a remark with respect to entries in the digital Plan, the finding of the notified frequency assignment referring to this digital Plan entry and being within the scope of provision No. 5.1.2 </w:t>
      </w:r>
      <w:r w:rsidRPr="0069500F">
        <w:rPr>
          <w:i/>
          <w:iCs/>
        </w:rPr>
        <w:t>e)</w:t>
      </w:r>
      <w:r w:rsidRPr="0069500F">
        <w:t xml:space="preserve"> shall be favourable if the notifying administration states that all conditions associated with the remark are fully met, and the conditions of Section II of Annex 4 are met.</w:t>
      </w:r>
    </w:p>
    <w:p w:rsidR="00B63DC3" w:rsidRPr="00B5368A" w:rsidRDefault="00B63DC3" w:rsidP="00C535A6">
      <w:pPr>
        <w:rPr>
          <w:sz w:val="16"/>
          <w:szCs w:val="16"/>
        </w:rPr>
      </w:pPr>
      <w:r>
        <w:t>3)</w:t>
      </w:r>
      <w:r>
        <w:tab/>
      </w:r>
      <w:r w:rsidRPr="006045D2">
        <w:t xml:space="preserve">For the case of a T-DAB frequency assignment, notified under No. 5.1.2 </w:t>
      </w:r>
      <w:r w:rsidRPr="006045D2">
        <w:rPr>
          <w:i/>
        </w:rPr>
        <w:t>e)</w:t>
      </w:r>
      <w:r w:rsidRPr="006045D2">
        <w:t xml:space="preserve"> of the</w:t>
      </w:r>
      <w:r>
        <w:t> </w:t>
      </w:r>
      <w:r w:rsidRPr="006045D2">
        <w:t xml:space="preserve">GE06 Agreement, using a DVB-T single assignment Plan entry in the digital Plan, </w:t>
      </w:r>
      <w:r>
        <w:t xml:space="preserve">if </w:t>
      </w:r>
      <w:r w:rsidRPr="006045D2">
        <w:t xml:space="preserve">the notified frequency assignment </w:t>
      </w:r>
      <w:r>
        <w:t>uses</w:t>
      </w:r>
      <w:r w:rsidRPr="006045D2">
        <w:t xml:space="preserve"> the same</w:t>
      </w:r>
      <w:r>
        <w:t xml:space="preserve"> part of the</w:t>
      </w:r>
      <w:r w:rsidRPr="006045D2">
        <w:t xml:space="preserve"> spectrum of the DVB-T Plan assignment more than once</w:t>
      </w:r>
      <w:r>
        <w:t>, the finding of the notified assignment will be unfavourable and the notice will be returned to the notifying administration</w:t>
      </w:r>
      <w:r w:rsidRPr="006045D2">
        <w:t>.</w:t>
      </w:r>
    </w:p>
    <w:p w:rsidR="00B63DC3" w:rsidRDefault="00B63DC3" w:rsidP="00B63DC3">
      <w:r w:rsidRPr="006045D2">
        <w:t>4)</w:t>
      </w:r>
      <w:r w:rsidRPr="006045D2">
        <w:tab/>
        <w:t xml:space="preserve">For the case of a T-DAB frequency assignment, notified under No. 5.1.2 </w:t>
      </w:r>
      <w:r w:rsidRPr="006045D2">
        <w:rPr>
          <w:i/>
          <w:iCs/>
        </w:rPr>
        <w:t>e)</w:t>
      </w:r>
      <w:r w:rsidRPr="006045D2">
        <w:t xml:space="preserve"> of the GE06 Agreement, using a DVB-T Plan (assignment or allotment) entry, when examining if the conditions in Section II of Annex 4 of the GE06 Agreement are met, the Bureau </w:t>
      </w:r>
      <w:r>
        <w:t>will</w:t>
      </w:r>
      <w:r w:rsidRPr="006045D2">
        <w:t xml:space="preserve"> augment the notified e.r.p. of the T-DAB assignment by a corresponding correction factor</w:t>
      </w:r>
      <w:r>
        <w:t xml:space="preserve"> indicated in the table below</w:t>
      </w:r>
      <w:r w:rsidRPr="006045D2">
        <w:t xml:space="preserve"> to take into account the difference in spectral power densities as a result of the different bandwidths of the T-DAB assignment and the DVB-T Plan entry.</w:t>
      </w:r>
      <w:r>
        <w:t xml:space="preserve"> </w:t>
      </w:r>
      <w:r w:rsidRPr="006045D2">
        <w:t>The values of the correction factor are calculated as the ratio of the digital television broadcasting Plan entry bandwidth and the necessary bandwidth of the notified assignment.</w:t>
      </w:r>
    </w:p>
    <w:p w:rsidR="00B63DC3" w:rsidRDefault="00B63DC3" w:rsidP="00B63DC3">
      <w:pPr>
        <w:pStyle w:val="TabletitleBR"/>
        <w:spacing w:before="320" w:after="160"/>
      </w:pPr>
      <w:r w:rsidRPr="006045D2">
        <w:t xml:space="preserve">Correction factor to be applied to the e.r.p. </w:t>
      </w:r>
      <w:r>
        <w:br/>
      </w:r>
      <w:r w:rsidRPr="006045D2">
        <w:t>of notified T-DAB assignments</w:t>
      </w:r>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5"/>
        <w:gridCol w:w="3095"/>
        <w:gridCol w:w="2740"/>
      </w:tblGrid>
      <w:tr w:rsidR="00B63DC3" w:rsidRPr="00B63DC3" w:rsidTr="00B63DC3">
        <w:tc>
          <w:tcPr>
            <w:tcW w:w="3095" w:type="dxa"/>
            <w:vAlign w:val="center"/>
          </w:tcPr>
          <w:p w:rsidR="00B63DC3" w:rsidRPr="00B63DC3" w:rsidRDefault="00B63DC3" w:rsidP="00B63DC3">
            <w:pPr>
              <w:pStyle w:val="Tablehead0"/>
              <w:framePr w:hSpace="181" w:wrap="around" w:vAnchor="text" w:hAnchor="margin" w:xAlign="center" w:y="1"/>
              <w:ind w:left="-604"/>
              <w:rPr>
                <w:lang w:val="en-GB"/>
              </w:rPr>
            </w:pPr>
          </w:p>
        </w:tc>
        <w:tc>
          <w:tcPr>
            <w:tcW w:w="5835" w:type="dxa"/>
            <w:gridSpan w:val="2"/>
            <w:vAlign w:val="center"/>
          </w:tcPr>
          <w:p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DVB-T Plan entry channel arrangement</w:t>
            </w:r>
          </w:p>
        </w:tc>
      </w:tr>
      <w:tr w:rsidR="00B63DC3" w:rsidTr="00B63DC3">
        <w:tc>
          <w:tcPr>
            <w:tcW w:w="3095" w:type="dxa"/>
            <w:vAlign w:val="center"/>
          </w:tcPr>
          <w:p w:rsidR="00B63DC3" w:rsidRPr="00B63DC3" w:rsidRDefault="00B63DC3" w:rsidP="00B63DC3">
            <w:pPr>
              <w:pStyle w:val="Tablehead0"/>
              <w:framePr w:hSpace="181" w:wrap="around" w:vAnchor="text" w:hAnchor="margin" w:xAlign="center" w:y="1"/>
              <w:ind w:left="-604"/>
              <w:rPr>
                <w:lang w:val="en-GB"/>
              </w:rPr>
            </w:pPr>
          </w:p>
        </w:tc>
        <w:tc>
          <w:tcPr>
            <w:tcW w:w="3095" w:type="dxa"/>
            <w:vAlign w:val="center"/>
          </w:tcPr>
          <w:p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7 MHz</w:t>
            </w:r>
          </w:p>
        </w:tc>
        <w:tc>
          <w:tcPr>
            <w:tcW w:w="2740" w:type="dxa"/>
            <w:vAlign w:val="center"/>
          </w:tcPr>
          <w:p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8 MHz</w:t>
            </w:r>
          </w:p>
        </w:tc>
      </w:tr>
      <w:tr w:rsidR="00B63DC3" w:rsidTr="00B63DC3">
        <w:tc>
          <w:tcPr>
            <w:tcW w:w="3095" w:type="dxa"/>
            <w:vAlign w:val="center"/>
          </w:tcPr>
          <w:p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Correction factor</w:t>
            </w:r>
          </w:p>
        </w:tc>
        <w:tc>
          <w:tcPr>
            <w:tcW w:w="3095" w:type="dxa"/>
            <w:vAlign w:val="center"/>
          </w:tcPr>
          <w:p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6.371 dB</w:t>
            </w:r>
          </w:p>
        </w:tc>
        <w:tc>
          <w:tcPr>
            <w:tcW w:w="2740" w:type="dxa"/>
            <w:vAlign w:val="center"/>
          </w:tcPr>
          <w:p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6.950 dB</w:t>
            </w:r>
          </w:p>
        </w:tc>
      </w:tr>
    </w:tbl>
    <w:p w:rsidR="000A2CD9" w:rsidRDefault="00B63DC3" w:rsidP="00C535A6">
      <w:pPr>
        <w:spacing w:before="240"/>
        <w:rPr>
          <w:sz w:val="22"/>
          <w:szCs w:val="22"/>
        </w:rPr>
      </w:pPr>
      <w:r w:rsidRPr="00D45967">
        <w:rPr>
          <w:sz w:val="22"/>
          <w:szCs w:val="22"/>
        </w:rPr>
        <w:t>NOTE − If there is one or more DVB-T Plan entries using system variant of 64</w:t>
      </w:r>
      <w:r>
        <w:rPr>
          <w:sz w:val="22"/>
          <w:szCs w:val="22"/>
        </w:rPr>
        <w:t>-</w:t>
      </w:r>
      <w:r w:rsidRPr="00D45967">
        <w:rPr>
          <w:sz w:val="22"/>
          <w:szCs w:val="22"/>
        </w:rPr>
        <w:t>QAM 7/8, located within 1000 km (the limit of the propagation model described in Annex 2 of the Agreement) of the transmitter site of the notified T-DAB assignment, a correction factor of 8.1 dB will be used.</w:t>
      </w:r>
    </w:p>
    <w:p w:rsidR="00961CAA" w:rsidRDefault="00961CAA" w:rsidP="00C535A6">
      <w:pPr>
        <w:spacing w:before="240"/>
        <w:rPr>
          <w:sz w:val="22"/>
          <w:szCs w:val="22"/>
        </w:rPr>
        <w:sectPr w:rsidR="00961CAA" w:rsidSect="0015592B">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rsidR="00B63DC3" w:rsidRPr="0069500F" w:rsidRDefault="00B63DC3" w:rsidP="00B63DC3">
      <w:pPr>
        <w:pStyle w:val="Heading9"/>
      </w:pPr>
      <w:r w:rsidRPr="0069500F">
        <w:lastRenderedPageBreak/>
        <w:t>5.1.3</w:t>
      </w:r>
    </w:p>
    <w:p w:rsidR="00B63DC3" w:rsidRPr="0069500F" w:rsidRDefault="00B63DC3" w:rsidP="00B63DC3">
      <w:r w:rsidRPr="0069500F">
        <w:t>1)</w:t>
      </w:r>
      <w:r w:rsidRPr="0069500F">
        <w:tab/>
        <w:t>This provision deals with notification of a digital broadcasting entry in the Plan with characteristics different from those appearing in the Plan. The definition of the “digital Plan entry”, as contained in No. 1.3.18 of Annex 1 to the GE06 Agreement, includes both assignments and allotments. However, and in view of the formulation of No. 5.1 of the GE06 Agreement, the Board concluded that, in the application of No. 5.1.3 of the GE06 Agreement, administrations can notify only frequency assignments.</w:t>
      </w:r>
    </w:p>
    <w:p w:rsidR="00B63DC3" w:rsidRDefault="00B63DC3" w:rsidP="00B63DC3">
      <w:r w:rsidRPr="0069500F">
        <w:t>2)</w:t>
      </w:r>
      <w:r w:rsidRPr="0069500F">
        <w:tab/>
        <w:t xml:space="preserve">For the examination of the conformity of the frequency assignment </w:t>
      </w:r>
      <w:r>
        <w:t xml:space="preserve">in the broadcasting service or </w:t>
      </w:r>
      <w:r w:rsidRPr="0069500F">
        <w:t>in other primary services, notified under No. 5.1.3 of the GE06 Agreement, with the corresponding “digital entry in the Plan”, the Bureau would need to ascertain that the notified frequency assignment does not exceed the interference potential of the corresponding digital broad</w:t>
      </w:r>
      <w:r w:rsidRPr="0069500F">
        <w:softHyphen/>
        <w:t xml:space="preserve">casting entry in the Plan. Provision No. 5.1.3 indicates only the condition that the peak power density of the notified frequency assignment, in any 4 kHz, shall not exceed the spectral power density in the same 4 kHz of the digital broadcasting entry in the Plan. Item 5.6 of Table 3 of Annex 3 to the GE06 Agreement indicates that this is the spectral power density delivered to the antenna transmission line. The Board understands that </w:t>
      </w:r>
      <w:r w:rsidRPr="006045D2">
        <w:t>the maximum spectral power-density (dB(W/Hz)) (Item 8AC,</w:t>
      </w:r>
      <w:r>
        <w:t xml:space="preserve"> Annex 1 of</w:t>
      </w:r>
      <w:r w:rsidRPr="006045D2">
        <w:t xml:space="preserve"> Appendix </w:t>
      </w:r>
      <w:r w:rsidRPr="00232FB0">
        <w:rPr>
          <w:b/>
          <w:bCs/>
        </w:rPr>
        <w:t>4</w:t>
      </w:r>
      <w:r w:rsidRPr="006045D2">
        <w:t xml:space="preserve"> </w:t>
      </w:r>
      <w:r>
        <w:t>(Rev.</w:t>
      </w:r>
      <w:r w:rsidRPr="006045D2">
        <w:t>WRC</w:t>
      </w:r>
      <w:r w:rsidRPr="006045D2">
        <w:noBreakHyphen/>
        <w:t>07</w:t>
      </w:r>
      <w:r>
        <w:t>)</w:t>
      </w:r>
      <w:r w:rsidRPr="006045D2">
        <w:t xml:space="preserve">) averaged over the worst 4 kHz band is based on the maximum effective radiated power. The Bureau </w:t>
      </w:r>
      <w:r>
        <w:t>will</w:t>
      </w:r>
      <w:r w:rsidRPr="006045D2">
        <w:t xml:space="preserve"> take into account the spectral power-density of the notified assignment by first calculating the equivalent maximum effective radiated power (e.r.p.) of the notified frequency assignment to which is applied a correction factor that takes into account the difference in spectral power-densities as a result of the different necessary bandwidths of the frequency assignment and the corresponding Plan entry.</w:t>
      </w:r>
      <w:r w:rsidRPr="006045D2" w:rsidDel="00353C5B">
        <w:t xml:space="preserve"> </w:t>
      </w:r>
      <w:r w:rsidRPr="006045D2">
        <w:t>The equivalent effective radiated power is derived from the necessary bandwidth and the peak spectral power-density of the notified assignment and the bandwidth of the digital broadcasting Plan entry, as given in the equation below:</w:t>
      </w:r>
    </w:p>
    <w:p w:rsidR="00496976" w:rsidRDefault="00496976" w:rsidP="00B63DC3"/>
    <w:p w:rsidR="00B63DC3" w:rsidRPr="006045D2" w:rsidRDefault="00B63DC3" w:rsidP="00B63DC3">
      <w:pPr>
        <w:pStyle w:val="Questiontitle"/>
      </w:pPr>
      <w:r w:rsidRPr="006F5691">
        <w:rPr>
          <w:b w:val="0"/>
          <w:bCs/>
          <w:position w:val="-32"/>
        </w:rPr>
        <w:object w:dxaOrig="747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pt;height:38.7pt" o:ole="">
            <v:imagedata r:id="rId11" o:title=""/>
          </v:shape>
          <o:OLEObject Type="Embed" ProgID="Equation.3" ShapeID="_x0000_i1025" DrawAspect="Content" ObjectID="_1540804090" r:id="rId12"/>
        </w:object>
      </w:r>
    </w:p>
    <w:p w:rsidR="00B63DC3" w:rsidRPr="006045D2" w:rsidRDefault="00B63DC3" w:rsidP="00B63DC3">
      <w:r w:rsidRPr="006045D2">
        <w:t>where:</w:t>
      </w:r>
    </w:p>
    <w:p w:rsidR="00B63DC3" w:rsidRPr="006045D2" w:rsidRDefault="00B63DC3" w:rsidP="00B63DC3">
      <w:pPr>
        <w:pStyle w:val="enumlev1"/>
        <w:tabs>
          <w:tab w:val="clear" w:pos="1871"/>
          <w:tab w:val="left" w:pos="1560"/>
        </w:tabs>
      </w:pPr>
      <w:r w:rsidRPr="006045D2">
        <w:tab/>
      </w:r>
      <w:r w:rsidRPr="006045D2">
        <w:rPr>
          <w:i/>
        </w:rPr>
        <w:t>SPD</w:t>
      </w:r>
      <w:r w:rsidRPr="00232FB0">
        <w:rPr>
          <w:i/>
          <w:iCs/>
          <w:vertAlign w:val="subscript"/>
        </w:rPr>
        <w:t>max</w:t>
      </w:r>
      <w:r>
        <w:t>:</w:t>
      </w:r>
      <w:r>
        <w:tab/>
      </w:r>
      <w:r w:rsidRPr="006045D2">
        <w:t xml:space="preserve">maximum spectral power density (dB(W/Hz)) (Item 8AC, </w:t>
      </w:r>
      <w:r>
        <w:t xml:space="preserve">Annex 1 to </w:t>
      </w:r>
      <w:r>
        <w:br/>
      </w:r>
      <w:r>
        <w:tab/>
      </w:r>
      <w:r>
        <w:tab/>
      </w:r>
      <w:r w:rsidRPr="006045D2">
        <w:t>Appendix</w:t>
      </w:r>
      <w:r>
        <w:t> </w:t>
      </w:r>
      <w:r w:rsidRPr="003E4F92">
        <w:rPr>
          <w:b/>
          <w:bCs/>
        </w:rPr>
        <w:t>4</w:t>
      </w:r>
      <w:r>
        <w:t xml:space="preserve"> (Rev.</w:t>
      </w:r>
      <w:r w:rsidRPr="006045D2">
        <w:t>WRC</w:t>
      </w:r>
      <w:r w:rsidRPr="006045D2">
        <w:noBreakHyphen/>
        <w:t>07</w:t>
      </w:r>
      <w:r>
        <w:t>)</w:t>
      </w:r>
      <w:r w:rsidRPr="006045D2">
        <w:t xml:space="preserve">) averaged over the worst 4 kHz band and based </w:t>
      </w:r>
      <w:r>
        <w:tab/>
      </w:r>
      <w:r>
        <w:tab/>
      </w:r>
      <w:r w:rsidRPr="006045D2">
        <w:t>on</w:t>
      </w:r>
      <w:r>
        <w:t xml:space="preserve"> </w:t>
      </w:r>
      <w:r w:rsidRPr="006045D2">
        <w:t>the m</w:t>
      </w:r>
      <w:r>
        <w:t>aximum effective radiated power</w:t>
      </w:r>
    </w:p>
    <w:p w:rsidR="00B63DC3" w:rsidRDefault="00B63DC3" w:rsidP="00B63DC3">
      <w:pPr>
        <w:pStyle w:val="enumlev1"/>
        <w:tabs>
          <w:tab w:val="clear" w:pos="1871"/>
          <w:tab w:val="left" w:pos="1560"/>
        </w:tabs>
      </w:pPr>
      <w:r w:rsidRPr="006045D2">
        <w:tab/>
      </w:r>
      <w:r w:rsidRPr="006045D2">
        <w:rPr>
          <w:i/>
        </w:rPr>
        <w:t>BW</w:t>
      </w:r>
      <w:r w:rsidRPr="006045D2">
        <w:rPr>
          <w:i/>
          <w:vertAlign w:val="subscript"/>
        </w:rPr>
        <w:t>NA</w:t>
      </w:r>
      <w:r>
        <w:t>:</w:t>
      </w:r>
      <w:r w:rsidRPr="006045D2">
        <w:t xml:space="preserve"> </w:t>
      </w:r>
      <w:r>
        <w:tab/>
      </w:r>
      <w:r>
        <w:tab/>
      </w:r>
      <w:r w:rsidRPr="006045D2">
        <w:t xml:space="preserve">notified necessary bandwidth </w:t>
      </w:r>
      <w:r>
        <w:t xml:space="preserve">(Hz) </w:t>
      </w:r>
      <w:r w:rsidRPr="006045D2">
        <w:t>(Item 7AB,</w:t>
      </w:r>
      <w:r>
        <w:t xml:space="preserve"> Annex 1 to</w:t>
      </w:r>
      <w:r w:rsidRPr="006045D2">
        <w:t xml:space="preserve"> Appendix </w:t>
      </w:r>
      <w:r w:rsidRPr="003E4F92">
        <w:rPr>
          <w:b/>
          <w:bCs/>
        </w:rPr>
        <w:t>4</w:t>
      </w:r>
      <w:r w:rsidRPr="006045D2">
        <w:t xml:space="preserve"> </w:t>
      </w:r>
      <w:r>
        <w:br/>
      </w:r>
      <w:r>
        <w:tab/>
      </w:r>
      <w:r>
        <w:tab/>
        <w:t>(Rev.WRC-07))</w:t>
      </w:r>
      <w:r w:rsidRPr="006045D2">
        <w:t>;</w:t>
      </w:r>
    </w:p>
    <w:p w:rsidR="00CD423D" w:rsidRDefault="00CD423D" w:rsidP="00B63DC3">
      <w:pPr>
        <w:pStyle w:val="enumlev1"/>
        <w:tabs>
          <w:tab w:val="clear" w:pos="1871"/>
          <w:tab w:val="left" w:pos="1560"/>
        </w:tabs>
      </w:pPr>
    </w:p>
    <w:p w:rsidR="00CD423D" w:rsidRPr="006045D2" w:rsidRDefault="00CD423D" w:rsidP="00B63DC3">
      <w:pPr>
        <w:pStyle w:val="enumlev1"/>
        <w:tabs>
          <w:tab w:val="clear" w:pos="1871"/>
          <w:tab w:val="left" w:pos="1560"/>
        </w:tabs>
      </w:pPr>
    </w:p>
    <w:p w:rsidR="00CD423D" w:rsidRDefault="00CD423D" w:rsidP="00B63DC3">
      <w:pPr>
        <w:pStyle w:val="enumlev1"/>
        <w:tabs>
          <w:tab w:val="clear" w:pos="1871"/>
          <w:tab w:val="left" w:pos="1560"/>
        </w:tabs>
      </w:pPr>
      <w:r>
        <w:br w:type="page"/>
      </w:r>
    </w:p>
    <w:p w:rsidR="00B63DC3" w:rsidRDefault="00B63DC3" w:rsidP="00B63DC3">
      <w:pPr>
        <w:pStyle w:val="enumlev1"/>
        <w:tabs>
          <w:tab w:val="clear" w:pos="1871"/>
          <w:tab w:val="left" w:pos="1560"/>
        </w:tabs>
      </w:pPr>
      <w:r w:rsidRPr="006045D2">
        <w:lastRenderedPageBreak/>
        <w:tab/>
      </w:r>
      <w:r w:rsidRPr="006045D2">
        <w:rPr>
          <w:i/>
        </w:rPr>
        <w:t>BW</w:t>
      </w:r>
      <w:r w:rsidRPr="006045D2">
        <w:rPr>
          <w:i/>
          <w:vertAlign w:val="subscript"/>
        </w:rPr>
        <w:t>PE</w:t>
      </w:r>
      <w:r>
        <w:t>:</w:t>
      </w:r>
      <w:r w:rsidRPr="006045D2">
        <w:t xml:space="preserve"> </w:t>
      </w:r>
      <w:r>
        <w:tab/>
      </w:r>
      <w:r>
        <w:tab/>
      </w:r>
      <w:r w:rsidRPr="006045D2">
        <w:t xml:space="preserve">bandwidth </w:t>
      </w:r>
      <w:r>
        <w:t>(</w:t>
      </w:r>
      <w:r w:rsidRPr="006045D2">
        <w:t>Hz</w:t>
      </w:r>
      <w:r>
        <w:t>)</w:t>
      </w:r>
      <w:r w:rsidRPr="006045D2">
        <w:t xml:space="preserve"> for the relevant system of the digital broadcasting Plan </w:t>
      </w:r>
      <w:r>
        <w:br/>
      </w:r>
      <w:r>
        <w:tab/>
      </w:r>
      <w:r>
        <w:tab/>
      </w:r>
      <w:r w:rsidRPr="006045D2">
        <w:t>entry. For DVB-T Plan entries the bandwidth is 7.61 × 10</w:t>
      </w:r>
      <w:r w:rsidRPr="006045D2">
        <w:rPr>
          <w:vertAlign w:val="superscript"/>
        </w:rPr>
        <w:t>6 </w:t>
      </w:r>
      <w:r w:rsidRPr="006045D2">
        <w:t xml:space="preserve">Hz in the case of </w:t>
      </w:r>
      <w:r>
        <w:tab/>
      </w:r>
      <w:r>
        <w:tab/>
      </w:r>
      <w:r w:rsidRPr="006045D2">
        <w:t>8 MHz systems and 6.66 × 10</w:t>
      </w:r>
      <w:r w:rsidRPr="006045D2">
        <w:rPr>
          <w:vertAlign w:val="superscript"/>
        </w:rPr>
        <w:t>6</w:t>
      </w:r>
      <w:r w:rsidRPr="006045D2">
        <w:t xml:space="preserve"> Hz for 7 MHz systems, and for T-DAB Plan </w:t>
      </w:r>
      <w:r>
        <w:tab/>
      </w:r>
      <w:r>
        <w:tab/>
      </w:r>
      <w:r w:rsidRPr="006045D2">
        <w:t>entries, 1.536 × 10</w:t>
      </w:r>
      <w:r w:rsidRPr="006045D2">
        <w:rPr>
          <w:vertAlign w:val="superscript"/>
        </w:rPr>
        <w:t>6 </w:t>
      </w:r>
      <w:r w:rsidRPr="006045D2">
        <w:t>Hz.</w:t>
      </w:r>
    </w:p>
    <w:p w:rsidR="00B63DC3" w:rsidRPr="0069500F" w:rsidRDefault="00B63DC3" w:rsidP="00C535A6">
      <w:r w:rsidRPr="006045D2">
        <w:t>In order to ascertain that the field strength produced by the notified frequency assignment(s), in any direction, does not create more interference than the corresponding digital broadcasting Plan entry,</w:t>
      </w:r>
      <w:r w:rsidRPr="0069500F">
        <w:t xml:space="preserve"> the Bureau would need complete characteristics of the notified frequency assignment, such as geographical information (effective antenna heights in 36 azimuths) and transmission information (polarization, e.r.p., including antenna attenuation in the horizontal</w:t>
      </w:r>
      <w:r>
        <w:t xml:space="preserve"> </w:t>
      </w:r>
      <w:r w:rsidRPr="0069500F">
        <w:t xml:space="preserve">and vertical planes if, for example, the digital broadcasting Plan entry has a directional antenna pattern). Therefore, when notifying frequency assignments under No. 5.1.3 of the GE06 Agreement, administrations need to supply all the relevant characteristics that are necessary, for the Bureau, to ascertain that the notified frequency assignment is within the envelope of the digital broadcasting </w:t>
      </w:r>
      <w:r>
        <w:t>P</w:t>
      </w:r>
      <w:r w:rsidRPr="0069500F">
        <w:t>lan entry.</w:t>
      </w:r>
    </w:p>
    <w:p w:rsidR="00B63DC3" w:rsidRPr="0069500F" w:rsidRDefault="00B63DC3" w:rsidP="00B63DC3">
      <w:r w:rsidRPr="0069500F">
        <w:t>3)</w:t>
      </w:r>
      <w:r w:rsidRPr="0069500F">
        <w:tab/>
        <w:t>If the digital Plan entry bears a remark with respect to assignments in the analogue Plan or to existing assignments to other primary terrestrial services, the finding of the notified frequency assignment referring to this digital Plan entry and being within the scope of provision No. 5.1.3 shall be favourable if all the necessary agreements have been obtained and if the results of all the required examinations are favourable.</w:t>
      </w:r>
    </w:p>
    <w:p w:rsidR="00B63DC3" w:rsidRDefault="00B63DC3" w:rsidP="00B63DC3">
      <w:r w:rsidRPr="0069500F">
        <w:t>If the digital Plan entry bears a remark with respect to entries in the digital Plan, the finding of the notified frequency assignment referring to this digital Plan entry and being within the scope of provision No. 5.1.3 shall be favourable if the notifying administration states that all conditions associated with the remark are fully met and if the results of all the required examinations are favourable.</w:t>
      </w:r>
    </w:p>
    <w:p w:rsidR="000A2CD9" w:rsidRDefault="000A2CD9" w:rsidP="00B63DC3"/>
    <w:p w:rsidR="00496976" w:rsidRDefault="00496976" w:rsidP="00B63DC3"/>
    <w:p w:rsidR="00496976" w:rsidRDefault="00496976" w:rsidP="00B63DC3"/>
    <w:p w:rsidR="00496976" w:rsidRDefault="00496976" w:rsidP="00B63DC3"/>
    <w:p w:rsidR="000A2CD9" w:rsidRDefault="000A2CD9" w:rsidP="00B63DC3"/>
    <w:p w:rsidR="000A2CD9" w:rsidRPr="0069500F" w:rsidRDefault="000A2CD9" w:rsidP="00B63DC3">
      <w:pPr>
        <w:rPr>
          <w:sz w:val="16"/>
          <w:szCs w:val="16"/>
        </w:rPr>
      </w:pPr>
    </w:p>
    <w:p w:rsidR="000A2CD9" w:rsidRDefault="000A2CD9">
      <w:pPr>
        <w:tabs>
          <w:tab w:val="clear" w:pos="1134"/>
          <w:tab w:val="clear" w:pos="1871"/>
          <w:tab w:val="clear" w:pos="2268"/>
        </w:tabs>
        <w:overflowPunct/>
        <w:autoSpaceDE/>
        <w:autoSpaceDN/>
        <w:adjustRightInd/>
        <w:spacing w:before="0"/>
        <w:jc w:val="left"/>
        <w:textAlignment w:val="auto"/>
        <w:rPr>
          <w:b/>
        </w:rPr>
      </w:pPr>
      <w:r>
        <w:br w:type="page"/>
      </w:r>
    </w:p>
    <w:p w:rsidR="00B63DC3" w:rsidRPr="0069500F" w:rsidRDefault="00B63DC3" w:rsidP="00B63DC3">
      <w:pPr>
        <w:pStyle w:val="Heading8"/>
        <w:spacing w:before="240"/>
      </w:pPr>
      <w:r w:rsidRPr="0069500F">
        <w:lastRenderedPageBreak/>
        <w:t>Art. 12</w:t>
      </w:r>
    </w:p>
    <w:p w:rsidR="00B63DC3" w:rsidRPr="0069500F" w:rsidRDefault="00B63DC3" w:rsidP="00B63DC3">
      <w:pPr>
        <w:pStyle w:val="Heading2"/>
        <w:spacing w:before="240"/>
        <w:ind w:left="0" w:firstLine="0"/>
        <w:jc w:val="center"/>
      </w:pPr>
      <w:r w:rsidRPr="0069500F">
        <w:t>Entry into force, duration and provisional application of the Agreement</w:t>
      </w:r>
    </w:p>
    <w:p w:rsidR="00B63DC3" w:rsidRPr="0069500F" w:rsidRDefault="00B63DC3" w:rsidP="00B63DC3">
      <w:pPr>
        <w:pStyle w:val="Heading9"/>
        <w:spacing w:before="360"/>
      </w:pPr>
      <w:r w:rsidRPr="0069500F">
        <w:t>12.6</w:t>
      </w:r>
    </w:p>
    <w:p w:rsidR="00B63DC3" w:rsidRDefault="00B63DC3" w:rsidP="00B63DC3">
      <w:r w:rsidRPr="0069500F">
        <w:t>Footnote 7, associated with this provision, lists the countries for which the transition period for the VHF band (174-230 MHz; for Morocco: 170-230 MHz) shall end on 17 June 2020 at 0001 hours UTC. The same footnote further specifies the option, for the administrations which were not present at RRC</w:t>
      </w:r>
      <w:r w:rsidRPr="0069500F">
        <w:noBreakHyphen/>
        <w:t>06 and whose names are listed in footnote 7, of selecting another date for the end of the transition period in the VHF band (notably 17 June 2015 at 0001 hours UTC), provided that these administrations communicate such a decision to the Bureau within a 90-day period from the end of RRC</w:t>
      </w:r>
      <w:r w:rsidRPr="0069500F">
        <w:noBreakHyphen/>
        <w:t>06.</w:t>
      </w:r>
    </w:p>
    <w:p w:rsidR="00B63DC3" w:rsidRDefault="00B63DC3" w:rsidP="00B63DC3">
      <w:r w:rsidRPr="0069500F">
        <w:t>After the end of RRC-06, the Bureau contacted the administrations of the Member States listed in footnote 7 of this provision which were not present at RRC</w:t>
      </w:r>
      <w:r w:rsidRPr="0069500F">
        <w:noBreakHyphen/>
        <w:t>06 and informed them of the decisions of RRC-06 in this respect. No administration of the Member States concerned informed the Bureau, within the specified period, that it selected 17 June 2015 for the end of the transition period. Therefore, for all countries listed in footnote 7, the transition period for the VHF band shall end on 17 June 2020 at 0001 hours UTC.</w:t>
      </w:r>
    </w:p>
    <w:p w:rsidR="000A2CD9" w:rsidRDefault="000A2CD9" w:rsidP="00B63DC3"/>
    <w:p w:rsidR="000A2CD9" w:rsidRDefault="000A2CD9" w:rsidP="00B63DC3"/>
    <w:p w:rsidR="000A2CD9" w:rsidRDefault="000A2CD9" w:rsidP="00B63DC3"/>
    <w:p w:rsidR="000A2CD9" w:rsidRDefault="000A2CD9" w:rsidP="00B63DC3"/>
    <w:p w:rsidR="000A2CD9" w:rsidRDefault="000A2CD9" w:rsidP="00B63DC3"/>
    <w:p w:rsidR="000A2CD9" w:rsidRDefault="000A2CD9" w:rsidP="00B63DC3"/>
    <w:p w:rsidR="000A2CD9" w:rsidRDefault="000A2CD9" w:rsidP="00B63DC3"/>
    <w:p w:rsidR="000A2CD9" w:rsidRDefault="000A2CD9" w:rsidP="00B63DC3"/>
    <w:p w:rsidR="000A2CD9" w:rsidRDefault="000A2CD9" w:rsidP="00B63DC3"/>
    <w:p w:rsidR="00F857B2" w:rsidRDefault="00F857B2">
      <w:pPr>
        <w:tabs>
          <w:tab w:val="clear" w:pos="1134"/>
          <w:tab w:val="clear" w:pos="1871"/>
          <w:tab w:val="clear" w:pos="2268"/>
        </w:tabs>
        <w:overflowPunct/>
        <w:autoSpaceDE/>
        <w:autoSpaceDN/>
        <w:adjustRightInd/>
        <w:spacing w:before="0"/>
        <w:jc w:val="left"/>
        <w:textAlignment w:val="auto"/>
        <w:sectPr w:rsidR="00F857B2" w:rsidSect="0015592B">
          <w:headerReference w:type="even" r:id="rId13"/>
          <w:headerReference w:type="default" r:id="rId14"/>
          <w:footnotePr>
            <w:pos w:val="beneathText"/>
          </w:footnotePr>
          <w:pgSz w:w="11907" w:h="16840" w:code="9"/>
          <w:pgMar w:top="1701" w:right="851" w:bottom="1134" w:left="1985" w:header="720" w:footer="482" w:gutter="0"/>
          <w:cols w:space="720"/>
          <w:vAlign w:val="both"/>
        </w:sectPr>
      </w:pPr>
    </w:p>
    <w:p w:rsidR="00B63DC3" w:rsidRPr="0069500F" w:rsidRDefault="00B63DC3" w:rsidP="00F857B2">
      <w:pPr>
        <w:pStyle w:val="Heading8"/>
        <w:spacing w:before="0"/>
      </w:pPr>
      <w:r w:rsidRPr="0069500F">
        <w:lastRenderedPageBreak/>
        <w:t>Annex 2</w:t>
      </w:r>
    </w:p>
    <w:p w:rsidR="00B63DC3" w:rsidRPr="0069500F" w:rsidRDefault="00B63DC3" w:rsidP="00B63DC3">
      <w:pPr>
        <w:pStyle w:val="Heading2"/>
        <w:ind w:left="0" w:firstLine="0"/>
        <w:jc w:val="center"/>
      </w:pPr>
      <w:r w:rsidRPr="0069500F">
        <w:t>Technical elements and criteria used in the development of the Plan</w:t>
      </w:r>
      <w:r w:rsidRPr="0069500F">
        <w:br/>
        <w:t>and the implementation of the Agreement</w:t>
      </w:r>
    </w:p>
    <w:p w:rsidR="00F857B2" w:rsidRPr="00326947" w:rsidRDefault="00F857B2" w:rsidP="00F857B2">
      <w:pPr>
        <w:keepNext/>
        <w:keepLines/>
        <w:pBdr>
          <w:top w:val="single" w:sz="6" w:space="1" w:color="auto"/>
          <w:left w:val="single" w:sz="6" w:space="1" w:color="auto"/>
          <w:bottom w:val="single" w:sz="6" w:space="1" w:color="auto"/>
          <w:right w:val="single" w:sz="6" w:space="1" w:color="auto"/>
        </w:pBdr>
        <w:spacing w:before="280"/>
        <w:ind w:left="85" w:right="7258"/>
        <w:jc w:val="left"/>
        <w:textAlignment w:val="auto"/>
        <w:outlineLvl w:val="8"/>
        <w:rPr>
          <w:b/>
          <w:szCs w:val="24"/>
        </w:rPr>
      </w:pPr>
      <w:r w:rsidRPr="00326947">
        <w:rPr>
          <w:b/>
          <w:szCs w:val="24"/>
        </w:rPr>
        <w:t>Appendix 2.1</w:t>
      </w:r>
      <w:r w:rsidRPr="00326947">
        <w:rPr>
          <w:b/>
          <w:szCs w:val="24"/>
        </w:rPr>
        <w:br/>
        <w:t>Section A2.1.8.1</w:t>
      </w:r>
      <w:r>
        <w:rPr>
          <w:b/>
          <w:szCs w:val="24"/>
        </w:rPr>
        <w:tab/>
      </w:r>
      <w:r>
        <w:rPr>
          <w:b/>
          <w:szCs w:val="24"/>
        </w:rPr>
        <w:tab/>
      </w:r>
      <w:r w:rsidRPr="00F857B2">
        <w:rPr>
          <w:bCs/>
          <w:sz w:val="16"/>
          <w:szCs w:val="16"/>
        </w:rPr>
        <w:t>(ADD RRB13/64)</w:t>
      </w:r>
    </w:p>
    <w:p w:rsidR="00F857B2" w:rsidRPr="00326947" w:rsidRDefault="00F857B2" w:rsidP="00F857B2">
      <w:pPr>
        <w:rPr>
          <w:rFonts w:eastAsia="SimSun"/>
          <w:szCs w:val="24"/>
          <w:lang w:eastAsia="zh-CN"/>
        </w:rPr>
      </w:pPr>
      <w:r w:rsidRPr="00326947">
        <w:rPr>
          <w:rFonts w:eastAsia="SimSun"/>
          <w:szCs w:val="24"/>
          <w:lang w:eastAsia="zh-CN"/>
        </w:rPr>
        <w:t xml:space="preserve">This Section deals with the mixed path interpolation factor </w:t>
      </w:r>
      <w:r w:rsidRPr="00326947">
        <w:rPr>
          <w:rFonts w:eastAsia="SimSun"/>
          <w:i/>
          <w:iCs/>
          <w:szCs w:val="24"/>
          <w:lang w:eastAsia="zh-CN"/>
        </w:rPr>
        <w:t>A</w:t>
      </w:r>
      <w:r w:rsidRPr="00326947">
        <w:rPr>
          <w:rFonts w:eastAsia="SimSun"/>
          <w:i/>
          <w:iCs/>
          <w:szCs w:val="24"/>
          <w:vertAlign w:val="subscript"/>
          <w:lang w:eastAsia="zh-CN"/>
        </w:rPr>
        <w:t xml:space="preserve"> </w:t>
      </w:r>
      <w:r w:rsidRPr="00326947">
        <w:rPr>
          <w:rFonts w:eastAsia="SimSun"/>
          <w:szCs w:val="24"/>
          <w:lang w:eastAsia="zh-CN"/>
        </w:rPr>
        <w:t xml:space="preserve">used for calculating the field strength for path crossing multiple propagation zones. The interpolation factor </w:t>
      </w:r>
      <w:r w:rsidRPr="00326947">
        <w:rPr>
          <w:rFonts w:eastAsia="SimSun"/>
          <w:i/>
          <w:iCs/>
          <w:szCs w:val="24"/>
          <w:lang w:eastAsia="zh-CN"/>
        </w:rPr>
        <w:t>A</w:t>
      </w:r>
      <w:r w:rsidRPr="00326947">
        <w:rPr>
          <w:rFonts w:eastAsia="SimSun"/>
          <w:szCs w:val="24"/>
          <w:lang w:eastAsia="zh-CN"/>
        </w:rPr>
        <w:t xml:space="preserve"> is a function of basic interpolation factor </w:t>
      </w:r>
      <w:r w:rsidRPr="00326947">
        <w:rPr>
          <w:rFonts w:eastAsia="SimSun"/>
          <w:i/>
          <w:iCs/>
          <w:szCs w:val="24"/>
          <w:lang w:eastAsia="zh-CN"/>
        </w:rPr>
        <w:t>A</w:t>
      </w:r>
      <w:r w:rsidRPr="00326947">
        <w:rPr>
          <w:rFonts w:eastAsia="SimSun"/>
          <w:i/>
          <w:iCs/>
          <w:szCs w:val="24"/>
          <w:vertAlign w:val="subscript"/>
          <w:lang w:eastAsia="zh-CN"/>
        </w:rPr>
        <w:t>0</w:t>
      </w:r>
      <w:r w:rsidRPr="00326947">
        <w:rPr>
          <w:rFonts w:eastAsia="SimSun"/>
          <w:szCs w:val="24"/>
          <w:lang w:eastAsia="zh-CN"/>
        </w:rPr>
        <w:t xml:space="preserve"> whose value is determined by reading from the curve in Figure A.2.1-2. This may result in different interpretations of A</w:t>
      </w:r>
      <w:r w:rsidRPr="00326947">
        <w:rPr>
          <w:rFonts w:eastAsia="SimSun"/>
          <w:szCs w:val="24"/>
          <w:vertAlign w:val="subscript"/>
          <w:lang w:eastAsia="zh-CN"/>
        </w:rPr>
        <w:t xml:space="preserve">0 </w:t>
      </w:r>
      <w:r w:rsidRPr="00326947">
        <w:rPr>
          <w:rFonts w:eastAsia="SimSun"/>
          <w:szCs w:val="24"/>
          <w:lang w:eastAsia="zh-CN"/>
        </w:rPr>
        <w:t xml:space="preserve">values. Such situation could lead to different field </w:t>
      </w:r>
      <w:r w:rsidRPr="00F857B2">
        <w:t>strength</w:t>
      </w:r>
      <w:r w:rsidRPr="00326947">
        <w:rPr>
          <w:rFonts w:eastAsia="SimSun"/>
          <w:szCs w:val="24"/>
          <w:lang w:eastAsia="zh-CN"/>
        </w:rPr>
        <w:t xml:space="preserve"> values calculated for path crossing multiple propagation zones and therefore different list of administrations potentially affected by proposed modifications to the Plans.</w:t>
      </w:r>
      <w:r w:rsidRPr="00326947">
        <w:rPr>
          <w:rFonts w:eastAsia="SimSun"/>
          <w:i/>
          <w:iCs/>
          <w:szCs w:val="24"/>
          <w:lang w:eastAsia="zh-CN"/>
        </w:rPr>
        <w:t xml:space="preserve"> </w:t>
      </w:r>
      <w:r w:rsidRPr="00326947">
        <w:rPr>
          <w:rFonts w:eastAsia="SimSun"/>
          <w:szCs w:val="24"/>
          <w:lang w:eastAsia="zh-CN"/>
        </w:rPr>
        <w:t xml:space="preserve">Therefore, the Board concluded that the basic interpolation factor </w:t>
      </w:r>
      <w:r w:rsidRPr="00326947">
        <w:rPr>
          <w:rFonts w:eastAsia="SimSun"/>
          <w:i/>
          <w:iCs/>
          <w:szCs w:val="24"/>
          <w:lang w:eastAsia="zh-CN"/>
        </w:rPr>
        <w:t>A</w:t>
      </w:r>
      <w:r w:rsidRPr="00326947">
        <w:rPr>
          <w:rFonts w:eastAsia="SimSun"/>
          <w:i/>
          <w:iCs/>
          <w:szCs w:val="24"/>
          <w:vertAlign w:val="subscript"/>
          <w:lang w:eastAsia="zh-CN"/>
        </w:rPr>
        <w:t xml:space="preserve">0 </w:t>
      </w:r>
      <w:r w:rsidRPr="00326947">
        <w:rPr>
          <w:rFonts w:eastAsia="SimSun"/>
          <w:i/>
          <w:iCs/>
          <w:szCs w:val="24"/>
          <w:lang w:eastAsia="zh-CN"/>
        </w:rPr>
        <w:t>(F</w:t>
      </w:r>
      <w:r w:rsidRPr="00326947">
        <w:rPr>
          <w:rFonts w:eastAsia="SimSun"/>
          <w:i/>
          <w:iCs/>
          <w:szCs w:val="24"/>
          <w:vertAlign w:val="subscript"/>
          <w:lang w:eastAsia="zh-CN"/>
        </w:rPr>
        <w:t>s</w:t>
      </w:r>
      <w:r w:rsidRPr="00326947">
        <w:rPr>
          <w:rFonts w:eastAsia="SimSun"/>
          <w:i/>
          <w:iCs/>
          <w:szCs w:val="24"/>
          <w:lang w:eastAsia="zh-CN"/>
        </w:rPr>
        <w:t xml:space="preserve">) </w:t>
      </w:r>
      <w:r w:rsidRPr="00326947">
        <w:rPr>
          <w:rFonts w:eastAsia="SimSun"/>
          <w:szCs w:val="24"/>
          <w:lang w:eastAsia="zh-CN"/>
        </w:rPr>
        <w:t>as shown in Fig. A.2.1-2 shall be calculated using the following formula:</w:t>
      </w:r>
    </w:p>
    <w:p w:rsidR="00F857B2" w:rsidRPr="00326947" w:rsidRDefault="00F857B2" w:rsidP="00F857B2">
      <w:pPr>
        <w:jc w:val="center"/>
      </w:pPr>
      <w:r w:rsidRPr="00326947">
        <w:rPr>
          <w:position w:val="-12"/>
        </w:rPr>
        <w:object w:dxaOrig="2220" w:dyaOrig="405">
          <v:shape id="_x0000_i1026" type="#_x0000_t75" style="width:111.2pt;height:20.95pt" o:ole="">
            <v:imagedata r:id="rId15" o:title=""/>
          </v:shape>
          <o:OLEObject Type="Embed" ProgID="Equation.3" ShapeID="_x0000_i1026" DrawAspect="Content" ObjectID="_1540804091" r:id="rId16"/>
        </w:object>
      </w:r>
    </w:p>
    <w:p w:rsidR="00F857B2" w:rsidRPr="00326947" w:rsidRDefault="00F857B2" w:rsidP="00F857B2">
      <w:pPr>
        <w:rPr>
          <w:rFonts w:eastAsia="SimSun"/>
          <w:szCs w:val="24"/>
          <w:lang w:eastAsia="zh-CN"/>
        </w:rPr>
      </w:pPr>
      <w:r w:rsidRPr="00326947">
        <w:rPr>
          <w:rFonts w:eastAsia="SimSun"/>
          <w:szCs w:val="24"/>
          <w:lang w:eastAsia="zh-CN"/>
        </w:rPr>
        <w:t xml:space="preserve">The application of this formula is consistent with the method adopted by RRC-06 Conference, recommended in </w:t>
      </w:r>
      <w:r w:rsidRPr="00F857B2">
        <w:t>Recommendation</w:t>
      </w:r>
      <w:r w:rsidRPr="00326947">
        <w:rPr>
          <w:rFonts w:eastAsia="SimSun"/>
          <w:szCs w:val="24"/>
          <w:lang w:eastAsia="zh-CN"/>
        </w:rPr>
        <w:t xml:space="preserve"> ITU-R P.1546 and currently used by the Bureau in implementing the GE06 Agreement.</w:t>
      </w:r>
    </w:p>
    <w:p w:rsidR="00B63DC3" w:rsidRPr="0069500F" w:rsidRDefault="00B63DC3" w:rsidP="00B63DC3">
      <w:pPr>
        <w:pStyle w:val="Heading9"/>
        <w:ind w:right="7258"/>
        <w:jc w:val="left"/>
      </w:pPr>
      <w:r w:rsidRPr="0069500F">
        <w:t>Appendix 3.1</w:t>
      </w:r>
      <w:r w:rsidRPr="0069500F">
        <w:br/>
        <w:t>Table A3.1-3</w:t>
      </w:r>
    </w:p>
    <w:p w:rsidR="00B63DC3" w:rsidRPr="0069500F" w:rsidRDefault="00B63DC3" w:rsidP="00B63DC3">
      <w:r w:rsidRPr="0069500F">
        <w:t>This Table also applies to the geographical areas XGZ and XWB.</w:t>
      </w:r>
    </w:p>
    <w:p w:rsidR="00B63DC3" w:rsidRPr="0069500F" w:rsidRDefault="00B63DC3" w:rsidP="00B63DC3">
      <w:pPr>
        <w:pStyle w:val="Heading9"/>
        <w:ind w:right="7258"/>
        <w:jc w:val="left"/>
      </w:pPr>
      <w:r w:rsidRPr="0069500F">
        <w:t>Appendix 3.1</w:t>
      </w:r>
      <w:r w:rsidRPr="0069500F">
        <w:br/>
        <w:t>Table A3.1-8</w:t>
      </w:r>
    </w:p>
    <w:p w:rsidR="00B63DC3" w:rsidRPr="0069500F" w:rsidRDefault="00B63DC3" w:rsidP="00B63DC3">
      <w:r w:rsidRPr="0069500F">
        <w:t>This Table also applies to the geographical area AOE, except channels 4 and 5.</w:t>
      </w:r>
    </w:p>
    <w:p w:rsidR="00B63DC3" w:rsidRPr="0069500F" w:rsidRDefault="00B63DC3" w:rsidP="00B63DC3">
      <w:pPr>
        <w:pStyle w:val="Heading9"/>
        <w:ind w:right="7258"/>
        <w:jc w:val="left"/>
      </w:pPr>
      <w:r w:rsidRPr="0069500F">
        <w:t>Appendix 3.3</w:t>
      </w:r>
    </w:p>
    <w:p w:rsidR="00B63DC3" w:rsidRPr="0069500F" w:rsidRDefault="00B63DC3" w:rsidP="00B63DC3">
      <w:r w:rsidRPr="0069500F">
        <w:t>Section A.3.3.4 of this Appendix provides information on the protection ratios for analogue television. However, this section does not provide any information on the protection ratios for the case when the analogue television is interfered with by assignments in other primary terrestrial services. Calculations requested in application of § 4.2.4.11 and 4.2.4.12 of the Agreement shall be made by using Recommendation ITU-R SM.851-1, for the cases covered by this Recommendation. For the other cases not covered by that Recommendation, the pertinent ITU-R Recommendations may be used.</w:t>
      </w:r>
    </w:p>
    <w:p w:rsidR="00B63DC3" w:rsidRPr="0069500F" w:rsidRDefault="00B63DC3" w:rsidP="00B63DC3">
      <w:pPr>
        <w:pStyle w:val="Heading8"/>
        <w:jc w:val="left"/>
      </w:pPr>
      <w:r w:rsidRPr="0069500F">
        <w:lastRenderedPageBreak/>
        <w:t>Annex 3</w:t>
      </w:r>
      <w:r w:rsidRPr="0069500F">
        <w:br/>
        <w:t>Table 3</w:t>
      </w:r>
    </w:p>
    <w:p w:rsidR="00B63DC3" w:rsidRPr="0069500F" w:rsidRDefault="00B63DC3" w:rsidP="00B63DC3">
      <w:pPr>
        <w:pStyle w:val="Heading2"/>
        <w:ind w:left="0" w:firstLine="0"/>
        <w:jc w:val="center"/>
      </w:pPr>
      <w:r w:rsidRPr="0069500F">
        <w:t>Data for assignments to stations of other primary terrestrial services</w:t>
      </w:r>
    </w:p>
    <w:p w:rsidR="00B63DC3" w:rsidRPr="0069500F" w:rsidRDefault="00B63DC3" w:rsidP="00B63DC3">
      <w:r w:rsidRPr="0069500F">
        <w:t>N</w:t>
      </w:r>
      <w:r>
        <w:t>o.</w:t>
      </w:r>
      <w:r w:rsidRPr="0069500F">
        <w:t xml:space="preserve"> 7.1 of this Table specifies that, for the application of Article 4 of the Agreement, the regular hours (UTC) of operation of the frequency assignment (cross-referenced as item 10B in Appendix </w:t>
      </w:r>
      <w:r w:rsidRPr="0069500F">
        <w:rPr>
          <w:rStyle w:val="Appref"/>
          <w:b/>
          <w:color w:val="auto"/>
        </w:rPr>
        <w:t>4</w:t>
      </w:r>
      <w:r w:rsidRPr="0069500F">
        <w:t xml:space="preserve"> of the RR) are mandatory if used as a basis to effect coordination with another administration (character “C”). On the other hand, this data item is indicated as mandatory for the application of Article 5 of the Agreement (character “X”). Therefore, for the examinations under § 5.2.2 of the Agreement, where the regular hours of operation are mandatory, the Bureau needs to ascertain that the notified hours of operation are compliant with those resulting from the successful application of the procedure contained in § 4.2 of the Agreement. In view of the above, the Board concluded that the item “regular hours (UTC) of operation of the frequency assignment” would need to be considered as mandatory for all submissions under Article 4 of the Agreement for assignments to stations of other primary terrestrial services.</w:t>
      </w:r>
    </w:p>
    <w:p w:rsidR="00F857B2" w:rsidRDefault="00F857B2" w:rsidP="00F857B2"/>
    <w:p w:rsidR="00F857B2" w:rsidRDefault="00F857B2" w:rsidP="00F857B2"/>
    <w:p w:rsidR="00F857B2" w:rsidRDefault="00F857B2" w:rsidP="00F857B2"/>
    <w:p w:rsidR="00F857B2" w:rsidRDefault="00F857B2" w:rsidP="00F857B2"/>
    <w:p w:rsidR="00F857B2" w:rsidRDefault="00F857B2" w:rsidP="00F857B2"/>
    <w:p w:rsidR="00F857B2" w:rsidRDefault="00F857B2" w:rsidP="00F857B2"/>
    <w:p w:rsidR="00F857B2" w:rsidRDefault="00F857B2" w:rsidP="00F857B2"/>
    <w:p w:rsidR="00F857B2" w:rsidRDefault="00F857B2" w:rsidP="00F857B2"/>
    <w:p w:rsidR="00F857B2" w:rsidRDefault="00F857B2" w:rsidP="00F857B2"/>
    <w:p w:rsidR="00F857B2" w:rsidRDefault="00F857B2" w:rsidP="00F857B2"/>
    <w:p w:rsidR="00F857B2" w:rsidRPr="00F857B2" w:rsidRDefault="00F857B2" w:rsidP="00F857B2">
      <w:pPr>
        <w:sectPr w:rsidR="00F857B2" w:rsidRPr="00F857B2" w:rsidSect="00F857B2">
          <w:headerReference w:type="even" r:id="rId17"/>
          <w:headerReference w:type="default" r:id="rId18"/>
          <w:footnotePr>
            <w:pos w:val="beneathText"/>
          </w:footnotePr>
          <w:pgSz w:w="11907" w:h="16840" w:code="9"/>
          <w:pgMar w:top="1701" w:right="851" w:bottom="1134" w:left="1985" w:header="720" w:footer="482" w:gutter="0"/>
          <w:cols w:space="720"/>
          <w:vAlign w:val="both"/>
        </w:sectPr>
      </w:pPr>
    </w:p>
    <w:p w:rsidR="00B63DC3" w:rsidRPr="0069500F" w:rsidRDefault="00B63DC3" w:rsidP="00F857B2">
      <w:pPr>
        <w:pStyle w:val="Heading8"/>
        <w:spacing w:before="0"/>
      </w:pPr>
      <w:r w:rsidRPr="0069500F">
        <w:lastRenderedPageBreak/>
        <w:t>Annex 4</w:t>
      </w:r>
    </w:p>
    <w:p w:rsidR="00B63DC3" w:rsidRPr="0069500F" w:rsidRDefault="00B63DC3" w:rsidP="00B63DC3">
      <w:pPr>
        <w:pStyle w:val="Heading2"/>
        <w:ind w:left="0" w:firstLine="0"/>
        <w:jc w:val="center"/>
      </w:pPr>
      <w:r w:rsidRPr="0069500F">
        <w:t>Section I: Limits and methodology for determining when agreement</w:t>
      </w:r>
      <w:r w:rsidRPr="0069500F">
        <w:br/>
        <w:t>with another administration is required</w:t>
      </w:r>
    </w:p>
    <w:p w:rsidR="00B63DC3" w:rsidRPr="0069500F" w:rsidRDefault="00B63DC3" w:rsidP="00B63DC3">
      <w:pPr>
        <w:pStyle w:val="Heading9"/>
      </w:pPr>
      <w:r w:rsidRPr="0069500F">
        <w:t>2.1</w:t>
      </w:r>
    </w:p>
    <w:p w:rsidR="00B63DC3" w:rsidRPr="0069500F" w:rsidRDefault="00B63DC3" w:rsidP="00B63DC3">
      <w:r w:rsidRPr="0069500F">
        <w:t>Step 3 of this Section specifies that any assignment in the other primary service is selected for consideration, if it belongs to an administration within the 1</w:t>
      </w:r>
      <w:r w:rsidRPr="0069500F">
        <w:rPr>
          <w:rFonts w:ascii="Tms Rmn" w:hAnsi="Tms Rmn"/>
          <w:sz w:val="12"/>
        </w:rPr>
        <w:t> </w:t>
      </w:r>
      <w:r w:rsidRPr="0069500F">
        <w:t>000 km contour, provided that the assignment is contained in the List or the coordination procedure under Article 4 of the GE06 Agreement for its inclusion into the List has already been initiated. The Board concluded that Bureau shall take into account only those eligible frequency assignments in other primary services that have frequency overlap with relevant broadcasting assignment/allotment (i.e., the proposed modification to the Plan).</w:t>
      </w:r>
    </w:p>
    <w:p w:rsidR="00B63DC3" w:rsidRPr="0069500F" w:rsidRDefault="00B63DC3" w:rsidP="00B63DC3">
      <w:pPr>
        <w:pStyle w:val="Heading9"/>
      </w:pPr>
      <w:r w:rsidRPr="0069500F">
        <w:t>2.2</w:t>
      </w:r>
    </w:p>
    <w:p w:rsidR="00B63DC3" w:rsidRPr="0069500F" w:rsidRDefault="00B63DC3" w:rsidP="00B63DC3">
      <w:r w:rsidRPr="0069500F">
        <w:t>This Section specifies the general methodology for constructing the coordination contours for the application of the coordination procedure referred to in § 4.2 of the Agreement. Given the fact that the frequency assignments in the other primary service (OPS) include transmitting and receiving stations, the methodology takes account of the impact of the transmitting station in the OPS to the broadcasting service, as well as the likely impact of the broadcasting service to the receiving stations in the OPS. Therefore, this Section specifies the need for constructing separate coordination contours for the same assignment: for the transmitting stations and for the receiving stations. This Section further specifies that, for identification of affected administrations, the larger of the two contours is to be taken into account.</w:t>
      </w:r>
    </w:p>
    <w:p w:rsidR="00B63DC3" w:rsidRPr="0069500F" w:rsidRDefault="00B63DC3" w:rsidP="00B63DC3">
      <w:r w:rsidRPr="0069500F">
        <w:t>Given the variety of situations which could be covered by assignments in OPS, there may be situations where the constructed coordination contours for the transmitting stations and for receiving stations of the same assignment are not overlapped or partially overlapped. Therefore, the Board decided that for the cases where the coordination contours for the transmitting stations and for receiving stations of the same assignment are not overlapped or partially overlapped, the combined result of the two coordination contours is to be taken into account for the identification of affected administrations.</w:t>
      </w:r>
    </w:p>
    <w:p w:rsidR="00B63DC3" w:rsidRPr="0069500F" w:rsidRDefault="00B63DC3" w:rsidP="00B63DC3">
      <w:pPr>
        <w:pStyle w:val="Heading9"/>
      </w:pPr>
      <w:r w:rsidRPr="0069500F">
        <w:t>5.1.2</w:t>
      </w:r>
    </w:p>
    <w:p w:rsidR="00E1111E" w:rsidRDefault="00B63DC3" w:rsidP="000D4791">
      <w:r w:rsidRPr="0069500F">
        <w:t xml:space="preserve">This Section indicates Tables A.1.2 to A.1.8 of Appendix 1 to this Section as tables that contain the coordination trigger field-strength values for protection of other primary terrestrial services, applying the procedure of Article 4 of the GE06 Agreement (construction of coordination contours). However, § A.2 to A.4 of Appendix 1 to Section I, which include Tables A.1.2 to A.1.8, do not provide information on the trigger values to be used for protection of other primary terrestrial services from analogue television assignments. Such values are necessary for the application of the procedure of Article 4 of the GE06 Agreement (see § 4.1.2.8 </w:t>
      </w:r>
      <w:r w:rsidRPr="0069500F">
        <w:rPr>
          <w:i/>
          <w:iCs/>
        </w:rPr>
        <w:t>a)</w:t>
      </w:r>
      <w:r w:rsidRPr="0069500F">
        <w:t xml:space="preserve"> and 4.1.2.3). Calculations requested in application of § 4.1.2.8 </w:t>
      </w:r>
      <w:r w:rsidRPr="0069500F">
        <w:rPr>
          <w:i/>
          <w:iCs/>
        </w:rPr>
        <w:t>a)</w:t>
      </w:r>
      <w:r w:rsidRPr="0069500F">
        <w:t xml:space="preserve"> of the Agreement shall be made using the pertinent ITU-R Recommendations and the indications therein. Recommendations ITU-R F.758-4, ITU-R F.759, and ITU-R SM.851-1 are to be used in this regard. As Recommendation ITU-R F.758-4 does not contain information relating to </w:t>
      </w:r>
      <w:r w:rsidR="00C77365">
        <w:br/>
      </w:r>
      <w:r w:rsidR="00E1111E">
        <w:br w:type="page"/>
      </w:r>
    </w:p>
    <w:p w:rsidR="00B63DC3" w:rsidRPr="0069500F" w:rsidRDefault="00B63DC3" w:rsidP="000D4791">
      <w:r w:rsidRPr="0069500F">
        <w:lastRenderedPageBreak/>
        <w:t>analogue systems in the fixed service, and given the indications therein, the Board concluded that version ITU-R F.758-2 shall be used in the case of analogue systems in the fixed service. For cases not covered by any ITU-R Recommendation, the Board concluded that the calculations shall be made using the trigger values fo</w:t>
      </w:r>
      <w:r w:rsidR="006B0BD6">
        <w:t>r DVB-T in combination with the</w:t>
      </w:r>
      <w:r w:rsidRPr="0069500F">
        <w:t> approach of relative protection ratios for analogue television as described in Recommen</w:t>
      </w:r>
      <w:r w:rsidRPr="0069500F">
        <w:softHyphen/>
        <w:t>dation ITU-R SM.851-1.</w:t>
      </w:r>
    </w:p>
    <w:p w:rsidR="00B63DC3" w:rsidRPr="0069500F" w:rsidRDefault="00B63DC3" w:rsidP="00B63DC3">
      <w:r w:rsidRPr="0069500F">
        <w:t>Therefore, trigger values to be used for protection of other primary terrestrial services from analogue television assignments for cases not covered by any ITU-R Recommendation shall be calculated using the following formula:</w:t>
      </w:r>
    </w:p>
    <w:p w:rsidR="00B63DC3" w:rsidRPr="0069500F" w:rsidRDefault="00B63DC3" w:rsidP="00B63DC3">
      <w:pPr>
        <w:pStyle w:val="Equation"/>
        <w:jc w:val="center"/>
        <w:rPr>
          <w:rFonts w:eastAsia="SimSun"/>
          <w:lang w:eastAsia="zh-CN"/>
        </w:rPr>
      </w:pPr>
      <w:r w:rsidRPr="0069500F">
        <w:rPr>
          <w:rFonts w:eastAsia="SimSun"/>
          <w:i/>
          <w:szCs w:val="24"/>
          <w:lang w:eastAsia="zh-CN"/>
        </w:rPr>
        <w:t>F</w:t>
      </w:r>
      <w:r w:rsidRPr="0069500F">
        <w:rPr>
          <w:rFonts w:eastAsia="SimSun"/>
          <w:i/>
          <w:szCs w:val="24"/>
          <w:vertAlign w:val="subscript"/>
          <w:lang w:eastAsia="zh-CN"/>
        </w:rPr>
        <w:t>trigger</w:t>
      </w:r>
      <w:r w:rsidRPr="0069500F">
        <w:rPr>
          <w:rFonts w:eastAsia="SimSun"/>
          <w:i/>
          <w:szCs w:val="24"/>
          <w:lang w:eastAsia="zh-CN"/>
        </w:rPr>
        <w:t xml:space="preserve"> ATV</w:t>
      </w:r>
      <w:r w:rsidRPr="0069500F">
        <w:rPr>
          <w:rFonts w:eastAsia="SimSun"/>
          <w:lang w:eastAsia="zh-CN"/>
        </w:rPr>
        <w:t xml:space="preserve">  =  </w:t>
      </w:r>
      <w:r w:rsidRPr="0069500F">
        <w:rPr>
          <w:rFonts w:eastAsia="SimSun"/>
          <w:i/>
          <w:lang w:eastAsia="zh-CN"/>
        </w:rPr>
        <w:t>F</w:t>
      </w:r>
      <w:r w:rsidRPr="0069500F">
        <w:rPr>
          <w:rFonts w:eastAsia="SimSun"/>
          <w:i/>
          <w:szCs w:val="24"/>
          <w:vertAlign w:val="subscript"/>
          <w:lang w:eastAsia="zh-CN"/>
        </w:rPr>
        <w:t>trigger</w:t>
      </w:r>
      <w:r w:rsidRPr="0069500F">
        <w:rPr>
          <w:rFonts w:eastAsia="SimSun"/>
          <w:i/>
          <w:szCs w:val="24"/>
          <w:lang w:eastAsia="zh-CN"/>
        </w:rPr>
        <w:t xml:space="preserve"> </w:t>
      </w:r>
      <w:r w:rsidRPr="0069500F">
        <w:rPr>
          <w:rFonts w:eastAsia="SimSun"/>
          <w:i/>
          <w:szCs w:val="24"/>
          <w:vertAlign w:val="subscript"/>
          <w:lang w:eastAsia="zh-CN"/>
        </w:rPr>
        <w:t>DVB-T</w:t>
      </w:r>
      <w:r w:rsidRPr="0069500F">
        <w:rPr>
          <w:rFonts w:eastAsia="SimSun"/>
          <w:szCs w:val="24"/>
          <w:lang w:eastAsia="zh-CN"/>
        </w:rPr>
        <w:t xml:space="preserve">  </w:t>
      </w:r>
      <w:r w:rsidRPr="0069500F">
        <w:rPr>
          <w:rFonts w:eastAsia="SimSun"/>
          <w:lang w:eastAsia="zh-CN"/>
        </w:rPr>
        <w:t xml:space="preserve">–  </w:t>
      </w:r>
      <w:r w:rsidRPr="0069500F">
        <w:rPr>
          <w:rFonts w:eastAsia="SimSun"/>
          <w:i/>
          <w:lang w:eastAsia="zh-CN"/>
        </w:rPr>
        <w:t>RPR</w:t>
      </w:r>
    </w:p>
    <w:p w:rsidR="00B63DC3" w:rsidRPr="0069500F" w:rsidRDefault="00B63DC3" w:rsidP="00B63DC3">
      <w:pPr>
        <w:rPr>
          <w:rFonts w:eastAsia="SimSun"/>
          <w:lang w:eastAsia="zh-CN"/>
        </w:rPr>
      </w:pPr>
      <w:r w:rsidRPr="0069500F">
        <w:rPr>
          <w:rFonts w:eastAsia="SimSun"/>
          <w:lang w:eastAsia="zh-CN"/>
        </w:rPr>
        <w:t>where:</w:t>
      </w:r>
    </w:p>
    <w:p w:rsidR="00B63DC3" w:rsidRPr="0069500F" w:rsidRDefault="00B63DC3" w:rsidP="00B63DC3">
      <w:pPr>
        <w:pStyle w:val="EquationLegend"/>
        <w:tabs>
          <w:tab w:val="clear" w:pos="1871"/>
          <w:tab w:val="clear" w:pos="2268"/>
          <w:tab w:val="left" w:pos="2552"/>
        </w:tabs>
        <w:rPr>
          <w:rFonts w:eastAsia="SimSun"/>
          <w:lang w:eastAsia="zh-CN"/>
        </w:rPr>
      </w:pPr>
      <w:r w:rsidRPr="0069500F">
        <w:rPr>
          <w:rFonts w:eastAsia="SimSun"/>
          <w:i/>
          <w:lang w:eastAsia="zh-CN"/>
        </w:rPr>
        <w:t>F</w:t>
      </w:r>
      <w:r w:rsidRPr="0069500F">
        <w:rPr>
          <w:rFonts w:eastAsia="SimSun"/>
          <w:i/>
          <w:szCs w:val="24"/>
          <w:vertAlign w:val="subscript"/>
          <w:lang w:eastAsia="zh-CN"/>
        </w:rPr>
        <w:t>trigger ATV</w:t>
      </w:r>
      <w:r w:rsidRPr="0069500F">
        <w:rPr>
          <w:rFonts w:eastAsia="SimSun"/>
          <w:i/>
          <w:sz w:val="12"/>
          <w:szCs w:val="12"/>
          <w:vertAlign w:val="subscript"/>
          <w:lang w:eastAsia="zh-CN"/>
        </w:rPr>
        <w:t xml:space="preserve"> </w:t>
      </w:r>
      <w:r w:rsidRPr="0069500F">
        <w:rPr>
          <w:rFonts w:eastAsia="SimSun"/>
          <w:lang w:eastAsia="zh-CN"/>
        </w:rPr>
        <w:t>:</w:t>
      </w:r>
      <w:r w:rsidRPr="0069500F">
        <w:rPr>
          <w:rFonts w:eastAsia="SimSun"/>
          <w:lang w:eastAsia="zh-CN"/>
        </w:rPr>
        <w:tab/>
        <w:t>trigger value for analogue television</w:t>
      </w:r>
    </w:p>
    <w:p w:rsidR="00B63DC3" w:rsidRPr="0069500F" w:rsidRDefault="00B63DC3" w:rsidP="00B63DC3">
      <w:pPr>
        <w:pStyle w:val="EquationLegend"/>
        <w:tabs>
          <w:tab w:val="clear" w:pos="1871"/>
          <w:tab w:val="clear" w:pos="2268"/>
          <w:tab w:val="left" w:pos="2552"/>
        </w:tabs>
        <w:rPr>
          <w:rFonts w:eastAsia="SimSun"/>
          <w:lang w:eastAsia="zh-CN"/>
        </w:rPr>
      </w:pPr>
      <w:r w:rsidRPr="0069500F">
        <w:rPr>
          <w:rFonts w:eastAsia="SimSun"/>
          <w:i/>
          <w:lang w:eastAsia="zh-CN"/>
        </w:rPr>
        <w:t>F</w:t>
      </w:r>
      <w:r w:rsidRPr="0069500F">
        <w:rPr>
          <w:rFonts w:eastAsia="SimSun"/>
          <w:i/>
          <w:szCs w:val="24"/>
          <w:vertAlign w:val="subscript"/>
          <w:lang w:eastAsia="zh-CN"/>
        </w:rPr>
        <w:t>trigger DVB-T</w:t>
      </w:r>
      <w:r w:rsidRPr="0069500F">
        <w:rPr>
          <w:rFonts w:eastAsia="SimSun"/>
          <w:i/>
          <w:sz w:val="12"/>
          <w:szCs w:val="12"/>
          <w:vertAlign w:val="subscript"/>
          <w:lang w:eastAsia="zh-CN"/>
        </w:rPr>
        <w:t xml:space="preserve"> </w:t>
      </w:r>
      <w:r w:rsidRPr="0069500F">
        <w:rPr>
          <w:rFonts w:eastAsia="SimSun"/>
          <w:lang w:eastAsia="zh-CN"/>
        </w:rPr>
        <w:t>:</w:t>
      </w:r>
      <w:r w:rsidRPr="0069500F">
        <w:rPr>
          <w:rFonts w:eastAsia="SimSun"/>
          <w:lang w:eastAsia="zh-CN"/>
        </w:rPr>
        <w:tab/>
        <w:t>trigger value for digital television</w:t>
      </w:r>
    </w:p>
    <w:p w:rsidR="00B63DC3" w:rsidRPr="0069500F" w:rsidRDefault="00B63DC3" w:rsidP="00B63DC3">
      <w:pPr>
        <w:pStyle w:val="EquationLegend"/>
        <w:tabs>
          <w:tab w:val="clear" w:pos="1871"/>
          <w:tab w:val="clear" w:pos="2268"/>
          <w:tab w:val="left" w:pos="2552"/>
        </w:tabs>
        <w:ind w:left="2552" w:hanging="1418"/>
      </w:pPr>
      <w:r w:rsidRPr="0069500F">
        <w:rPr>
          <w:rFonts w:eastAsia="SimSun"/>
          <w:i/>
          <w:lang w:eastAsia="zh-CN"/>
        </w:rPr>
        <w:t>RPR</w:t>
      </w:r>
      <w:r w:rsidRPr="0069500F">
        <w:rPr>
          <w:rFonts w:eastAsia="SimSun"/>
          <w:sz w:val="12"/>
          <w:szCs w:val="12"/>
          <w:lang w:eastAsia="zh-CN"/>
        </w:rPr>
        <w:t xml:space="preserve"> </w:t>
      </w:r>
      <w:r w:rsidRPr="0069500F">
        <w:rPr>
          <w:rFonts w:eastAsia="SimSun"/>
          <w:lang w:eastAsia="zh-CN"/>
        </w:rPr>
        <w:t>:</w:t>
      </w:r>
      <w:r w:rsidRPr="0069500F">
        <w:rPr>
          <w:rFonts w:eastAsia="SimSun"/>
          <w:lang w:eastAsia="zh-CN"/>
        </w:rPr>
        <w:tab/>
        <w:t xml:space="preserve">relative protection ratio in accordance with </w:t>
      </w:r>
      <w:r w:rsidRPr="0069500F">
        <w:t>Recommendation ITU</w:t>
      </w:r>
      <w:r w:rsidRPr="0069500F">
        <w:noBreakHyphen/>
        <w:t>R SM.851-1.</w:t>
      </w:r>
    </w:p>
    <w:p w:rsidR="00B63DC3" w:rsidRPr="0069500F" w:rsidRDefault="00B63DC3" w:rsidP="00B63DC3">
      <w:pPr>
        <w:pStyle w:val="Heading9"/>
      </w:pPr>
      <w:r w:rsidRPr="0069500F">
        <w:t>5.2.2</w:t>
      </w:r>
    </w:p>
    <w:p w:rsidR="00B63DC3" w:rsidRPr="0069500F" w:rsidRDefault="00B63DC3" w:rsidP="00B63DC3">
      <w:r w:rsidRPr="0069500F">
        <w:t>1)</w:t>
      </w:r>
      <w:r w:rsidRPr="0069500F">
        <w:tab/>
        <w:t>For carrying out the calculations referred to in this provision, the Bureau will assume that the reference broadcasting station referred to in this provision (with a maximum radiated power of 53 dBW, maximum effective antenna height of 600 m, mixed polarization) operates in DVB-T system with 8 MHz bandwidth in the UHF band and with 7 MHz bandwidth in the VHF band.</w:t>
      </w:r>
    </w:p>
    <w:p w:rsidR="00B63DC3" w:rsidRPr="0069500F" w:rsidRDefault="00B63DC3" w:rsidP="00B63DC3">
      <w:pPr>
        <w:rPr>
          <w:sz w:val="16"/>
          <w:szCs w:val="16"/>
        </w:rPr>
      </w:pPr>
      <w:r w:rsidRPr="0069500F">
        <w:t>2)</w:t>
      </w:r>
      <w:r w:rsidRPr="0069500F">
        <w:tab/>
        <w:t>The maximum coordination distance for aircraft receivers is to be set to 420 km (calculated as a geometrical contour around the service area of the receiving aeronautical station), irrespective of the indications in this provision, given the indications in other relevant provisions (e.g., Nos. 5.1.2 and 5.2.1 in Section I of Annex 4).</w:t>
      </w:r>
    </w:p>
    <w:p w:rsidR="00B63DC3" w:rsidRPr="0069500F" w:rsidRDefault="00B63DC3" w:rsidP="00B63DC3">
      <w:pPr>
        <w:tabs>
          <w:tab w:val="left" w:pos="851"/>
        </w:tabs>
      </w:pPr>
      <w:r w:rsidRPr="0069500F">
        <w:t>3)</w:t>
      </w:r>
      <w:r w:rsidRPr="0069500F">
        <w:tab/>
        <w:t>Given the formulation of § 4.5, which describes the basic assumptions for the construction of the coordination contours for mobile (except aeronautical mobile) stations, the RRB instructed the Bureau to implement the following methodology for the construction of the coordination contour for a receiving station in the mobile (except aeronautical mobile) service intended to operate in a specified service area:</w:t>
      </w:r>
    </w:p>
    <w:p w:rsidR="00B63DC3" w:rsidRPr="0069500F" w:rsidRDefault="00B63DC3" w:rsidP="00B63DC3">
      <w:pPr>
        <w:tabs>
          <w:tab w:val="left" w:pos="851"/>
        </w:tabs>
      </w:pPr>
      <w:r w:rsidRPr="0069500F">
        <w:t>a)</w:t>
      </w:r>
      <w:r w:rsidRPr="0069500F">
        <w:tab/>
        <w:t>Determine the centre of gravity of the specified service area.</w:t>
      </w:r>
    </w:p>
    <w:p w:rsidR="00B63DC3" w:rsidRPr="0069500F" w:rsidRDefault="00B63DC3" w:rsidP="00B63DC3">
      <w:pPr>
        <w:tabs>
          <w:tab w:val="left" w:pos="851"/>
        </w:tabs>
      </w:pPr>
      <w:r w:rsidRPr="0069500F">
        <w:br w:type="page"/>
      </w:r>
      <w:r w:rsidRPr="0069500F">
        <w:lastRenderedPageBreak/>
        <w:t>b)</w:t>
      </w:r>
      <w:r w:rsidRPr="0069500F">
        <w:tab/>
        <w:t>Determine the 360 points on the boundary of the specified service area (“boundary points”) at which the field strength from the reference broadcasting station is evaluated. These boundary points are determined as intersection points of the boundary of the service area and 360 radials centred around the centre of gravity of the specified service area</w:t>
      </w:r>
      <w:r w:rsidRPr="0069500F">
        <w:rPr>
          <w:rStyle w:val="FootnoteReference"/>
          <w:sz w:val="20"/>
        </w:rPr>
        <w:footnoteReference w:customMarkFollows="1" w:id="2"/>
        <w:t>1</w:t>
      </w:r>
      <w:r w:rsidRPr="0069500F">
        <w:t>. In case of multiple intersections of a given radial with the service area, the “boundary point” would be the intersection point which is furthest situated from the centre of gravity.</w:t>
      </w:r>
    </w:p>
    <w:p w:rsidR="00B63DC3" w:rsidRPr="0069500F" w:rsidRDefault="00B63DC3" w:rsidP="00B63DC3">
      <w:pPr>
        <w:tabs>
          <w:tab w:val="left" w:pos="851"/>
        </w:tabs>
      </w:pPr>
      <w:r w:rsidRPr="0069500F">
        <w:t>c)</w:t>
      </w:r>
      <w:r w:rsidRPr="0069500F">
        <w:tab/>
        <w:t>Determine the 360 points on the 1</w:t>
      </w:r>
      <w:r w:rsidRPr="0069500F">
        <w:rPr>
          <w:rFonts w:ascii="Tms Rmn" w:hAnsi="Tms Rmn"/>
          <w:sz w:val="12"/>
        </w:rPr>
        <w:t> </w:t>
      </w:r>
      <w:r w:rsidRPr="0069500F">
        <w:t>000 km geometrical contour (“initial reference transmitter points”) at which the reference broadcasting station is first located. These initial reference transmitter points are determined as intersection points of the 1</w:t>
      </w:r>
      <w:r w:rsidRPr="0069500F">
        <w:rPr>
          <w:rFonts w:ascii="Tms Rmn" w:hAnsi="Tms Rmn"/>
          <w:sz w:val="12"/>
        </w:rPr>
        <w:t> </w:t>
      </w:r>
      <w:r w:rsidRPr="0069500F">
        <w:t>000 km geometrical contour around the specified service area and 360 radials centred around the centre of gravity of the specified service area.</w:t>
      </w:r>
    </w:p>
    <w:p w:rsidR="00B63DC3" w:rsidRPr="0069500F" w:rsidRDefault="00B63DC3" w:rsidP="00B63DC3">
      <w:pPr>
        <w:keepNext/>
        <w:tabs>
          <w:tab w:val="left" w:pos="851"/>
        </w:tabs>
      </w:pPr>
      <w:r w:rsidRPr="0069500F">
        <w:t>d)</w:t>
      </w:r>
      <w:r w:rsidRPr="0069500F">
        <w:tab/>
        <w:t>Determine the coordination distance for each radial as follows:</w:t>
      </w:r>
    </w:p>
    <w:p w:rsidR="00B63DC3" w:rsidRPr="0069500F" w:rsidRDefault="00B63DC3" w:rsidP="00B63DC3">
      <w:pPr>
        <w:tabs>
          <w:tab w:val="left" w:pos="1418"/>
        </w:tabs>
        <w:ind w:left="1418" w:hanging="567"/>
      </w:pPr>
      <w:r w:rsidRPr="0069500F">
        <w:t>1)</w:t>
      </w:r>
      <w:r w:rsidRPr="0069500F">
        <w:tab/>
      </w:r>
      <w:r w:rsidRPr="0069500F">
        <w:tab/>
        <w:t>place the reference broadcasting transmitter at the initial reference transmitter point for this radial and calculate the field strength from this location at all boundary points;</w:t>
      </w:r>
    </w:p>
    <w:p w:rsidR="00B63DC3" w:rsidRPr="0069500F" w:rsidRDefault="00B63DC3" w:rsidP="00B63DC3">
      <w:pPr>
        <w:tabs>
          <w:tab w:val="left" w:pos="1418"/>
        </w:tabs>
        <w:ind w:left="1418" w:hanging="567"/>
      </w:pPr>
      <w:r w:rsidRPr="0069500F">
        <w:t>2)</w:t>
      </w:r>
      <w:r w:rsidRPr="0069500F">
        <w:tab/>
      </w:r>
      <w:r w:rsidRPr="0069500F">
        <w:tab/>
        <w:t>if the field strength from the reference broadcasting station exceeds or is equal to the trigger field strength at any of the “boundary points”, then the initial reference transmitter point determines the coordination distance for this radial;</w:t>
      </w:r>
    </w:p>
    <w:p w:rsidR="00B63DC3" w:rsidRPr="0069500F" w:rsidRDefault="00B63DC3" w:rsidP="00B63DC3">
      <w:pPr>
        <w:tabs>
          <w:tab w:val="left" w:pos="1418"/>
        </w:tabs>
        <w:ind w:left="1418" w:hanging="567"/>
      </w:pPr>
      <w:r w:rsidRPr="0069500F">
        <w:t xml:space="preserve">3) </w:t>
      </w:r>
      <w:r w:rsidRPr="0069500F">
        <w:tab/>
      </w:r>
      <w:r w:rsidRPr="0069500F">
        <w:tab/>
        <w:t>if the field strength from the reference broadcasting station is less than the trigger field strength at all “boundary points”, then the reference broadcasting station is moved along the radial in 10 km steps towards the centre of gravity of the service area until the field strength, produced from this new location, exceeds or is equal to the trigger field strength at any of the “boundary points”. The location of the reference broadcasting station, from which the reference broadcasting station produces a field strength which exceeds or is equal to the trigger field strength at any of the “boundary points”, determines the coordi</w:t>
      </w:r>
      <w:r w:rsidRPr="0069500F">
        <w:softHyphen/>
        <w:t>nation distance for this radial.</w:t>
      </w:r>
    </w:p>
    <w:p w:rsidR="00B63DC3" w:rsidRPr="0069500F" w:rsidRDefault="00B63DC3" w:rsidP="00B63DC3">
      <w:r w:rsidRPr="0069500F">
        <w:t>4)</w:t>
      </w:r>
      <w:r w:rsidRPr="0069500F">
        <w:tab/>
        <w:t>In the case of a receiving airborne station in the aeronautical mobile service or in</w:t>
      </w:r>
      <w:r>
        <w:t> </w:t>
      </w:r>
      <w:r w:rsidRPr="0069500F">
        <w:t>aeronautical radionavigation service, the Bureau will use the same methodology as the one</w:t>
      </w:r>
      <w:r w:rsidR="006B0BD6">
        <w:t> </w:t>
      </w:r>
      <w:r w:rsidRPr="0069500F">
        <w:t>described in § 3 above, by replacing the 1</w:t>
      </w:r>
      <w:r w:rsidRPr="0069500F">
        <w:rPr>
          <w:rFonts w:ascii="Tms Rmn" w:hAnsi="Tms Rmn"/>
          <w:sz w:val="12"/>
        </w:rPr>
        <w:t> </w:t>
      </w:r>
      <w:r w:rsidRPr="0069500F">
        <w:t>000</w:t>
      </w:r>
      <w:r>
        <w:t xml:space="preserve"> </w:t>
      </w:r>
      <w:r w:rsidRPr="0069500F">
        <w:t>km geometrical contour with 420 km geometrical contour, in accordance with § 2 above.</w:t>
      </w:r>
    </w:p>
    <w:p w:rsidR="00B63DC3" w:rsidRPr="0069500F" w:rsidRDefault="00B63DC3" w:rsidP="00B63DC3"/>
    <w:p w:rsidR="00B63DC3" w:rsidRPr="0069500F" w:rsidRDefault="00B63DC3" w:rsidP="00B63DC3">
      <w:pPr>
        <w:jc w:val="center"/>
      </w:pPr>
      <w:r w:rsidRPr="0069500F">
        <w:t>____________________</w:t>
      </w:r>
    </w:p>
    <w:p w:rsidR="00B63DC3" w:rsidRPr="0069500F" w:rsidRDefault="00B63DC3" w:rsidP="00B63DC3"/>
    <w:p w:rsidR="00B63DC3" w:rsidRPr="0069500F" w:rsidRDefault="00B63DC3" w:rsidP="00B63DC3"/>
    <w:p w:rsidR="00B63DC3" w:rsidRDefault="00B63DC3" w:rsidP="00B63DC3"/>
    <w:p w:rsidR="00B63DC3" w:rsidRPr="0069500F" w:rsidRDefault="00B63DC3" w:rsidP="00B63DC3"/>
    <w:p w:rsidR="00B63DC3" w:rsidRDefault="00B63DC3" w:rsidP="00B63DC3">
      <w:pPr>
        <w:sectPr w:rsidR="00B63DC3" w:rsidSect="009E7087">
          <w:headerReference w:type="even" r:id="rId19"/>
          <w:headerReference w:type="default" r:id="rId20"/>
          <w:footnotePr>
            <w:pos w:val="beneathText"/>
          </w:footnotePr>
          <w:pgSz w:w="11907" w:h="16840" w:code="9"/>
          <w:pgMar w:top="1701" w:right="851" w:bottom="1134" w:left="1985" w:header="720" w:footer="482" w:gutter="0"/>
          <w:pgNumType w:start="10"/>
          <w:cols w:space="720"/>
          <w:vAlign w:val="both"/>
        </w:sectPr>
      </w:pPr>
    </w:p>
    <w:p w:rsidR="00DF0E47" w:rsidRPr="0069500F" w:rsidRDefault="00DF0E47" w:rsidP="00B63DC3"/>
    <w:sectPr w:rsidR="00DF0E47" w:rsidRPr="0069500F" w:rsidSect="00B63DC3">
      <w:headerReference w:type="default" r:id="rId21"/>
      <w:headerReference w:type="first" r:id="rId22"/>
      <w:footerReference w:type="first" r:id="rId23"/>
      <w:footnotePr>
        <w:pos w:val="beneathText"/>
      </w:footnotePr>
      <w:type w:val="oddPage"/>
      <w:pgSz w:w="11907" w:h="16840" w:code="9"/>
      <w:pgMar w:top="1701" w:right="851" w:bottom="1134" w:left="1985" w:header="720" w:footer="482" w:gutter="0"/>
      <w:pgNumType w:start="1"/>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641" w:rsidRDefault="004C0641">
      <w:r>
        <w:separator/>
      </w:r>
    </w:p>
  </w:endnote>
  <w:endnote w:type="continuationSeparator" w:id="0">
    <w:p w:rsidR="004C0641" w:rsidRDefault="004C0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D51" w:rsidRDefault="00ED3D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641" w:rsidRDefault="004C0641">
      <w:r>
        <w:rPr>
          <w:b/>
        </w:rPr>
        <w:t>_______________</w:t>
      </w:r>
    </w:p>
  </w:footnote>
  <w:footnote w:type="continuationSeparator" w:id="0">
    <w:p w:rsidR="004C0641" w:rsidRDefault="004C0641">
      <w:r>
        <w:continuationSeparator/>
      </w:r>
    </w:p>
  </w:footnote>
  <w:footnote w:id="1">
    <w:p w:rsidR="00FA6B97" w:rsidRPr="004A2559" w:rsidRDefault="00FA6B97" w:rsidP="00FA6B97">
      <w:pPr>
        <w:pStyle w:val="FootnoteText"/>
        <w:rPr>
          <w:rFonts w:asciiTheme="majorBidi" w:hAnsiTheme="majorBidi" w:cstheme="majorBidi"/>
        </w:rPr>
      </w:pPr>
      <w:r>
        <w:rPr>
          <w:rStyle w:val="FootnoteReference"/>
        </w:rPr>
        <w:footnoteRef/>
      </w:r>
      <w:r>
        <w:t xml:space="preserve"> </w:t>
      </w:r>
      <w:r w:rsidRPr="004A2559">
        <w:rPr>
          <w:rFonts w:asciiTheme="majorBidi" w:hAnsiTheme="majorBidi" w:cstheme="majorBidi"/>
        </w:rPr>
        <w:t>Similarly no protection should be claimed from assignments stemming from those allotments that were previously recorded in the Plan.</w:t>
      </w:r>
    </w:p>
  </w:footnote>
  <w:footnote w:id="2">
    <w:p w:rsidR="00B63DC3" w:rsidRPr="0069500F" w:rsidRDefault="00B63DC3" w:rsidP="00B63DC3">
      <w:pPr>
        <w:pStyle w:val="FootnoteText"/>
        <w:rPr>
          <w:lang w:val="en-US"/>
        </w:rPr>
      </w:pPr>
      <w:r>
        <w:rPr>
          <w:rStyle w:val="FootnoteReference"/>
        </w:rPr>
        <w:t>1</w:t>
      </w:r>
      <w:r>
        <w:t xml:space="preserve"> </w:t>
      </w:r>
      <w:r>
        <w:rPr>
          <w:lang w:val="en-US"/>
        </w:rPr>
        <w:tab/>
      </w:r>
      <w:r>
        <w:t>The service area does not extend beyond the national territory of the administration concerned.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5592B">
      <w:trPr>
        <w:cantSplit/>
      </w:trPr>
      <w:tc>
        <w:tcPr>
          <w:tcW w:w="1701" w:type="dxa"/>
          <w:tcBorders>
            <w:top w:val="single" w:sz="6" w:space="0" w:color="auto"/>
            <w:left w:val="single" w:sz="6" w:space="0" w:color="auto"/>
            <w:bottom w:val="single" w:sz="6" w:space="0" w:color="auto"/>
            <w:right w:val="single" w:sz="6" w:space="0" w:color="auto"/>
          </w:tcBorders>
        </w:tcPr>
        <w:p w:rsidR="0015592B" w:rsidRDefault="0015592B" w:rsidP="00D23E43">
          <w:pPr>
            <w:pStyle w:val="HeaderRegProc"/>
            <w:ind w:right="360" w:firstLine="360"/>
          </w:pPr>
          <w:r>
            <w:t>Part A10</w:t>
          </w:r>
        </w:p>
      </w:tc>
      <w:tc>
        <w:tcPr>
          <w:tcW w:w="1701" w:type="dxa"/>
          <w:tcBorders>
            <w:top w:val="single" w:sz="6" w:space="0" w:color="auto"/>
            <w:left w:val="single" w:sz="6" w:space="0" w:color="auto"/>
            <w:bottom w:val="single" w:sz="6" w:space="0" w:color="auto"/>
            <w:right w:val="single" w:sz="6" w:space="0" w:color="auto"/>
          </w:tcBorders>
        </w:tcPr>
        <w:p w:rsidR="0015592B" w:rsidRDefault="0015592B">
          <w:pPr>
            <w:pStyle w:val="HeaderRegProc"/>
            <w:rPr>
              <w:lang w:val="fr-FR"/>
            </w:rPr>
          </w:pPr>
          <w:r>
            <w:fldChar w:fldCharType="begin"/>
          </w:r>
          <w:r>
            <w:instrText>styleref href2</w:instrText>
          </w:r>
          <w:r>
            <w:fldChar w:fldCharType="separate"/>
          </w:r>
          <w:r w:rsidR="006B0BD6">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15592B" w:rsidRDefault="0015592B">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6B0BD6">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5592B" w:rsidRDefault="0015592B">
          <w:pPr>
            <w:pStyle w:val="HeaderRegProc"/>
            <w:rPr>
              <w:lang w:val="fr-CH"/>
            </w:rPr>
          </w:pPr>
          <w:r>
            <w:rPr>
              <w:lang w:val="fr-CH"/>
            </w:rPr>
            <w:t xml:space="preserve">rev. </w:t>
          </w:r>
          <w:r w:rsidR="009E7087">
            <w:rPr>
              <w:lang w:val="fr-CH"/>
            </w:rPr>
            <w:t>8</w:t>
          </w:r>
        </w:p>
      </w:tc>
    </w:tr>
  </w:tbl>
  <w:p w:rsidR="0015592B" w:rsidRDefault="0015592B">
    <w:pPr>
      <w:rPr>
        <w:lang w:val="fr-CH"/>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857B2">
      <w:trPr>
        <w:cantSplit/>
        <w:jc w:val="right"/>
      </w:trPr>
      <w:tc>
        <w:tcPr>
          <w:tcW w:w="1701" w:type="dxa"/>
          <w:tcBorders>
            <w:top w:val="single" w:sz="6" w:space="0" w:color="auto"/>
            <w:left w:val="single" w:sz="6" w:space="0" w:color="auto"/>
            <w:bottom w:val="single" w:sz="6" w:space="0" w:color="auto"/>
            <w:right w:val="single" w:sz="6" w:space="0" w:color="auto"/>
          </w:tcBorders>
        </w:tcPr>
        <w:p w:rsidR="00F857B2" w:rsidRDefault="00F857B2" w:rsidP="00D23E43">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rsidR="00F857B2" w:rsidRDefault="00F857B2">
          <w:pPr>
            <w:pStyle w:val="HeaderRegProc"/>
            <w:rPr>
              <w:lang w:val="fr-FR"/>
            </w:rPr>
          </w:pPr>
          <w:r>
            <w:fldChar w:fldCharType="begin"/>
          </w:r>
          <w:r>
            <w:instrText>styleref href2</w:instrText>
          </w:r>
          <w:r>
            <w:fldChar w:fldCharType="separate"/>
          </w:r>
          <w:r w:rsidR="006B0BD6">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7B2" w:rsidRDefault="00F857B2">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6B0BD6">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7B2" w:rsidRDefault="00F857B2">
          <w:pPr>
            <w:pStyle w:val="HeaderRegProc"/>
            <w:rPr>
              <w:lang w:val="fr-CH"/>
            </w:rPr>
          </w:pPr>
          <w:r>
            <w:rPr>
              <w:lang w:val="fr-CH"/>
            </w:rPr>
            <w:t>rev.</w:t>
          </w:r>
          <w:r>
            <w:t>-</w:t>
          </w:r>
        </w:p>
      </w:tc>
    </w:tr>
  </w:tbl>
  <w:p w:rsidR="00F857B2" w:rsidRDefault="00F857B2">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2A9" w:rsidRDefault="001572A9">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D51" w:rsidRDefault="00ED3D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5592B">
      <w:trPr>
        <w:cantSplit/>
        <w:jc w:val="right"/>
      </w:trPr>
      <w:tc>
        <w:tcPr>
          <w:tcW w:w="1701" w:type="dxa"/>
          <w:tcBorders>
            <w:top w:val="single" w:sz="6" w:space="0" w:color="auto"/>
            <w:left w:val="single" w:sz="6" w:space="0" w:color="auto"/>
            <w:bottom w:val="single" w:sz="6" w:space="0" w:color="auto"/>
            <w:right w:val="single" w:sz="6" w:space="0" w:color="auto"/>
          </w:tcBorders>
        </w:tcPr>
        <w:p w:rsidR="0015592B" w:rsidRDefault="0015592B" w:rsidP="00D23E43">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rsidR="0015592B" w:rsidRDefault="0015592B">
          <w:pPr>
            <w:pStyle w:val="HeaderRegProc"/>
            <w:rPr>
              <w:lang w:val="fr-FR"/>
            </w:rPr>
          </w:pPr>
          <w:r>
            <w:fldChar w:fldCharType="begin"/>
          </w:r>
          <w:r>
            <w:instrText>styleref href2</w:instrText>
          </w:r>
          <w:r>
            <w:fldChar w:fldCharType="separate"/>
          </w:r>
          <w:r w:rsidR="006B0BD6">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15592B" w:rsidRDefault="0015592B">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6B0BD6">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5592B" w:rsidRDefault="0015592B">
          <w:pPr>
            <w:pStyle w:val="HeaderRegProc"/>
            <w:rPr>
              <w:lang w:val="fr-CH"/>
            </w:rPr>
          </w:pPr>
          <w:r>
            <w:rPr>
              <w:lang w:val="fr-CH"/>
            </w:rPr>
            <w:t>rev.</w:t>
          </w:r>
          <w:r>
            <w:t xml:space="preserve"> </w:t>
          </w:r>
          <w:r w:rsidR="009E7087">
            <w:t>8</w:t>
          </w:r>
        </w:p>
      </w:tc>
    </w:tr>
  </w:tbl>
  <w:p w:rsidR="0015592B" w:rsidRDefault="001559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E7087">
      <w:trPr>
        <w:cantSplit/>
      </w:trPr>
      <w:tc>
        <w:tcPr>
          <w:tcW w:w="1701" w:type="dxa"/>
          <w:tcBorders>
            <w:top w:val="single" w:sz="6" w:space="0" w:color="auto"/>
            <w:left w:val="single" w:sz="6" w:space="0" w:color="auto"/>
            <w:bottom w:val="single" w:sz="6" w:space="0" w:color="auto"/>
            <w:right w:val="single" w:sz="6" w:space="0" w:color="auto"/>
          </w:tcBorders>
        </w:tcPr>
        <w:p w:rsidR="009E7087" w:rsidRDefault="009E7087" w:rsidP="00D23E43">
          <w:pPr>
            <w:pStyle w:val="HeaderRegProc"/>
            <w:ind w:right="360" w:firstLine="360"/>
          </w:pPr>
          <w:r>
            <w:t>Part A10</w:t>
          </w:r>
        </w:p>
      </w:tc>
      <w:tc>
        <w:tcPr>
          <w:tcW w:w="1701" w:type="dxa"/>
          <w:tcBorders>
            <w:top w:val="single" w:sz="6" w:space="0" w:color="auto"/>
            <w:left w:val="single" w:sz="6" w:space="0" w:color="auto"/>
            <w:bottom w:val="single" w:sz="6" w:space="0" w:color="auto"/>
            <w:right w:val="single" w:sz="6" w:space="0" w:color="auto"/>
          </w:tcBorders>
        </w:tcPr>
        <w:p w:rsidR="009E7087" w:rsidRDefault="009E7087">
          <w:pPr>
            <w:pStyle w:val="HeaderRegProc"/>
            <w:rPr>
              <w:lang w:val="fr-FR"/>
            </w:rPr>
          </w:pPr>
          <w:r>
            <w:fldChar w:fldCharType="begin"/>
          </w:r>
          <w:r>
            <w:instrText>styleref href2</w:instrText>
          </w:r>
          <w:r>
            <w:fldChar w:fldCharType="separate"/>
          </w:r>
          <w:r w:rsidR="006B0BD6">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E7087" w:rsidRDefault="009E7087">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6B0BD6">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E7087" w:rsidRDefault="009E7087">
          <w:pPr>
            <w:pStyle w:val="HeaderRegProc"/>
            <w:rPr>
              <w:lang w:val="fr-CH"/>
            </w:rPr>
          </w:pPr>
          <w:r>
            <w:rPr>
              <w:lang w:val="fr-CH"/>
            </w:rPr>
            <w:t xml:space="preserve">rev. </w:t>
          </w:r>
          <w:r w:rsidR="00961CAA">
            <w:rPr>
              <w:lang w:val="fr-CH"/>
            </w:rPr>
            <w:t>10</w:t>
          </w:r>
        </w:p>
      </w:tc>
    </w:tr>
  </w:tbl>
  <w:p w:rsidR="009E7087" w:rsidRDefault="009E7087">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E7087">
      <w:trPr>
        <w:cantSplit/>
        <w:jc w:val="right"/>
      </w:trPr>
      <w:tc>
        <w:tcPr>
          <w:tcW w:w="1701" w:type="dxa"/>
          <w:tcBorders>
            <w:top w:val="single" w:sz="6" w:space="0" w:color="auto"/>
            <w:left w:val="single" w:sz="6" w:space="0" w:color="auto"/>
            <w:bottom w:val="single" w:sz="6" w:space="0" w:color="auto"/>
            <w:right w:val="single" w:sz="6" w:space="0" w:color="auto"/>
          </w:tcBorders>
        </w:tcPr>
        <w:p w:rsidR="009E7087" w:rsidRDefault="009E7087" w:rsidP="00D23E43">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rsidR="009E7087" w:rsidRDefault="009E7087">
          <w:pPr>
            <w:pStyle w:val="HeaderRegProc"/>
            <w:rPr>
              <w:lang w:val="fr-FR"/>
            </w:rPr>
          </w:pPr>
          <w:r>
            <w:fldChar w:fldCharType="begin"/>
          </w:r>
          <w:r>
            <w:instrText>styleref href2</w:instrText>
          </w:r>
          <w:r>
            <w:fldChar w:fldCharType="separate"/>
          </w:r>
          <w:r w:rsidR="006B0BD6">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E7087" w:rsidRDefault="009E7087">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6B0BD6">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E7087" w:rsidRDefault="009E7087">
          <w:pPr>
            <w:pStyle w:val="HeaderRegProc"/>
            <w:rPr>
              <w:lang w:val="fr-CH"/>
            </w:rPr>
          </w:pPr>
          <w:r>
            <w:rPr>
              <w:lang w:val="fr-CH"/>
            </w:rPr>
            <w:t>rev.</w:t>
          </w:r>
          <w:r>
            <w:t xml:space="preserve"> </w:t>
          </w:r>
          <w:r w:rsidR="00961CAA" w:rsidRPr="001C5231">
            <w:t>10</w:t>
          </w:r>
        </w:p>
      </w:tc>
    </w:tr>
  </w:tbl>
  <w:p w:rsidR="009E7087" w:rsidRDefault="009E708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61CAA">
      <w:trPr>
        <w:cantSplit/>
      </w:trPr>
      <w:tc>
        <w:tcPr>
          <w:tcW w:w="1701" w:type="dxa"/>
          <w:tcBorders>
            <w:top w:val="single" w:sz="6" w:space="0" w:color="auto"/>
            <w:left w:val="single" w:sz="6" w:space="0" w:color="auto"/>
            <w:bottom w:val="single" w:sz="6" w:space="0" w:color="auto"/>
            <w:right w:val="single" w:sz="6" w:space="0" w:color="auto"/>
          </w:tcBorders>
        </w:tcPr>
        <w:p w:rsidR="00961CAA" w:rsidRDefault="00961CAA" w:rsidP="00D23E43">
          <w:pPr>
            <w:pStyle w:val="HeaderRegProc"/>
            <w:ind w:right="360" w:firstLine="360"/>
          </w:pPr>
          <w:r>
            <w:t>Part A10</w:t>
          </w:r>
        </w:p>
      </w:tc>
      <w:tc>
        <w:tcPr>
          <w:tcW w:w="1701" w:type="dxa"/>
          <w:tcBorders>
            <w:top w:val="single" w:sz="6" w:space="0" w:color="auto"/>
            <w:left w:val="single" w:sz="6" w:space="0" w:color="auto"/>
            <w:bottom w:val="single" w:sz="6" w:space="0" w:color="auto"/>
            <w:right w:val="single" w:sz="6" w:space="0" w:color="auto"/>
          </w:tcBorders>
        </w:tcPr>
        <w:p w:rsidR="00961CAA" w:rsidRDefault="00961CAA">
          <w:pPr>
            <w:pStyle w:val="HeaderRegProc"/>
            <w:rPr>
              <w:lang w:val="fr-FR"/>
            </w:rPr>
          </w:pPr>
          <w:r>
            <w:fldChar w:fldCharType="begin"/>
          </w:r>
          <w:r>
            <w:instrText>styleref href2</w:instrText>
          </w:r>
          <w:r>
            <w:fldChar w:fldCharType="separate"/>
          </w:r>
          <w:r w:rsidR="006B0BD6">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61CAA" w:rsidRDefault="00961CAA">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6B0BD6">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61CAA" w:rsidRDefault="00961CAA" w:rsidP="001C5231">
          <w:pPr>
            <w:pStyle w:val="HeaderRegProc"/>
            <w:rPr>
              <w:lang w:val="fr-CH"/>
            </w:rPr>
          </w:pPr>
          <w:r>
            <w:rPr>
              <w:lang w:val="fr-CH"/>
            </w:rPr>
            <w:t>rev.</w:t>
          </w:r>
          <w:r w:rsidR="001C5231">
            <w:rPr>
              <w:lang w:val="fr-CH"/>
            </w:rPr>
            <w:t>-</w:t>
          </w:r>
        </w:p>
      </w:tc>
    </w:tr>
  </w:tbl>
  <w:p w:rsidR="00961CAA" w:rsidRDefault="00961CAA">
    <w:pPr>
      <w:rPr>
        <w:lang w:val="fr-C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61CAA">
      <w:trPr>
        <w:cantSplit/>
        <w:jc w:val="right"/>
      </w:trPr>
      <w:tc>
        <w:tcPr>
          <w:tcW w:w="1701" w:type="dxa"/>
          <w:tcBorders>
            <w:top w:val="single" w:sz="6" w:space="0" w:color="auto"/>
            <w:left w:val="single" w:sz="6" w:space="0" w:color="auto"/>
            <w:bottom w:val="single" w:sz="6" w:space="0" w:color="auto"/>
            <w:right w:val="single" w:sz="6" w:space="0" w:color="auto"/>
          </w:tcBorders>
        </w:tcPr>
        <w:p w:rsidR="00961CAA" w:rsidRDefault="00961CAA" w:rsidP="00D23E43">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rsidR="00961CAA" w:rsidRDefault="00961CAA">
          <w:pPr>
            <w:pStyle w:val="HeaderRegProc"/>
            <w:rPr>
              <w:lang w:val="fr-FR"/>
            </w:rPr>
          </w:pPr>
          <w:r>
            <w:fldChar w:fldCharType="begin"/>
          </w:r>
          <w:r>
            <w:instrText>styleref href2</w:instrText>
          </w:r>
          <w:r>
            <w:fldChar w:fldCharType="separate"/>
          </w:r>
          <w:r w:rsidR="006B0BD6">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61CAA" w:rsidRDefault="00961CAA">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6B0BD6">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61CAA" w:rsidRDefault="00961CAA" w:rsidP="001C5231">
          <w:pPr>
            <w:pStyle w:val="HeaderRegProc"/>
            <w:rPr>
              <w:lang w:val="fr-CH"/>
            </w:rPr>
          </w:pPr>
          <w:r>
            <w:rPr>
              <w:lang w:val="fr-CH"/>
            </w:rPr>
            <w:t>rev.</w:t>
          </w:r>
          <w:r w:rsidR="001C5231">
            <w:t>-</w:t>
          </w:r>
        </w:p>
      </w:tc>
    </w:tr>
  </w:tbl>
  <w:p w:rsidR="00961CAA" w:rsidRDefault="00961CAA">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857B2">
      <w:trPr>
        <w:cantSplit/>
      </w:trPr>
      <w:tc>
        <w:tcPr>
          <w:tcW w:w="1701" w:type="dxa"/>
          <w:tcBorders>
            <w:top w:val="single" w:sz="6" w:space="0" w:color="auto"/>
            <w:left w:val="single" w:sz="6" w:space="0" w:color="auto"/>
            <w:bottom w:val="single" w:sz="6" w:space="0" w:color="auto"/>
            <w:right w:val="single" w:sz="6" w:space="0" w:color="auto"/>
          </w:tcBorders>
        </w:tcPr>
        <w:p w:rsidR="00F857B2" w:rsidRDefault="00F857B2" w:rsidP="00D23E43">
          <w:pPr>
            <w:pStyle w:val="HeaderRegProc"/>
            <w:ind w:right="360" w:firstLine="360"/>
          </w:pPr>
          <w:r>
            <w:t>Part A10</w:t>
          </w:r>
        </w:p>
      </w:tc>
      <w:tc>
        <w:tcPr>
          <w:tcW w:w="1701" w:type="dxa"/>
          <w:tcBorders>
            <w:top w:val="single" w:sz="6" w:space="0" w:color="auto"/>
            <w:left w:val="single" w:sz="6" w:space="0" w:color="auto"/>
            <w:bottom w:val="single" w:sz="6" w:space="0" w:color="auto"/>
            <w:right w:val="single" w:sz="6" w:space="0" w:color="auto"/>
          </w:tcBorders>
        </w:tcPr>
        <w:p w:rsidR="00F857B2" w:rsidRDefault="00F857B2">
          <w:pPr>
            <w:pStyle w:val="HeaderRegProc"/>
            <w:rPr>
              <w:lang w:val="fr-FR"/>
            </w:rPr>
          </w:pPr>
          <w:r>
            <w:fldChar w:fldCharType="begin"/>
          </w:r>
          <w:r>
            <w:instrText>styleref href2</w:instrText>
          </w:r>
          <w:r>
            <w:fldChar w:fldCharType="separate"/>
          </w:r>
          <w:r w:rsidR="006B0BD6">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7B2" w:rsidRDefault="00F857B2" w:rsidP="009E7087">
          <w:pPr>
            <w:pStyle w:val="HeaderRegProc"/>
            <w:rPr>
              <w:lang w:val="fr-CH"/>
            </w:rPr>
          </w:pPr>
          <w:r>
            <w:rPr>
              <w:lang w:val="fr-FR"/>
            </w:rPr>
            <w:t xml:space="preserve">page </w:t>
          </w:r>
          <w:r w:rsidR="009E7087">
            <w:rPr>
              <w:lang w:val="fr-FR"/>
            </w:rPr>
            <w:t>9</w:t>
          </w:r>
          <w:r w:rsidR="009E7087" w:rsidRPr="009E7087">
            <w:rPr>
              <w:i/>
              <w:iCs/>
              <w:lang w:val="fr-FR"/>
            </w:rPr>
            <w:t>bis</w:t>
          </w:r>
        </w:p>
      </w:tc>
      <w:tc>
        <w:tcPr>
          <w:tcW w:w="1701" w:type="dxa"/>
          <w:tcBorders>
            <w:top w:val="single" w:sz="6" w:space="0" w:color="auto"/>
            <w:left w:val="single" w:sz="6" w:space="0" w:color="auto"/>
            <w:bottom w:val="single" w:sz="6" w:space="0" w:color="auto"/>
            <w:right w:val="single" w:sz="6" w:space="0" w:color="auto"/>
          </w:tcBorders>
        </w:tcPr>
        <w:p w:rsidR="00F857B2" w:rsidRDefault="00F857B2" w:rsidP="00DC6BD3">
          <w:pPr>
            <w:pStyle w:val="HeaderRegProc"/>
            <w:rPr>
              <w:lang w:val="fr-CH"/>
            </w:rPr>
          </w:pPr>
          <w:r>
            <w:rPr>
              <w:lang w:val="fr-CH"/>
            </w:rPr>
            <w:t>rev.</w:t>
          </w:r>
          <w:r w:rsidR="00DC6BD3">
            <w:rPr>
              <w:lang w:val="fr-CH"/>
            </w:rPr>
            <w:t xml:space="preserve"> 5</w:t>
          </w:r>
        </w:p>
      </w:tc>
    </w:tr>
  </w:tbl>
  <w:p w:rsidR="00F857B2" w:rsidRDefault="00F857B2">
    <w:pPr>
      <w:rPr>
        <w:lang w:val="fr-CH"/>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857B2">
      <w:trPr>
        <w:cantSplit/>
        <w:jc w:val="right"/>
      </w:trPr>
      <w:tc>
        <w:tcPr>
          <w:tcW w:w="1701" w:type="dxa"/>
          <w:tcBorders>
            <w:top w:val="single" w:sz="6" w:space="0" w:color="auto"/>
            <w:left w:val="single" w:sz="6" w:space="0" w:color="auto"/>
            <w:bottom w:val="single" w:sz="6" w:space="0" w:color="auto"/>
            <w:right w:val="single" w:sz="6" w:space="0" w:color="auto"/>
          </w:tcBorders>
        </w:tcPr>
        <w:p w:rsidR="00F857B2" w:rsidRDefault="00F857B2" w:rsidP="00D23E43">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rsidR="00F857B2" w:rsidRDefault="00F857B2">
          <w:pPr>
            <w:pStyle w:val="HeaderRegProc"/>
            <w:rPr>
              <w:lang w:val="fr-FR"/>
            </w:rPr>
          </w:pPr>
          <w:r>
            <w:fldChar w:fldCharType="begin"/>
          </w:r>
          <w:r>
            <w:instrText>styleref href2</w:instrText>
          </w:r>
          <w:r>
            <w:fldChar w:fldCharType="separate"/>
          </w:r>
          <w:r w:rsidR="006B0BD6">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7B2" w:rsidRDefault="00F857B2" w:rsidP="009E7087">
          <w:pPr>
            <w:pStyle w:val="HeaderRegProc"/>
            <w:rPr>
              <w:lang w:val="fr-CH"/>
            </w:rPr>
          </w:pPr>
          <w:r>
            <w:rPr>
              <w:lang w:val="fr-FR"/>
            </w:rPr>
            <w:t xml:space="preserve">page </w:t>
          </w:r>
          <w:r w:rsidR="009E7087">
            <w:rPr>
              <w:rStyle w:val="PageNumber"/>
            </w:rPr>
            <w:fldChar w:fldCharType="begin"/>
          </w:r>
          <w:r w:rsidR="009E7087">
            <w:rPr>
              <w:rStyle w:val="PageNumber"/>
            </w:rPr>
            <w:instrText xml:space="preserve">PAGE  </w:instrText>
          </w:r>
          <w:r w:rsidR="009E7087">
            <w:rPr>
              <w:rStyle w:val="PageNumber"/>
            </w:rPr>
            <w:fldChar w:fldCharType="separate"/>
          </w:r>
          <w:r w:rsidR="006B0BD6">
            <w:rPr>
              <w:rStyle w:val="PageNumber"/>
              <w:noProof/>
            </w:rPr>
            <w:t>9</w:t>
          </w:r>
          <w:r w:rsidR="009E7087">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7B2" w:rsidRDefault="00F857B2" w:rsidP="00F857B2">
          <w:pPr>
            <w:pStyle w:val="HeaderRegProc"/>
            <w:rPr>
              <w:lang w:val="fr-CH"/>
            </w:rPr>
          </w:pPr>
          <w:r>
            <w:rPr>
              <w:lang w:val="fr-CH"/>
            </w:rPr>
            <w:t>rev.</w:t>
          </w:r>
          <w:r>
            <w:t xml:space="preserve"> 5</w:t>
          </w:r>
        </w:p>
      </w:tc>
    </w:tr>
  </w:tbl>
  <w:p w:rsidR="00F857B2" w:rsidRDefault="00F857B2">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857B2">
      <w:trPr>
        <w:cantSplit/>
      </w:trPr>
      <w:tc>
        <w:tcPr>
          <w:tcW w:w="1701" w:type="dxa"/>
          <w:tcBorders>
            <w:top w:val="single" w:sz="6" w:space="0" w:color="auto"/>
            <w:left w:val="single" w:sz="6" w:space="0" w:color="auto"/>
            <w:bottom w:val="single" w:sz="6" w:space="0" w:color="auto"/>
            <w:right w:val="single" w:sz="6" w:space="0" w:color="auto"/>
          </w:tcBorders>
        </w:tcPr>
        <w:p w:rsidR="00F857B2" w:rsidRDefault="00F857B2" w:rsidP="00D23E43">
          <w:pPr>
            <w:pStyle w:val="HeaderRegProc"/>
            <w:ind w:right="360" w:firstLine="360"/>
          </w:pPr>
          <w:r>
            <w:t>Part A10</w:t>
          </w:r>
        </w:p>
      </w:tc>
      <w:tc>
        <w:tcPr>
          <w:tcW w:w="1701" w:type="dxa"/>
          <w:tcBorders>
            <w:top w:val="single" w:sz="6" w:space="0" w:color="auto"/>
            <w:left w:val="single" w:sz="6" w:space="0" w:color="auto"/>
            <w:bottom w:val="single" w:sz="6" w:space="0" w:color="auto"/>
            <w:right w:val="single" w:sz="6" w:space="0" w:color="auto"/>
          </w:tcBorders>
        </w:tcPr>
        <w:p w:rsidR="00F857B2" w:rsidRDefault="00F857B2">
          <w:pPr>
            <w:pStyle w:val="HeaderRegProc"/>
            <w:rPr>
              <w:lang w:val="fr-FR"/>
            </w:rPr>
          </w:pPr>
          <w:r>
            <w:fldChar w:fldCharType="begin"/>
          </w:r>
          <w:r>
            <w:instrText>styleref href2</w:instrText>
          </w:r>
          <w:r>
            <w:fldChar w:fldCharType="separate"/>
          </w:r>
          <w:r w:rsidR="006B0BD6">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7B2" w:rsidRDefault="00F857B2">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6B0BD6">
            <w:rPr>
              <w:rStyle w:val="PageNumber"/>
              <w:noProof/>
            </w:rPr>
            <w:t>12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7B2" w:rsidRDefault="00F857B2">
          <w:pPr>
            <w:pStyle w:val="HeaderRegProc"/>
            <w:rPr>
              <w:lang w:val="fr-CH"/>
            </w:rPr>
          </w:pPr>
          <w:r>
            <w:rPr>
              <w:lang w:val="fr-CH"/>
            </w:rPr>
            <w:t>rev.-</w:t>
          </w:r>
        </w:p>
      </w:tc>
    </w:tr>
  </w:tbl>
  <w:p w:rsidR="00F857B2" w:rsidRDefault="00F857B2">
    <w:pPr>
      <w:rPr>
        <w:lang w:val="fr-C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6B0C38"/>
    <w:multiLevelType w:val="hybridMultilevel"/>
    <w:tmpl w:val="D99A8ED2"/>
    <w:lvl w:ilvl="0" w:tplc="8B52604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pos w:val="beneathText"/>
    <w:footnote w:id="-1"/>
    <w:footnote w:id="0"/>
  </w:footnotePr>
  <w:endnotePr>
    <w:endnote w:id="-1"/>
    <w:endnote w:id="0"/>
  </w:endnotePr>
  <w:compat>
    <w:compatSetting w:name="compatibilityMode" w:uri="http://schemas.microsoft.com/office/word" w:val="12"/>
  </w:compat>
  <w:rsids>
    <w:rsidRoot w:val="00705BD1"/>
    <w:rsid w:val="00016F65"/>
    <w:rsid w:val="00051837"/>
    <w:rsid w:val="000A2CD9"/>
    <w:rsid w:val="000B4AC9"/>
    <w:rsid w:val="000D4791"/>
    <w:rsid w:val="00105BC1"/>
    <w:rsid w:val="00155795"/>
    <w:rsid w:val="0015592B"/>
    <w:rsid w:val="001572A9"/>
    <w:rsid w:val="0016133F"/>
    <w:rsid w:val="00172FC3"/>
    <w:rsid w:val="001C5231"/>
    <w:rsid w:val="001F4AA8"/>
    <w:rsid w:val="00232FB0"/>
    <w:rsid w:val="002652A5"/>
    <w:rsid w:val="003106BC"/>
    <w:rsid w:val="00362EDF"/>
    <w:rsid w:val="003640DF"/>
    <w:rsid w:val="00393AE5"/>
    <w:rsid w:val="00393D1B"/>
    <w:rsid w:val="003D115E"/>
    <w:rsid w:val="003F052E"/>
    <w:rsid w:val="00415437"/>
    <w:rsid w:val="004468F6"/>
    <w:rsid w:val="004623C8"/>
    <w:rsid w:val="0049691A"/>
    <w:rsid w:val="00496976"/>
    <w:rsid w:val="004A2559"/>
    <w:rsid w:val="004A29C9"/>
    <w:rsid w:val="004B0823"/>
    <w:rsid w:val="004C0641"/>
    <w:rsid w:val="005034D7"/>
    <w:rsid w:val="00533768"/>
    <w:rsid w:val="00572EA0"/>
    <w:rsid w:val="00573907"/>
    <w:rsid w:val="00587117"/>
    <w:rsid w:val="00593162"/>
    <w:rsid w:val="005A6A45"/>
    <w:rsid w:val="005D64FA"/>
    <w:rsid w:val="00662E1B"/>
    <w:rsid w:val="00666193"/>
    <w:rsid w:val="0069500F"/>
    <w:rsid w:val="006A5B96"/>
    <w:rsid w:val="006B0BD6"/>
    <w:rsid w:val="006C4168"/>
    <w:rsid w:val="006F2FFC"/>
    <w:rsid w:val="006F5691"/>
    <w:rsid w:val="00705BD1"/>
    <w:rsid w:val="007062FD"/>
    <w:rsid w:val="00784E3E"/>
    <w:rsid w:val="008D5D08"/>
    <w:rsid w:val="008F0A0E"/>
    <w:rsid w:val="00914EF4"/>
    <w:rsid w:val="009402A0"/>
    <w:rsid w:val="00961CAA"/>
    <w:rsid w:val="00976694"/>
    <w:rsid w:val="009804BA"/>
    <w:rsid w:val="009E7087"/>
    <w:rsid w:val="009F3505"/>
    <w:rsid w:val="00A244E7"/>
    <w:rsid w:val="00A44FD1"/>
    <w:rsid w:val="00AB1062"/>
    <w:rsid w:val="00B34F42"/>
    <w:rsid w:val="00B609A2"/>
    <w:rsid w:val="00B63DC3"/>
    <w:rsid w:val="00BF29F7"/>
    <w:rsid w:val="00C22DB3"/>
    <w:rsid w:val="00C43873"/>
    <w:rsid w:val="00C535A6"/>
    <w:rsid w:val="00C77365"/>
    <w:rsid w:val="00C82C70"/>
    <w:rsid w:val="00C94CCD"/>
    <w:rsid w:val="00CA3D79"/>
    <w:rsid w:val="00CC13B6"/>
    <w:rsid w:val="00CD0511"/>
    <w:rsid w:val="00CD423D"/>
    <w:rsid w:val="00D23E43"/>
    <w:rsid w:val="00D905BB"/>
    <w:rsid w:val="00D95169"/>
    <w:rsid w:val="00DC6BD3"/>
    <w:rsid w:val="00DF0E47"/>
    <w:rsid w:val="00DF160E"/>
    <w:rsid w:val="00DF1968"/>
    <w:rsid w:val="00E0742F"/>
    <w:rsid w:val="00E1111E"/>
    <w:rsid w:val="00E4410A"/>
    <w:rsid w:val="00E720BB"/>
    <w:rsid w:val="00E82821"/>
    <w:rsid w:val="00EA3B45"/>
    <w:rsid w:val="00EB1CEC"/>
    <w:rsid w:val="00ED3D51"/>
    <w:rsid w:val="00F327DA"/>
    <w:rsid w:val="00F51205"/>
    <w:rsid w:val="00F60C74"/>
    <w:rsid w:val="00F857B2"/>
    <w:rsid w:val="00FA6B97"/>
    <w:rsid w:val="00FA79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E1EE19B8-37CA-435E-8184-99EB2FA5A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33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6133F"/>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6133F"/>
    <w:pPr>
      <w:spacing w:before="480"/>
      <w:outlineLvl w:val="1"/>
    </w:pPr>
    <w:rPr>
      <w:sz w:val="26"/>
    </w:rPr>
  </w:style>
  <w:style w:type="paragraph" w:styleId="Heading3">
    <w:name w:val="heading 3"/>
    <w:basedOn w:val="Heading1"/>
    <w:next w:val="Normal"/>
    <w:qFormat/>
    <w:rsid w:val="0016133F"/>
    <w:pPr>
      <w:spacing w:before="360"/>
      <w:outlineLvl w:val="2"/>
    </w:pPr>
    <w:rPr>
      <w:sz w:val="24"/>
    </w:rPr>
  </w:style>
  <w:style w:type="paragraph" w:styleId="Heading4">
    <w:name w:val="heading 4"/>
    <w:basedOn w:val="Heading3"/>
    <w:next w:val="Normal"/>
    <w:qFormat/>
    <w:rsid w:val="0016133F"/>
    <w:pPr>
      <w:outlineLvl w:val="3"/>
    </w:pPr>
  </w:style>
  <w:style w:type="paragraph" w:styleId="Heading5">
    <w:name w:val="heading 5"/>
    <w:basedOn w:val="Heading3"/>
    <w:next w:val="Normal"/>
    <w:qFormat/>
    <w:rsid w:val="0016133F"/>
    <w:pPr>
      <w:outlineLvl w:val="4"/>
    </w:pPr>
  </w:style>
  <w:style w:type="paragraph" w:styleId="Heading6">
    <w:name w:val="heading 6"/>
    <w:basedOn w:val="Heading3"/>
    <w:next w:val="Normal"/>
    <w:qFormat/>
    <w:rsid w:val="0016133F"/>
    <w:pPr>
      <w:outlineLvl w:val="5"/>
    </w:pPr>
  </w:style>
  <w:style w:type="paragraph" w:styleId="Heading7">
    <w:name w:val="heading 7"/>
    <w:basedOn w:val="Heading3"/>
    <w:next w:val="Normal"/>
    <w:qFormat/>
    <w:rsid w:val="0016133F"/>
    <w:pPr>
      <w:outlineLvl w:val="6"/>
    </w:pPr>
  </w:style>
  <w:style w:type="paragraph" w:styleId="Heading8">
    <w:name w:val="heading 8"/>
    <w:basedOn w:val="Heading3"/>
    <w:next w:val="Normal"/>
    <w:qFormat/>
    <w:rsid w:val="0016133F"/>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6133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6133F"/>
    <w:rPr>
      <w:vertAlign w:val="superscript"/>
    </w:rPr>
  </w:style>
  <w:style w:type="paragraph" w:styleId="TOC8">
    <w:name w:val="toc 8"/>
    <w:basedOn w:val="Normal"/>
    <w:next w:val="Normal"/>
    <w:semiHidden/>
    <w:rsid w:val="0016133F"/>
    <w:pPr>
      <w:tabs>
        <w:tab w:val="left" w:pos="7711"/>
        <w:tab w:val="right" w:leader="dot" w:pos="9725"/>
      </w:tabs>
      <w:ind w:left="6350"/>
    </w:pPr>
  </w:style>
  <w:style w:type="paragraph" w:styleId="TOC7">
    <w:name w:val="toc 7"/>
    <w:basedOn w:val="Normal"/>
    <w:next w:val="Normal"/>
    <w:semiHidden/>
    <w:rsid w:val="0016133F"/>
    <w:pPr>
      <w:tabs>
        <w:tab w:val="left" w:pos="6350"/>
        <w:tab w:val="right" w:leader="dot" w:pos="9725"/>
      </w:tabs>
      <w:ind w:left="5103"/>
    </w:pPr>
  </w:style>
  <w:style w:type="paragraph" w:styleId="TOC6">
    <w:name w:val="toc 6"/>
    <w:basedOn w:val="TOC4"/>
    <w:next w:val="Normal"/>
    <w:semiHidden/>
    <w:rsid w:val="0016133F"/>
    <w:pPr>
      <w:ind w:left="3913"/>
    </w:pPr>
  </w:style>
  <w:style w:type="paragraph" w:styleId="TOC4">
    <w:name w:val="toc 4"/>
    <w:basedOn w:val="TOC3"/>
    <w:next w:val="Normal"/>
    <w:semiHidden/>
    <w:rsid w:val="0016133F"/>
    <w:pPr>
      <w:tabs>
        <w:tab w:val="clear" w:pos="2268"/>
      </w:tabs>
      <w:spacing w:before="80"/>
      <w:ind w:left="3119" w:hanging="851"/>
    </w:pPr>
  </w:style>
  <w:style w:type="paragraph" w:styleId="TOC3">
    <w:name w:val="toc 3"/>
    <w:basedOn w:val="TOC2"/>
    <w:next w:val="Normal"/>
    <w:semiHidden/>
    <w:rsid w:val="0016133F"/>
    <w:pPr>
      <w:tabs>
        <w:tab w:val="clear" w:pos="1985"/>
        <w:tab w:val="left" w:pos="2268"/>
      </w:tabs>
      <w:ind w:left="2268" w:hanging="2268"/>
    </w:pPr>
  </w:style>
  <w:style w:type="paragraph" w:styleId="TOC2">
    <w:name w:val="toc 2"/>
    <w:basedOn w:val="TOC1"/>
    <w:next w:val="Normal"/>
    <w:semiHidden/>
    <w:rsid w:val="0016133F"/>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6133F"/>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6133F"/>
    <w:pPr>
      <w:tabs>
        <w:tab w:val="clear" w:pos="2268"/>
        <w:tab w:val="left" w:pos="3062"/>
      </w:tabs>
      <w:ind w:left="3062" w:hanging="3062"/>
    </w:pPr>
  </w:style>
  <w:style w:type="paragraph" w:styleId="Index1">
    <w:name w:val="index 1"/>
    <w:basedOn w:val="Normal"/>
    <w:next w:val="Normal"/>
    <w:semiHidden/>
    <w:rsid w:val="0016133F"/>
  </w:style>
  <w:style w:type="paragraph" w:styleId="Footer">
    <w:name w:val="footer"/>
    <w:basedOn w:val="Normal"/>
    <w:rsid w:val="0016133F"/>
    <w:pPr>
      <w:tabs>
        <w:tab w:val="left" w:pos="567"/>
        <w:tab w:val="center" w:pos="3742"/>
        <w:tab w:val="right" w:pos="6974"/>
      </w:tabs>
    </w:pPr>
  </w:style>
  <w:style w:type="paragraph" w:styleId="Header">
    <w:name w:val="header"/>
    <w:basedOn w:val="Normal"/>
    <w:rsid w:val="0016133F"/>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16133F"/>
    <w:rPr>
      <w:position w:val="6"/>
      <w:sz w:val="16"/>
    </w:rPr>
  </w:style>
  <w:style w:type="paragraph" w:styleId="FootnoteText">
    <w:name w:val="footnote text"/>
    <w:basedOn w:val="Normal"/>
    <w:link w:val="FootnoteTextChar"/>
    <w:rsid w:val="0016133F"/>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6133F"/>
    <w:pPr>
      <w:spacing w:before="120"/>
      <w:ind w:left="1134"/>
    </w:pPr>
  </w:style>
  <w:style w:type="paragraph" w:customStyle="1" w:styleId="TableLegend">
    <w:name w:val="Table_Legend"/>
    <w:basedOn w:val="TableText"/>
    <w:next w:val="Normal"/>
    <w:rsid w:val="0016133F"/>
    <w:pPr>
      <w:keepNext/>
      <w:tabs>
        <w:tab w:val="left" w:pos="284"/>
        <w:tab w:val="left" w:pos="567"/>
        <w:tab w:val="left" w:pos="851"/>
        <w:tab w:val="left" w:pos="1134"/>
      </w:tabs>
      <w:spacing w:before="120" w:after="0"/>
    </w:pPr>
  </w:style>
  <w:style w:type="paragraph" w:customStyle="1" w:styleId="TableText">
    <w:name w:val="Table_Text"/>
    <w:basedOn w:val="Normal"/>
    <w:rsid w:val="0016133F"/>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6133F"/>
    <w:pPr>
      <w:spacing w:before="0"/>
    </w:pPr>
    <w:rPr>
      <w:b/>
    </w:rPr>
  </w:style>
  <w:style w:type="paragraph" w:customStyle="1" w:styleId="Table">
    <w:name w:val="Table_#"/>
    <w:basedOn w:val="Normal"/>
    <w:next w:val="TableTitle"/>
    <w:rsid w:val="0016133F"/>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16133F"/>
    <w:pPr>
      <w:tabs>
        <w:tab w:val="clear" w:pos="2268"/>
        <w:tab w:val="left" w:pos="2608"/>
        <w:tab w:val="left" w:pos="3345"/>
      </w:tabs>
      <w:spacing w:before="120"/>
      <w:ind w:left="454" w:hanging="454"/>
    </w:pPr>
  </w:style>
  <w:style w:type="paragraph" w:customStyle="1" w:styleId="enumlev2">
    <w:name w:val="enumlev2"/>
    <w:basedOn w:val="enumlev1"/>
    <w:rsid w:val="0016133F"/>
    <w:pPr>
      <w:tabs>
        <w:tab w:val="left" w:pos="907"/>
      </w:tabs>
      <w:ind w:left="908"/>
    </w:pPr>
  </w:style>
  <w:style w:type="paragraph" w:customStyle="1" w:styleId="enumlev3">
    <w:name w:val="enumlev3"/>
    <w:basedOn w:val="enumlev2"/>
    <w:rsid w:val="0016133F"/>
    <w:pPr>
      <w:tabs>
        <w:tab w:val="clear" w:pos="1134"/>
        <w:tab w:val="clear" w:pos="1871"/>
        <w:tab w:val="clear" w:pos="2608"/>
        <w:tab w:val="left" w:pos="1361"/>
      </w:tabs>
      <w:ind w:left="1361"/>
    </w:pPr>
  </w:style>
  <w:style w:type="paragraph" w:customStyle="1" w:styleId="Figure">
    <w:name w:val="Figure"/>
    <w:basedOn w:val="Normal"/>
    <w:rsid w:val="0016133F"/>
    <w:pPr>
      <w:keepNext/>
      <w:keepLines/>
      <w:spacing w:before="240"/>
      <w:jc w:val="center"/>
    </w:pPr>
  </w:style>
  <w:style w:type="paragraph" w:customStyle="1" w:styleId="FigureLegend">
    <w:name w:val="Figure_Legend"/>
    <w:basedOn w:val="TableLegend"/>
    <w:next w:val="Figure0"/>
    <w:rsid w:val="0016133F"/>
  </w:style>
  <w:style w:type="paragraph" w:customStyle="1" w:styleId="Figure0">
    <w:name w:val="Figure_#"/>
    <w:basedOn w:val="Table"/>
    <w:next w:val="FigureTitle"/>
    <w:rsid w:val="0016133F"/>
  </w:style>
  <w:style w:type="paragraph" w:customStyle="1" w:styleId="FigureTitle">
    <w:name w:val="Figure_Title"/>
    <w:basedOn w:val="TableTitle"/>
    <w:next w:val="Normal"/>
    <w:rsid w:val="0016133F"/>
    <w:pPr>
      <w:spacing w:after="720"/>
    </w:pPr>
  </w:style>
  <w:style w:type="paragraph" w:customStyle="1" w:styleId="Annex">
    <w:name w:val="Annex_#"/>
    <w:basedOn w:val="Art"/>
    <w:next w:val="AnnexRef"/>
    <w:rsid w:val="0016133F"/>
  </w:style>
  <w:style w:type="paragraph" w:customStyle="1" w:styleId="Art">
    <w:name w:val="Art_#"/>
    <w:basedOn w:val="Normal"/>
    <w:next w:val="Arttitle"/>
    <w:rsid w:val="0016133F"/>
    <w:pPr>
      <w:keepNext/>
      <w:keepLines/>
      <w:spacing w:before="720"/>
      <w:jc w:val="center"/>
    </w:pPr>
    <w:rPr>
      <w:sz w:val="28"/>
    </w:rPr>
  </w:style>
  <w:style w:type="paragraph" w:customStyle="1" w:styleId="Arttitle">
    <w:name w:val="Art_title"/>
    <w:next w:val="Normalaftertitle"/>
    <w:rsid w:val="0016133F"/>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6133F"/>
    <w:pPr>
      <w:spacing w:before="360"/>
    </w:pPr>
  </w:style>
  <w:style w:type="paragraph" w:customStyle="1" w:styleId="AnnexRef">
    <w:name w:val="Annex_Ref"/>
    <w:basedOn w:val="Normal"/>
    <w:rsid w:val="0016133F"/>
    <w:pPr>
      <w:jc w:val="center"/>
    </w:pPr>
  </w:style>
  <w:style w:type="paragraph" w:customStyle="1" w:styleId="AnnexTitle">
    <w:name w:val="Annex_Title"/>
    <w:basedOn w:val="Arttitle"/>
    <w:next w:val="Normal"/>
    <w:rsid w:val="0016133F"/>
    <w:pPr>
      <w:spacing w:after="0"/>
    </w:pPr>
  </w:style>
  <w:style w:type="paragraph" w:customStyle="1" w:styleId="Appendix">
    <w:name w:val="Appendix_#"/>
    <w:basedOn w:val="Art"/>
    <w:next w:val="AppendixTitle"/>
    <w:rsid w:val="0016133F"/>
  </w:style>
  <w:style w:type="paragraph" w:customStyle="1" w:styleId="AppendixTitle">
    <w:name w:val="Appendix_Title"/>
    <w:basedOn w:val="Arttitle"/>
    <w:next w:val="Normal"/>
    <w:rsid w:val="0016133F"/>
  </w:style>
  <w:style w:type="paragraph" w:customStyle="1" w:styleId="headfoot">
    <w:name w:val="head_foot"/>
    <w:basedOn w:val="Normal"/>
    <w:next w:val="Normalaftertitle"/>
    <w:rsid w:val="0016133F"/>
    <w:pPr>
      <w:spacing w:before="0"/>
    </w:pPr>
    <w:rPr>
      <w:color w:val="0000FF"/>
      <w:sz w:val="20"/>
    </w:rPr>
  </w:style>
  <w:style w:type="paragraph" w:customStyle="1" w:styleId="AppendixRef">
    <w:name w:val="Appendix_Ref"/>
    <w:basedOn w:val="AnnexRef"/>
    <w:next w:val="AppendixTitle"/>
    <w:rsid w:val="0016133F"/>
  </w:style>
  <w:style w:type="paragraph" w:customStyle="1" w:styleId="RefTitle">
    <w:name w:val="Ref_Title"/>
    <w:basedOn w:val="Normal"/>
    <w:next w:val="RefText"/>
    <w:rsid w:val="0016133F"/>
    <w:pPr>
      <w:spacing w:before="480"/>
      <w:jc w:val="left"/>
    </w:pPr>
    <w:rPr>
      <w:b/>
    </w:rPr>
  </w:style>
  <w:style w:type="paragraph" w:customStyle="1" w:styleId="RefText">
    <w:name w:val="Ref_Text"/>
    <w:basedOn w:val="Normal"/>
    <w:rsid w:val="0016133F"/>
  </w:style>
  <w:style w:type="paragraph" w:customStyle="1" w:styleId="listitem">
    <w:name w:val="listitem"/>
    <w:basedOn w:val="Normal"/>
    <w:rsid w:val="0016133F"/>
    <w:pPr>
      <w:keepLines/>
      <w:spacing w:before="0"/>
      <w:jc w:val="left"/>
    </w:pPr>
  </w:style>
  <w:style w:type="paragraph" w:customStyle="1" w:styleId="TableRef">
    <w:name w:val="Table_Ref"/>
    <w:basedOn w:val="Normal"/>
    <w:next w:val="TableTitle"/>
    <w:rsid w:val="0016133F"/>
    <w:pPr>
      <w:keepNext/>
      <w:spacing w:before="567"/>
      <w:jc w:val="center"/>
    </w:pPr>
    <w:rPr>
      <w:sz w:val="18"/>
    </w:rPr>
  </w:style>
  <w:style w:type="paragraph" w:customStyle="1" w:styleId="Signcountry">
    <w:name w:val="Sign_country"/>
    <w:basedOn w:val="Normal"/>
    <w:next w:val="SignPart"/>
    <w:rsid w:val="0016133F"/>
    <w:pPr>
      <w:keepNext/>
      <w:keepLines/>
      <w:spacing w:before="240" w:after="57"/>
      <w:jc w:val="left"/>
    </w:pPr>
    <w:rPr>
      <w:b/>
    </w:rPr>
  </w:style>
  <w:style w:type="paragraph" w:customStyle="1" w:styleId="SignPart">
    <w:name w:val="Sign_Part"/>
    <w:basedOn w:val="Signcountry"/>
    <w:rsid w:val="0016133F"/>
    <w:pPr>
      <w:keepNext w:val="0"/>
      <w:keepLines w:val="0"/>
      <w:spacing w:before="0"/>
      <w:ind w:left="284"/>
    </w:pPr>
    <w:rPr>
      <w:b w:val="0"/>
      <w:smallCaps/>
    </w:rPr>
  </w:style>
  <w:style w:type="paragraph" w:customStyle="1" w:styleId="Chap">
    <w:name w:val="Chap_#"/>
    <w:basedOn w:val="Art"/>
    <w:next w:val="Chaptitle"/>
    <w:rsid w:val="0016133F"/>
    <w:pPr>
      <w:spacing w:before="1200"/>
    </w:pPr>
    <w:rPr>
      <w:sz w:val="32"/>
    </w:rPr>
  </w:style>
  <w:style w:type="paragraph" w:customStyle="1" w:styleId="Chaptitle">
    <w:name w:val="Chap_title"/>
    <w:basedOn w:val="Arttitle"/>
    <w:next w:val="Art"/>
    <w:rsid w:val="0016133F"/>
    <w:rPr>
      <w:sz w:val="32"/>
    </w:rPr>
  </w:style>
  <w:style w:type="paragraph" w:customStyle="1" w:styleId="Protfin">
    <w:name w:val="Prot_fin"/>
    <w:basedOn w:val="Normal"/>
    <w:next w:val="Normalaftertitle"/>
    <w:rsid w:val="0016133F"/>
    <w:pPr>
      <w:pageBreakBefore/>
      <w:spacing w:before="720" w:after="240"/>
      <w:jc w:val="center"/>
    </w:pPr>
    <w:rPr>
      <w:b/>
    </w:rPr>
  </w:style>
  <w:style w:type="paragraph" w:customStyle="1" w:styleId="Prot">
    <w:name w:val="Prot_#"/>
    <w:basedOn w:val="Normal"/>
    <w:next w:val="Protlang"/>
    <w:rsid w:val="0016133F"/>
    <w:pPr>
      <w:keepNext/>
      <w:spacing w:before="240"/>
      <w:jc w:val="center"/>
    </w:pPr>
  </w:style>
  <w:style w:type="paragraph" w:customStyle="1" w:styleId="Protlang">
    <w:name w:val="Prot_lang"/>
    <w:basedOn w:val="Prot"/>
    <w:next w:val="Protpays"/>
    <w:rsid w:val="0016133F"/>
    <w:pPr>
      <w:keepLines/>
      <w:framePr w:hSpace="181" w:vSpace="181" w:wrap="auto" w:hAnchor="text" w:xAlign="right"/>
      <w:spacing w:before="0"/>
      <w:jc w:val="right"/>
    </w:pPr>
    <w:rPr>
      <w:i/>
      <w:sz w:val="18"/>
    </w:rPr>
  </w:style>
  <w:style w:type="paragraph" w:customStyle="1" w:styleId="Protpays">
    <w:name w:val="Prot_pays"/>
    <w:basedOn w:val="Protlang"/>
    <w:next w:val="headfoot"/>
    <w:rsid w:val="0016133F"/>
    <w:pPr>
      <w:framePr w:wrap="auto"/>
      <w:spacing w:before="113" w:line="199" w:lineRule="exact"/>
      <w:jc w:val="left"/>
    </w:pPr>
  </w:style>
  <w:style w:type="paragraph" w:customStyle="1" w:styleId="Prottexte">
    <w:name w:val="Prot_texte"/>
    <w:basedOn w:val="Protlang"/>
    <w:rsid w:val="0016133F"/>
    <w:pPr>
      <w:keepNext w:val="0"/>
      <w:keepLines w:val="0"/>
      <w:framePr w:wrap="auto"/>
      <w:spacing w:before="113" w:line="199" w:lineRule="exact"/>
      <w:jc w:val="both"/>
    </w:pPr>
    <w:rPr>
      <w:i w:val="0"/>
    </w:rPr>
  </w:style>
  <w:style w:type="paragraph" w:customStyle="1" w:styleId="Protcall">
    <w:name w:val="Prot_call"/>
    <w:basedOn w:val="Prottexte"/>
    <w:next w:val="Prottexte"/>
    <w:rsid w:val="0016133F"/>
    <w:pPr>
      <w:keepNext/>
      <w:keepLines/>
      <w:framePr w:wrap="auto" w:xAlign="left"/>
      <w:spacing w:before="170"/>
      <w:ind w:left="794"/>
      <w:jc w:val="left"/>
    </w:pPr>
    <w:rPr>
      <w:i/>
    </w:rPr>
  </w:style>
  <w:style w:type="paragraph" w:customStyle="1" w:styleId="Res">
    <w:name w:val="Res_#"/>
    <w:basedOn w:val="Art"/>
    <w:next w:val="Restitle"/>
    <w:rsid w:val="0016133F"/>
  </w:style>
  <w:style w:type="paragraph" w:customStyle="1" w:styleId="Restitle">
    <w:name w:val="Res_title"/>
    <w:basedOn w:val="Arttitle"/>
    <w:next w:val="headfoot"/>
    <w:rsid w:val="0016133F"/>
    <w:pPr>
      <w:spacing w:after="120"/>
    </w:pPr>
  </w:style>
  <w:style w:type="paragraph" w:customStyle="1" w:styleId="Rec">
    <w:name w:val="Rec_#"/>
    <w:basedOn w:val="Res"/>
    <w:next w:val="Rectitle"/>
    <w:rsid w:val="0016133F"/>
  </w:style>
  <w:style w:type="paragraph" w:customStyle="1" w:styleId="Rectitle">
    <w:name w:val="Rec_title"/>
    <w:basedOn w:val="Restitle"/>
    <w:next w:val="headfoot"/>
    <w:rsid w:val="0016133F"/>
  </w:style>
  <w:style w:type="paragraph" w:customStyle="1" w:styleId="Equation">
    <w:name w:val="Equation"/>
    <w:basedOn w:val="Normal"/>
    <w:rsid w:val="0016133F"/>
    <w:pPr>
      <w:tabs>
        <w:tab w:val="clear" w:pos="1871"/>
        <w:tab w:val="clear" w:pos="2268"/>
        <w:tab w:val="center" w:pos="4678"/>
        <w:tab w:val="right" w:pos="9356"/>
      </w:tabs>
      <w:jc w:val="left"/>
    </w:pPr>
  </w:style>
  <w:style w:type="paragraph" w:customStyle="1" w:styleId="Note">
    <w:name w:val="Note"/>
    <w:basedOn w:val="Normal"/>
    <w:rsid w:val="0016133F"/>
    <w:pPr>
      <w:tabs>
        <w:tab w:val="left" w:pos="284"/>
      </w:tabs>
      <w:spacing w:before="160"/>
    </w:pPr>
    <w:rPr>
      <w:sz w:val="20"/>
    </w:rPr>
  </w:style>
  <w:style w:type="paragraph" w:customStyle="1" w:styleId="Signcountry0">
    <w:name w:val="Sign country"/>
    <w:basedOn w:val="Normal"/>
    <w:next w:val="Signpart0"/>
    <w:rsid w:val="0016133F"/>
    <w:pPr>
      <w:keepNext/>
      <w:keepLines/>
      <w:spacing w:before="240" w:after="57"/>
      <w:jc w:val="left"/>
    </w:pPr>
    <w:rPr>
      <w:b/>
    </w:rPr>
  </w:style>
  <w:style w:type="paragraph" w:customStyle="1" w:styleId="Signpart0">
    <w:name w:val="Sign part"/>
    <w:basedOn w:val="Signcountry0"/>
    <w:rsid w:val="0016133F"/>
    <w:pPr>
      <w:keepNext w:val="0"/>
      <w:keepLines w:val="0"/>
      <w:spacing w:before="0"/>
      <w:ind w:left="284"/>
    </w:pPr>
    <w:rPr>
      <w:b w:val="0"/>
      <w:smallCaps/>
    </w:rPr>
  </w:style>
  <w:style w:type="paragraph" w:customStyle="1" w:styleId="Section1">
    <w:name w:val="Section_1"/>
    <w:basedOn w:val="Normal"/>
    <w:rsid w:val="0016133F"/>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6133F"/>
    <w:pPr>
      <w:pageBreakBefore/>
      <w:spacing w:before="720" w:after="240"/>
      <w:jc w:val="center"/>
    </w:pPr>
    <w:rPr>
      <w:b/>
    </w:rPr>
  </w:style>
  <w:style w:type="paragraph" w:customStyle="1" w:styleId="Prot0">
    <w:name w:val="Prot #"/>
    <w:basedOn w:val="Normal"/>
    <w:next w:val="Protlang0"/>
    <w:rsid w:val="0016133F"/>
    <w:pPr>
      <w:keepNext/>
      <w:spacing w:before="240"/>
      <w:jc w:val="center"/>
    </w:pPr>
  </w:style>
  <w:style w:type="paragraph" w:customStyle="1" w:styleId="Protlang0">
    <w:name w:val="Prot lang"/>
    <w:basedOn w:val="Prot0"/>
    <w:next w:val="Protpays0"/>
    <w:rsid w:val="0016133F"/>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6133F"/>
    <w:pPr>
      <w:framePr w:wrap="auto"/>
      <w:spacing w:before="113" w:line="199" w:lineRule="exact"/>
      <w:jc w:val="left"/>
    </w:pPr>
  </w:style>
  <w:style w:type="paragraph" w:customStyle="1" w:styleId="Prottexte0">
    <w:name w:val="Prot texte"/>
    <w:basedOn w:val="Protlang0"/>
    <w:rsid w:val="0016133F"/>
    <w:pPr>
      <w:keepNext w:val="0"/>
      <w:keepLines w:val="0"/>
      <w:framePr w:wrap="auto"/>
      <w:spacing w:before="113" w:line="199" w:lineRule="exact"/>
      <w:jc w:val="both"/>
    </w:pPr>
    <w:rPr>
      <w:i w:val="0"/>
    </w:rPr>
  </w:style>
  <w:style w:type="paragraph" w:customStyle="1" w:styleId="Protcall0">
    <w:name w:val="Prot call"/>
    <w:basedOn w:val="Prottexte0"/>
    <w:next w:val="Prottexte0"/>
    <w:rsid w:val="0016133F"/>
    <w:pPr>
      <w:keepNext/>
      <w:keepLines/>
      <w:framePr w:wrap="auto" w:xAlign="left"/>
      <w:spacing w:before="170"/>
      <w:ind w:left="794"/>
      <w:jc w:val="left"/>
    </w:pPr>
    <w:rPr>
      <w:i/>
    </w:rPr>
  </w:style>
  <w:style w:type="character" w:styleId="PageNumber">
    <w:name w:val="page number"/>
    <w:basedOn w:val="DefaultParagraphFont"/>
    <w:rsid w:val="0016133F"/>
  </w:style>
  <w:style w:type="paragraph" w:customStyle="1" w:styleId="TableFin">
    <w:name w:val="Table_Fin"/>
    <w:basedOn w:val="Normal"/>
    <w:rsid w:val="0016133F"/>
    <w:pPr>
      <w:tabs>
        <w:tab w:val="clear" w:pos="1134"/>
      </w:tabs>
      <w:spacing w:before="0"/>
    </w:pPr>
    <w:rPr>
      <w:sz w:val="12"/>
    </w:rPr>
  </w:style>
  <w:style w:type="paragraph" w:customStyle="1" w:styleId="MEP">
    <w:name w:val="MEP"/>
    <w:basedOn w:val="Normal"/>
    <w:rsid w:val="0016133F"/>
  </w:style>
  <w:style w:type="paragraph" w:customStyle="1" w:styleId="head">
    <w:name w:val="head"/>
    <w:basedOn w:val="headfoot"/>
    <w:rsid w:val="0016133F"/>
  </w:style>
  <w:style w:type="paragraph" w:customStyle="1" w:styleId="foot">
    <w:name w:val="foot"/>
    <w:basedOn w:val="headfoot"/>
    <w:rsid w:val="0016133F"/>
  </w:style>
  <w:style w:type="character" w:customStyle="1" w:styleId="href">
    <w:name w:val="href"/>
    <w:basedOn w:val="DefaultParagraphFont"/>
    <w:rsid w:val="0016133F"/>
  </w:style>
  <w:style w:type="paragraph" w:customStyle="1" w:styleId="Section2">
    <w:name w:val="Section_2"/>
    <w:basedOn w:val="Section1"/>
    <w:rsid w:val="0016133F"/>
    <w:pPr>
      <w:jc w:val="left"/>
    </w:pPr>
    <w:rPr>
      <w:b w:val="0"/>
      <w:i/>
    </w:rPr>
  </w:style>
  <w:style w:type="paragraph" w:customStyle="1" w:styleId="Section3">
    <w:name w:val="Section_3"/>
    <w:basedOn w:val="Section1"/>
    <w:rsid w:val="0016133F"/>
    <w:rPr>
      <w:b w:val="0"/>
    </w:rPr>
  </w:style>
  <w:style w:type="paragraph" w:customStyle="1" w:styleId="EquationLegend">
    <w:name w:val="Equation_Legend"/>
    <w:basedOn w:val="NormalIndent"/>
    <w:rsid w:val="0016133F"/>
  </w:style>
  <w:style w:type="paragraph" w:customStyle="1" w:styleId="Call">
    <w:name w:val="Call"/>
    <w:basedOn w:val="Normal"/>
    <w:next w:val="Normal"/>
    <w:rsid w:val="0016133F"/>
    <w:pPr>
      <w:tabs>
        <w:tab w:val="clear" w:pos="1871"/>
        <w:tab w:val="clear" w:pos="2268"/>
      </w:tabs>
      <w:spacing w:before="360"/>
      <w:ind w:left="1134"/>
    </w:pPr>
    <w:rPr>
      <w:i/>
    </w:rPr>
  </w:style>
  <w:style w:type="paragraph" w:customStyle="1" w:styleId="Headingb">
    <w:name w:val="Heading b"/>
    <w:basedOn w:val="Heading3"/>
    <w:rsid w:val="0016133F"/>
    <w:pPr>
      <w:spacing w:before="400"/>
      <w:ind w:left="0" w:firstLine="0"/>
      <w:outlineLvl w:val="9"/>
    </w:pPr>
  </w:style>
  <w:style w:type="paragraph" w:customStyle="1" w:styleId="TableHead">
    <w:name w:val="Table_Head"/>
    <w:basedOn w:val="TableText"/>
    <w:next w:val="TableText"/>
    <w:rsid w:val="0016133F"/>
    <w:pPr>
      <w:spacing w:before="80" w:after="80"/>
      <w:jc w:val="center"/>
    </w:pPr>
    <w:rPr>
      <w:b/>
    </w:rPr>
  </w:style>
  <w:style w:type="paragraph" w:customStyle="1" w:styleId="Line">
    <w:name w:val="Line"/>
    <w:basedOn w:val="Normal"/>
    <w:next w:val="Normal"/>
    <w:rsid w:val="0016133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133F"/>
    <w:rPr>
      <w:b w:val="0"/>
      <w:i/>
    </w:rPr>
  </w:style>
  <w:style w:type="paragraph" w:styleId="TableofFigures">
    <w:name w:val="table of figures"/>
    <w:basedOn w:val="Normal"/>
    <w:next w:val="Normal"/>
    <w:semiHidden/>
    <w:rsid w:val="0016133F"/>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6133F"/>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6133F"/>
    <w:rPr>
      <w:sz w:val="16"/>
    </w:rPr>
  </w:style>
  <w:style w:type="paragraph" w:styleId="CommentText">
    <w:name w:val="annotation text"/>
    <w:basedOn w:val="Normal"/>
    <w:semiHidden/>
    <w:rsid w:val="0016133F"/>
    <w:rPr>
      <w:sz w:val="20"/>
      <w:lang w:val="fr-FR"/>
    </w:rPr>
  </w:style>
  <w:style w:type="paragraph" w:customStyle="1" w:styleId="Tabletext0">
    <w:name w:val="Table_text"/>
    <w:basedOn w:val="Normal"/>
    <w:rsid w:val="0016133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6133F"/>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6133F"/>
    <w:pPr>
      <w:keepNext/>
      <w:spacing w:before="80" w:after="80"/>
      <w:jc w:val="center"/>
    </w:pPr>
    <w:rPr>
      <w:b/>
    </w:rPr>
  </w:style>
  <w:style w:type="character" w:customStyle="1" w:styleId="Artrefdef">
    <w:name w:val="Art_ref_def"/>
    <w:basedOn w:val="DefaultParagraphFont"/>
    <w:rsid w:val="0016133F"/>
  </w:style>
  <w:style w:type="character" w:customStyle="1" w:styleId="Apprefdef">
    <w:name w:val="App_ref_def"/>
    <w:basedOn w:val="DefaultParagraphFont"/>
    <w:rsid w:val="0016133F"/>
  </w:style>
  <w:style w:type="character" w:customStyle="1" w:styleId="Resrefdef">
    <w:name w:val="Res_ref_def"/>
    <w:basedOn w:val="DefaultParagraphFont"/>
    <w:rsid w:val="0016133F"/>
  </w:style>
  <w:style w:type="paragraph" w:customStyle="1" w:styleId="HeaderRegProc">
    <w:name w:val="Header_RegProc"/>
    <w:basedOn w:val="Normal"/>
    <w:rsid w:val="0016133F"/>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6133F"/>
    <w:pPr>
      <w:tabs>
        <w:tab w:val="clear" w:pos="907"/>
        <w:tab w:val="left" w:pos="1814"/>
      </w:tabs>
      <w:spacing w:before="80"/>
      <w:ind w:left="1815"/>
    </w:pPr>
    <w:rPr>
      <w:lang w:val="fr-CH"/>
    </w:rPr>
  </w:style>
  <w:style w:type="character" w:customStyle="1" w:styleId="href2">
    <w:name w:val="href2"/>
    <w:basedOn w:val="href"/>
    <w:rsid w:val="0016133F"/>
  </w:style>
  <w:style w:type="character" w:customStyle="1" w:styleId="Style1">
    <w:name w:val="Style1"/>
    <w:basedOn w:val="DefaultParagraphFont"/>
    <w:rsid w:val="0016133F"/>
  </w:style>
  <w:style w:type="character" w:customStyle="1" w:styleId="Appdef">
    <w:name w:val="App_def"/>
    <w:basedOn w:val="DefaultParagraphFont"/>
    <w:rsid w:val="0016133F"/>
    <w:rPr>
      <w:b/>
      <w:color w:val="FFCC00"/>
    </w:rPr>
  </w:style>
  <w:style w:type="character" w:customStyle="1" w:styleId="Appref">
    <w:name w:val="App_ref"/>
    <w:basedOn w:val="DefaultParagraphFont"/>
    <w:rsid w:val="0016133F"/>
    <w:rPr>
      <w:color w:val="3366FF"/>
    </w:rPr>
  </w:style>
  <w:style w:type="character" w:customStyle="1" w:styleId="Artdef">
    <w:name w:val="Art_def"/>
    <w:basedOn w:val="DefaultParagraphFont"/>
    <w:rsid w:val="0016133F"/>
    <w:rPr>
      <w:b/>
      <w:color w:val="FFCC00"/>
    </w:rPr>
  </w:style>
  <w:style w:type="character" w:customStyle="1" w:styleId="Artref">
    <w:name w:val="Art_ref"/>
    <w:basedOn w:val="DefaultParagraphFont"/>
    <w:rsid w:val="0016133F"/>
    <w:rPr>
      <w:color w:val="3366FF"/>
    </w:rPr>
  </w:style>
  <w:style w:type="character" w:customStyle="1" w:styleId="Recdef">
    <w:name w:val="Rec_def"/>
    <w:basedOn w:val="DefaultParagraphFont"/>
    <w:rsid w:val="0016133F"/>
    <w:rPr>
      <w:b/>
      <w:color w:val="FFCC00"/>
    </w:rPr>
  </w:style>
  <w:style w:type="character" w:customStyle="1" w:styleId="Recref">
    <w:name w:val="Rec_ref"/>
    <w:basedOn w:val="DefaultParagraphFont"/>
    <w:rsid w:val="0016133F"/>
    <w:rPr>
      <w:color w:val="3366FF"/>
    </w:rPr>
  </w:style>
  <w:style w:type="character" w:customStyle="1" w:styleId="Resdef">
    <w:name w:val="Res_def"/>
    <w:basedOn w:val="DefaultParagraphFont"/>
    <w:rsid w:val="0016133F"/>
    <w:rPr>
      <w:b/>
      <w:color w:val="FFCC00"/>
    </w:rPr>
  </w:style>
  <w:style w:type="character" w:customStyle="1" w:styleId="Resref">
    <w:name w:val="Res_ref"/>
    <w:basedOn w:val="DefaultParagraphFont"/>
    <w:rsid w:val="0016133F"/>
    <w:rPr>
      <w:color w:val="3366FF"/>
    </w:rPr>
  </w:style>
  <w:style w:type="character" w:customStyle="1" w:styleId="Tableref0">
    <w:name w:val="Table_ref"/>
    <w:basedOn w:val="DefaultParagraphFont"/>
    <w:rsid w:val="0016133F"/>
    <w:rPr>
      <w:color w:val="3366FF"/>
    </w:rPr>
  </w:style>
  <w:style w:type="character" w:customStyle="1" w:styleId="Appref0">
    <w:name w:val="App#_ref"/>
    <w:basedOn w:val="DefaultParagraphFont"/>
    <w:rsid w:val="0016133F"/>
  </w:style>
  <w:style w:type="character" w:customStyle="1" w:styleId="Artref0">
    <w:name w:val="Art#_ref"/>
    <w:basedOn w:val="DefaultParagraphFont"/>
    <w:rsid w:val="0016133F"/>
  </w:style>
  <w:style w:type="character" w:customStyle="1" w:styleId="Resref0">
    <w:name w:val="Res#_ref"/>
    <w:basedOn w:val="DefaultParagraphFont"/>
    <w:rsid w:val="0016133F"/>
  </w:style>
  <w:style w:type="character" w:customStyle="1" w:styleId="FootnoteTextChar">
    <w:name w:val="Footnote Text Char"/>
    <w:basedOn w:val="DefaultParagraphFont"/>
    <w:link w:val="FootnoteText"/>
    <w:rsid w:val="00BF29F7"/>
    <w:rPr>
      <w:lang w:val="en-GB" w:eastAsia="en-US" w:bidi="ar-SA"/>
    </w:rPr>
  </w:style>
  <w:style w:type="paragraph" w:customStyle="1" w:styleId="Char">
    <w:name w:val="Char"/>
    <w:basedOn w:val="Normal"/>
    <w:rsid w:val="00BF29F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TabletitleBR">
    <w:name w:val="Table_title_BR"/>
    <w:basedOn w:val="Normal"/>
    <w:next w:val="Tablehead0"/>
    <w:rsid w:val="00232FB0"/>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table" w:styleId="TableGrid">
    <w:name w:val="Table Grid"/>
    <w:basedOn w:val="TableNormal"/>
    <w:rsid w:val="00232FB0"/>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title">
    <w:name w:val="Question_title"/>
    <w:basedOn w:val="Rectitle"/>
    <w:next w:val="Normal"/>
    <w:rsid w:val="00232FB0"/>
    <w:pPr>
      <w:tabs>
        <w:tab w:val="left" w:pos="794"/>
        <w:tab w:val="left" w:pos="1191"/>
        <w:tab w:val="left" w:pos="1588"/>
        <w:tab w:val="left" w:pos="1985"/>
      </w:tabs>
      <w:spacing w:before="360" w:after="0"/>
    </w:pPr>
    <w:rPr>
      <w:noProof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header" Target="header8.xml"/><Relationship Id="rId3" Type="http://schemas.openxmlformats.org/officeDocument/2006/relationships/settings" Target="settings.xml"/><Relationship Id="rId21" Type="http://schemas.openxmlformats.org/officeDocument/2006/relationships/header" Target="header11.xml"/><Relationship Id="rId7" Type="http://schemas.openxmlformats.org/officeDocument/2006/relationships/header" Target="header1.xml"/><Relationship Id="rId12" Type="http://schemas.openxmlformats.org/officeDocument/2006/relationships/oleObject" Target="embeddings/oleObject1.bin"/><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header" Target="header4.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 Id="rId22" Type="http://schemas.openxmlformats.org/officeDocument/2006/relationships/header" Target="head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96</TotalTime>
  <Pages>15</Pages>
  <Words>4477</Words>
  <Characters>25520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29938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GE06 du RR</dc:subject>
  <dc:creator>Composition des Publications</dc:creator>
  <cp:keywords>FOLIOS:  1  -  4</cp:keywords>
  <dc:description>Edition 2009:  10.02.2009/SdN_x000d_
Corr. 24.02.2009/DD  (dict. ok)_x000d_
Corr. ULT:  27.02.2009/DD _x000d_
</dc:description>
  <cp:lastModifiedBy>Al-Yammouni, Hala</cp:lastModifiedBy>
  <cp:revision>45</cp:revision>
  <cp:lastPrinted>2016-02-15T08:02:00Z</cp:lastPrinted>
  <dcterms:created xsi:type="dcterms:W3CDTF">2012-10-04T09:51:00Z</dcterms:created>
  <dcterms:modified xsi:type="dcterms:W3CDTF">2016-11-16T11:20:00Z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