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0BD" w:rsidRPr="00FF37B7" w:rsidRDefault="004060BD">
      <w:pPr>
        <w:pStyle w:val="Heading1"/>
        <w:spacing w:before="300"/>
        <w:jc w:val="center"/>
        <w:rPr>
          <w:color w:val="000000"/>
        </w:rPr>
      </w:pPr>
      <w:r w:rsidRPr="00FF37B7">
        <w:rPr>
          <w:color w:val="000000"/>
        </w:rPr>
        <w:t>Rules concerning</w:t>
      </w:r>
    </w:p>
    <w:p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rsidR="004060BD" w:rsidRPr="00FF37B7" w:rsidRDefault="004060BD">
      <w:pPr>
        <w:pStyle w:val="Heading8"/>
        <w:rPr>
          <w:color w:val="000000"/>
        </w:rPr>
      </w:pPr>
      <w:r w:rsidRPr="00FF37B7">
        <w:rPr>
          <w:rStyle w:val="href2"/>
          <w:color w:val="000000"/>
        </w:rPr>
        <w:t>5</w:t>
      </w:r>
      <w:r w:rsidRPr="00FF37B7">
        <w:rPr>
          <w:color w:val="000000"/>
        </w:rPr>
        <w:t>.33</w:t>
      </w:r>
    </w:p>
    <w:p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rsidR="004060BD" w:rsidRPr="00FF37B7" w:rsidRDefault="004060BD">
      <w:pPr>
        <w:pStyle w:val="Heading8"/>
        <w:rPr>
          <w:color w:val="000000"/>
        </w:rPr>
      </w:pPr>
      <w:r w:rsidRPr="00FF37B7">
        <w:rPr>
          <w:color w:val="000000"/>
        </w:rPr>
        <w:t>5.36</w:t>
      </w:r>
    </w:p>
    <w:p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“subject to agreement obtained under the procedure set forth in No. </w:t>
      </w:r>
      <w:r w:rsidRPr="00FF37B7">
        <w:rPr>
          <w:rStyle w:val="Artref"/>
          <w:b/>
          <w:bCs/>
          <w:color w:val="000000"/>
        </w:rPr>
        <w:t>9.21</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“If restrictions are imposed on an additional allocation ... this is indicated in the footnote of the Table”.</w:t>
      </w:r>
    </w:p>
    <w:p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rsidR="004060BD" w:rsidRPr="00FF37B7" w:rsidRDefault="004060BD">
      <w:pPr>
        <w:pStyle w:val="Heading8"/>
        <w:rPr>
          <w:color w:val="000000"/>
        </w:rPr>
      </w:pPr>
      <w:r w:rsidRPr="00FF37B7">
        <w:rPr>
          <w:color w:val="000000"/>
        </w:rPr>
        <w:t>5.40</w:t>
      </w:r>
    </w:p>
    <w:p w:rsidR="004060BD" w:rsidRPr="00FF37B7"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rsidR="004060BD" w:rsidRPr="00FF37B7" w:rsidRDefault="00FE282F">
      <w:pPr>
        <w:pStyle w:val="Heading8"/>
        <w:rPr>
          <w:color w:val="000000"/>
        </w:rPr>
      </w:pPr>
      <w:r w:rsidRPr="00FF37B7">
        <w:rPr>
          <w:color w:val="000000"/>
        </w:rPr>
        <w:br w:type="page"/>
      </w:r>
      <w:r w:rsidR="004060BD" w:rsidRPr="00FF37B7">
        <w:rPr>
          <w:color w:val="000000"/>
        </w:rPr>
        <w:lastRenderedPageBreak/>
        <w:t>5.43</w:t>
      </w:r>
    </w:p>
    <w:p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rsidR="0002351C" w:rsidRPr="00FF37B7" w:rsidRDefault="0002351C" w:rsidP="0002351C">
      <w:pPr>
        <w:pStyle w:val="Heading8"/>
        <w:rPr>
          <w:color w:val="000000"/>
        </w:rPr>
      </w:pPr>
      <w:r w:rsidRPr="00FF37B7">
        <w:rPr>
          <w:color w:val="000000"/>
        </w:rPr>
        <w:t>5.43A</w:t>
      </w:r>
    </w:p>
    <w:p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rsidR="004060BD" w:rsidRPr="00FF37B7" w:rsidRDefault="004060BD">
      <w:pPr>
        <w:pStyle w:val="Heading8"/>
        <w:rPr>
          <w:color w:val="000000"/>
        </w:rPr>
      </w:pPr>
      <w:r w:rsidRPr="00FF37B7">
        <w:rPr>
          <w:color w:val="000000"/>
        </w:rPr>
        <w:t>5.49</w:t>
      </w:r>
    </w:p>
    <w:p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rsidR="004060BD" w:rsidRPr="00FF37B7" w:rsidRDefault="004060BD">
      <w:pPr>
        <w:pStyle w:val="Heading8"/>
        <w:rPr>
          <w:color w:val="000000"/>
        </w:rPr>
      </w:pPr>
      <w:r w:rsidRPr="00FF37B7">
        <w:rPr>
          <w:color w:val="000000"/>
        </w:rPr>
        <w:t>5.73</w:t>
      </w:r>
    </w:p>
    <w:p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rsidR="004060BD" w:rsidRPr="00FF37B7"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rsidR="00B83E5F" w:rsidRDefault="00B83E5F">
      <w:pPr>
        <w:pStyle w:val="Heading8"/>
        <w:rPr>
          <w:color w:val="000000"/>
        </w:rPr>
        <w:sectPr w:rsidR="00B83E5F" w:rsidSect="00FE282F">
          <w:headerReference w:type="even" r:id="rId8"/>
          <w:headerReference w:type="default" r:id="rId9"/>
          <w:footerReference w:type="even" r:id="rId10"/>
          <w:footerReference w:type="default" r:id="rId11"/>
          <w:footnotePr>
            <w:pos w:val="beneathText"/>
          </w:footnotePr>
          <w:type w:val="oddPage"/>
          <w:pgSz w:w="11907" w:h="16840" w:code="9"/>
          <w:pgMar w:top="1701" w:right="851" w:bottom="1134" w:left="1985" w:header="720" w:footer="482" w:gutter="0"/>
          <w:cols w:space="720"/>
          <w:vAlign w:val="both"/>
        </w:sectPr>
      </w:pPr>
    </w:p>
    <w:p w:rsidR="004060BD" w:rsidRPr="00FF37B7" w:rsidRDefault="004060BD" w:rsidP="00905A68">
      <w:pPr>
        <w:pStyle w:val="Heading8"/>
        <w:rPr>
          <w:color w:val="000000"/>
        </w:rPr>
      </w:pPr>
      <w:r w:rsidRPr="00FF37B7">
        <w:rPr>
          <w:color w:val="000000"/>
        </w:rPr>
        <w:lastRenderedPageBreak/>
        <w:t>5.1</w:t>
      </w:r>
      <w:r w:rsidR="00B83E5F">
        <w:rPr>
          <w:color w:val="000000"/>
        </w:rPr>
        <w:t>32A</w:t>
      </w:r>
      <w:r w:rsidR="00B83E5F">
        <w:rPr>
          <w:color w:val="000000"/>
        </w:rPr>
        <w:tab/>
      </w:r>
      <w:r w:rsidR="00B83E5F">
        <w:rPr>
          <w:color w:val="000000"/>
        </w:rPr>
        <w:tab/>
      </w:r>
      <w:r w:rsidR="00B83E5F" w:rsidRPr="00B83E5F">
        <w:rPr>
          <w:b w:val="0"/>
          <w:bCs/>
          <w:color w:val="000000"/>
          <w:sz w:val="16"/>
          <w:szCs w:val="16"/>
        </w:rPr>
        <w:t>(ADD RRB1</w:t>
      </w:r>
      <w:r w:rsidR="00905A68">
        <w:rPr>
          <w:b w:val="0"/>
          <w:bCs/>
          <w:color w:val="000000"/>
          <w:sz w:val="16"/>
          <w:szCs w:val="16"/>
        </w:rPr>
        <w:t>3</w:t>
      </w:r>
      <w:r w:rsidR="00B83E5F" w:rsidRPr="00B83E5F">
        <w:rPr>
          <w:b w:val="0"/>
          <w:bCs/>
          <w:color w:val="000000"/>
          <w:sz w:val="16"/>
          <w:szCs w:val="16"/>
        </w:rPr>
        <w:t>/</w:t>
      </w:r>
      <w:r w:rsidR="00905A68">
        <w:rPr>
          <w:b w:val="0"/>
          <w:bCs/>
          <w:color w:val="000000"/>
          <w:sz w:val="16"/>
          <w:szCs w:val="16"/>
        </w:rPr>
        <w:t>64</w:t>
      </w:r>
      <w:r w:rsidR="00B83E5F" w:rsidRPr="00B83E5F">
        <w:rPr>
          <w:b w:val="0"/>
          <w:bCs/>
          <w:color w:val="000000"/>
          <w:sz w:val="16"/>
          <w:szCs w:val="16"/>
        </w:rPr>
        <w:t>)</w:t>
      </w:r>
    </w:p>
    <w:p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r w:rsidRPr="00326947">
        <w:t>enters into the category “the other provisions” referred to in Nos. 11.31 and is subject to examinations by the Bureau.</w:t>
      </w:r>
    </w:p>
    <w:p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“rural” and “quiet rural” areas for the land, sea or mixed propagation paths,</w:t>
      </w:r>
      <w:r w:rsidR="006718B9">
        <w:rPr>
          <w:lang w:eastAsia="zh-CN"/>
        </w:rPr>
        <w:t xml:space="preserve"> </w:t>
      </w:r>
      <w:r w:rsidRPr="00326947">
        <w:rPr>
          <w:lang w:eastAsia="zh-CN"/>
        </w:rPr>
        <w:t>unless prior explicit agreements from affected administrations are obtained. Concerning “rural” and “quiet rural” areas, t</w:t>
      </w:r>
      <w:r w:rsidRPr="00326947">
        <w:t>he Bureau has no means to identify whether emissions from oceanographic</w:t>
      </w:r>
      <w:r w:rsidRPr="00326947">
        <w:rPr>
          <w:lang w:eastAsia="zh-CN"/>
        </w:rPr>
        <w:t xml:space="preserve"> radars reach a “rural” or “quiet rural” area at the border of another country since the Bureau does</w:t>
      </w:r>
      <w:r w:rsidRPr="00326947">
        <w:t xml:space="preserve"> not have the relevant topographical data to determine these areas. </w:t>
      </w:r>
    </w:p>
    <w:p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rsidR="00B83E5F" w:rsidRPr="00FF37B7" w:rsidRDefault="00B83E5F" w:rsidP="00905A68">
      <w:pPr>
        <w:pStyle w:val="Heading8"/>
        <w:rPr>
          <w:color w:val="000000"/>
        </w:rPr>
      </w:pPr>
      <w:r w:rsidRPr="00FF37B7">
        <w:rPr>
          <w:color w:val="000000"/>
        </w:rPr>
        <w:t>5.14</w:t>
      </w:r>
      <w:r>
        <w:rPr>
          <w:color w:val="000000"/>
        </w:rPr>
        <w:t>5A</w:t>
      </w:r>
      <w:r>
        <w:rPr>
          <w:color w:val="000000"/>
        </w:rPr>
        <w:tab/>
      </w:r>
      <w:r>
        <w:rPr>
          <w:color w:val="000000"/>
        </w:rPr>
        <w:tab/>
      </w:r>
      <w:r w:rsidRPr="00B83E5F">
        <w:rPr>
          <w:b w:val="0"/>
          <w:bCs/>
          <w:color w:val="000000"/>
          <w:sz w:val="16"/>
          <w:szCs w:val="16"/>
        </w:rPr>
        <w:t>(ADD RRB1</w:t>
      </w:r>
      <w:r w:rsidR="00905A68">
        <w:rPr>
          <w:b w:val="0"/>
          <w:bCs/>
          <w:color w:val="000000"/>
          <w:sz w:val="16"/>
          <w:szCs w:val="16"/>
        </w:rPr>
        <w:t>3</w:t>
      </w:r>
      <w:r w:rsidRPr="00B83E5F">
        <w:rPr>
          <w:b w:val="0"/>
          <w:bCs/>
          <w:color w:val="000000"/>
          <w:sz w:val="16"/>
          <w:szCs w:val="16"/>
        </w:rPr>
        <w:t>/</w:t>
      </w:r>
      <w:r w:rsidR="00905A68">
        <w:rPr>
          <w:b w:val="0"/>
          <w:bCs/>
          <w:color w:val="000000"/>
          <w:sz w:val="16"/>
          <w:szCs w:val="16"/>
        </w:rPr>
        <w:t>64</w:t>
      </w:r>
      <w:r w:rsidRPr="00B83E5F">
        <w:rPr>
          <w:b w:val="0"/>
          <w:bCs/>
          <w:color w:val="000000"/>
          <w:sz w:val="16"/>
          <w:szCs w:val="16"/>
        </w:rPr>
        <w:t>)</w:t>
      </w:r>
    </w:p>
    <w:p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rsidR="00B83E5F" w:rsidRPr="00FF37B7" w:rsidRDefault="00B83E5F" w:rsidP="00B83E5F">
      <w:pPr>
        <w:pStyle w:val="Heading8"/>
        <w:rPr>
          <w:color w:val="000000"/>
        </w:rPr>
      </w:pPr>
      <w:r w:rsidRPr="00FF37B7">
        <w:rPr>
          <w:color w:val="000000"/>
        </w:rPr>
        <w:t>5.149</w:t>
      </w:r>
    </w:p>
    <w:p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rsidR="00B83E5F" w:rsidRPr="00FF37B7" w:rsidRDefault="00B83E5F" w:rsidP="0054520D">
      <w:pPr>
        <w:pStyle w:val="Heading8"/>
        <w:rPr>
          <w:color w:val="000000"/>
        </w:rPr>
      </w:pPr>
      <w:r w:rsidRPr="00FF37B7">
        <w:rPr>
          <w:color w:val="000000"/>
        </w:rPr>
        <w:t>5.1</w:t>
      </w:r>
      <w:r>
        <w:rPr>
          <w:color w:val="000000"/>
        </w:rPr>
        <w:t>61A</w:t>
      </w:r>
      <w:r>
        <w:rPr>
          <w:color w:val="000000"/>
        </w:rPr>
        <w:tab/>
      </w:r>
      <w:r>
        <w:rPr>
          <w:color w:val="000000"/>
        </w:rPr>
        <w:tab/>
      </w:r>
      <w:r w:rsidRPr="00B83E5F">
        <w:rPr>
          <w:b w:val="0"/>
          <w:bCs/>
          <w:color w:val="000000"/>
          <w:sz w:val="16"/>
          <w:szCs w:val="16"/>
        </w:rPr>
        <w:t>(ADD RRB1</w:t>
      </w:r>
      <w:r w:rsidR="0054520D">
        <w:rPr>
          <w:b w:val="0"/>
          <w:bCs/>
          <w:color w:val="000000"/>
          <w:sz w:val="16"/>
          <w:szCs w:val="16"/>
        </w:rPr>
        <w:t>3</w:t>
      </w:r>
      <w:r w:rsidRPr="00B83E5F">
        <w:rPr>
          <w:b w:val="0"/>
          <w:bCs/>
          <w:color w:val="000000"/>
          <w:sz w:val="16"/>
          <w:szCs w:val="16"/>
        </w:rPr>
        <w:t>/</w:t>
      </w:r>
      <w:r w:rsidR="0054520D">
        <w:rPr>
          <w:b w:val="0"/>
          <w:bCs/>
          <w:color w:val="000000"/>
          <w:sz w:val="16"/>
          <w:szCs w:val="16"/>
        </w:rPr>
        <w:t>64</w:t>
      </w:r>
      <w:r w:rsidRPr="00B83E5F">
        <w:rPr>
          <w:b w:val="0"/>
          <w:bCs/>
          <w:color w:val="000000"/>
          <w:sz w:val="16"/>
          <w:szCs w:val="16"/>
        </w:rPr>
        <w:t>)</w:t>
      </w:r>
    </w:p>
    <w:p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rsidR="00B83E5F" w:rsidRDefault="00B83E5F" w:rsidP="000513A2">
      <w:pPr>
        <w:pStyle w:val="Heading8"/>
      </w:pPr>
      <w:r>
        <w:br w:type="page"/>
      </w:r>
    </w:p>
    <w:p w:rsidR="004060BD" w:rsidRPr="00FF37B7" w:rsidRDefault="004060BD" w:rsidP="000513A2">
      <w:pPr>
        <w:pStyle w:val="Heading8"/>
      </w:pPr>
      <w:r w:rsidRPr="00FF37B7">
        <w:lastRenderedPageBreak/>
        <w:t>5.164</w:t>
      </w:r>
    </w:p>
    <w:p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rsidR="004060BD" w:rsidRPr="00FF37B7" w:rsidRDefault="004060BD">
      <w:pPr>
        <w:pStyle w:val="enumlev1"/>
        <w:rPr>
          <w:color w:val="000000"/>
        </w:rPr>
      </w:pPr>
      <w:r w:rsidRPr="00FF37B7">
        <w:rPr>
          <w:color w:val="000000"/>
        </w:rPr>
        <w:t>–</w:t>
      </w:r>
      <w:r w:rsidRPr="00FF37B7">
        <w:rPr>
          <w:color w:val="000000"/>
        </w:rPr>
        <w:tab/>
        <w:t>etc.</w:t>
      </w:r>
    </w:p>
    <w:p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rsidR="004060BD" w:rsidRPr="00FF37B7" w:rsidRDefault="004060BD">
      <w:pPr>
        <w:pStyle w:val="Heading8"/>
        <w:rPr>
          <w:color w:val="000000"/>
        </w:rPr>
      </w:pPr>
      <w:r w:rsidRPr="00FF37B7">
        <w:rPr>
          <w:color w:val="000000"/>
        </w:rPr>
        <w:t>5.172</w:t>
      </w:r>
    </w:p>
    <w:p w:rsidR="000258DE" w:rsidRPr="00FF37B7" w:rsidRDefault="000258DE" w:rsidP="001106F3">
      <w:r w:rsidRPr="00FF37B7">
        <w:t>The French overseas departments and communities in Region 2 are the following geographical areas:</w:t>
      </w:r>
    </w:p>
    <w:p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rsidR="00B83E5F" w:rsidRDefault="00B83E5F" w:rsidP="001106F3">
      <w:pPr>
        <w:pStyle w:val="enumlev1"/>
      </w:pPr>
    </w:p>
    <w:p w:rsidR="00B83E5F" w:rsidRPr="00FF37B7" w:rsidRDefault="00B83E5F" w:rsidP="001106F3">
      <w:pPr>
        <w:pStyle w:val="enumlev1"/>
        <w:rPr>
          <w:color w:val="000000"/>
        </w:rPr>
      </w:pPr>
    </w:p>
    <w:p w:rsidR="00B83E5F" w:rsidRDefault="00B83E5F" w:rsidP="000513A2">
      <w:pPr>
        <w:pStyle w:val="Heading8"/>
        <w:rPr>
          <w:color w:val="000000"/>
        </w:rPr>
        <w:sectPr w:rsidR="00B83E5F" w:rsidSect="00B83E5F">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0513A2" w:rsidRPr="00FF37B7" w:rsidRDefault="000513A2" w:rsidP="000513A2">
      <w:pPr>
        <w:pStyle w:val="Heading8"/>
        <w:rPr>
          <w:color w:val="000000"/>
        </w:rPr>
      </w:pPr>
      <w:r w:rsidRPr="00FF37B7">
        <w:rPr>
          <w:color w:val="000000"/>
        </w:rPr>
        <w:lastRenderedPageBreak/>
        <w:t>5.233</w:t>
      </w:r>
    </w:p>
    <w:p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rsidR="004060BD" w:rsidRPr="00FF37B7"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rsidR="004060BD" w:rsidRPr="00FF37B7" w:rsidRDefault="004060BD">
      <w:pPr>
        <w:pStyle w:val="Heading8"/>
        <w:rPr>
          <w:color w:val="000000"/>
        </w:rPr>
      </w:pPr>
      <w:r w:rsidRPr="00FF37B7">
        <w:rPr>
          <w:color w:val="000000"/>
        </w:rPr>
        <w:t>5.257</w:t>
      </w:r>
    </w:p>
    <w:p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rsidR="004060BD" w:rsidRPr="00FF37B7" w:rsidRDefault="004060BD">
      <w:pPr>
        <w:rPr>
          <w:color w:val="000000"/>
        </w:rPr>
      </w:pPr>
      <w:r w:rsidRPr="00FF37B7">
        <w:rPr>
          <w:color w:val="000000"/>
        </w:rPr>
        <w:t>2</w:t>
      </w:r>
      <w:r w:rsidRPr="00FF37B7">
        <w:rPr>
          <w:color w:val="000000"/>
        </w:rPr>
        <w:tab/>
        <w:t>The qualification “in their countries” can be easily checked when an earth station is concerned, but it is unclear for a space station. The Board considers that this provision will apply to those space stations having a service area mainly limited to the territory of the notifying administration.</w:t>
      </w:r>
    </w:p>
    <w:p w:rsidR="004060BD" w:rsidRPr="00FF37B7" w:rsidRDefault="004060BD">
      <w:pPr>
        <w:pStyle w:val="Heading8"/>
        <w:rPr>
          <w:color w:val="000000"/>
        </w:rPr>
      </w:pPr>
      <w:r w:rsidRPr="00FF37B7">
        <w:rPr>
          <w:color w:val="000000"/>
        </w:rPr>
        <w:t>5.281</w:t>
      </w:r>
    </w:p>
    <w:p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rsidR="004060BD" w:rsidRPr="00FF37B7" w:rsidRDefault="004060BD">
      <w:pPr>
        <w:pStyle w:val="Heading8"/>
        <w:rPr>
          <w:color w:val="000000"/>
        </w:rPr>
      </w:pPr>
      <w:r w:rsidRPr="00FF37B7">
        <w:rPr>
          <w:color w:val="000000"/>
        </w:rPr>
        <w:t>5.291</w:t>
      </w:r>
    </w:p>
    <w:p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rsidR="00BB7A92" w:rsidRDefault="00BB7A92" w:rsidP="000258DE">
      <w:pPr>
        <w:pStyle w:val="Heading8"/>
        <w:rPr>
          <w:color w:val="000000"/>
        </w:rPr>
        <w:sectPr w:rsidR="00BB7A92" w:rsidSect="007F5A11">
          <w:headerReference w:type="even" r:id="rId14"/>
          <w:headerReference w:type="default" r:id="rId15"/>
          <w:footnotePr>
            <w:pos w:val="beneathText"/>
          </w:footnotePr>
          <w:pgSz w:w="11907" w:h="16840" w:code="9"/>
          <w:pgMar w:top="1701" w:right="851" w:bottom="1134" w:left="1985" w:header="720" w:footer="482" w:gutter="0"/>
          <w:pgNumType w:start="4"/>
          <w:cols w:space="720"/>
          <w:vAlign w:val="both"/>
        </w:sectPr>
      </w:pPr>
    </w:p>
    <w:p w:rsidR="00675DFA" w:rsidRDefault="00675DFA" w:rsidP="00675DFA">
      <w:pPr>
        <w:pStyle w:val="Heading8"/>
        <w:spacing w:before="0"/>
        <w:rPr>
          <w:color w:val="000000"/>
        </w:rPr>
      </w:pPr>
      <w:r w:rsidRPr="00EF3CF1">
        <w:rPr>
          <w:color w:val="000000"/>
        </w:rPr>
        <w:lastRenderedPageBreak/>
        <w:t>5.31</w:t>
      </w:r>
      <w:r>
        <w:rPr>
          <w:color w:val="000000"/>
        </w:rPr>
        <w:t>2A</w:t>
      </w:r>
      <w:r>
        <w:rPr>
          <w:color w:val="000000"/>
        </w:rPr>
        <w:tab/>
      </w:r>
      <w:r>
        <w:rPr>
          <w:color w:val="000000"/>
        </w:rPr>
        <w:tab/>
      </w:r>
      <w:r w:rsidRPr="00B83E5F">
        <w:rPr>
          <w:b w:val="0"/>
          <w:bCs/>
          <w:color w:val="000000"/>
          <w:sz w:val="16"/>
          <w:szCs w:val="16"/>
        </w:rPr>
        <w:t>(</w:t>
      </w:r>
      <w:r w:rsidRPr="009D565B">
        <w:rPr>
          <w:b w:val="0"/>
          <w:bCs/>
          <w:sz w:val="16"/>
          <w:szCs w:val="16"/>
        </w:rPr>
        <w:t>ADD RRB1</w:t>
      </w:r>
      <w:r>
        <w:rPr>
          <w:b w:val="0"/>
          <w:bCs/>
          <w:sz w:val="16"/>
          <w:szCs w:val="16"/>
        </w:rPr>
        <w:t>7</w:t>
      </w:r>
      <w:r w:rsidRPr="009D565B">
        <w:rPr>
          <w:b w:val="0"/>
          <w:bCs/>
          <w:sz w:val="16"/>
          <w:szCs w:val="16"/>
        </w:rPr>
        <w:t>/</w:t>
      </w:r>
      <w:r>
        <w:rPr>
          <w:b w:val="0"/>
          <w:bCs/>
          <w:sz w:val="16"/>
          <w:szCs w:val="16"/>
        </w:rPr>
        <w:t>74</w:t>
      </w:r>
      <w:r w:rsidRPr="00B83E5F">
        <w:rPr>
          <w:b w:val="0"/>
          <w:bCs/>
          <w:color w:val="000000"/>
          <w:sz w:val="16"/>
          <w:szCs w:val="16"/>
        </w:rPr>
        <w:t>)</w:t>
      </w:r>
    </w:p>
    <w:p w:rsidR="00675DFA" w:rsidRPr="00675DFA" w:rsidRDefault="00675DFA" w:rsidP="00B646B2">
      <w:r w:rsidRPr="00675DFA">
        <w:t>1</w:t>
      </w:r>
      <w:r w:rsidRPr="00675DFA">
        <w:tab/>
        <w:t xml:space="preserve">This provision stipulates through Resolution </w:t>
      </w:r>
      <w:r w:rsidRPr="00675DFA">
        <w:rPr>
          <w:b/>
          <w:bCs/>
        </w:rPr>
        <w:t>760 (WRC-15)</w:t>
      </w:r>
      <w:r w:rsidRPr="00675DFA">
        <w:t xml:space="preserve"> that in Region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w:t>
      </w:r>
      <w:bookmarkStart w:id="0" w:name="_GoBack"/>
      <w:bookmarkEnd w:id="0"/>
      <w:r w:rsidRPr="00675DFA">
        <w:t xml:space="preserve">ioned in No. </w:t>
      </w:r>
      <w:r w:rsidRPr="00675DFA">
        <w:rPr>
          <w:b/>
          <w:bCs/>
        </w:rPr>
        <w:t>5.312</w:t>
      </w:r>
      <w:r w:rsidRPr="00675DFA">
        <w:t xml:space="preserve">. </w:t>
      </w:r>
    </w:p>
    <w:p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(WRC-15)</w:t>
      </w:r>
      <w:r w:rsidRPr="00675DFA">
        <w:t xml:space="preserve"> in the form of coordination distances with the most stringent value of a 450 km distance between a base station in the mobile service and a potentially affected station in the aeronautical radionavigation service. </w:t>
      </w:r>
    </w:p>
    <w:p w:rsidR="00675DFA" w:rsidRPr="00675DFA" w:rsidRDefault="00675DFA" w:rsidP="00675DFA">
      <w:pPr>
        <w:rPr>
          <w:b/>
          <w:bCs/>
        </w:rPr>
      </w:pPr>
      <w:r w:rsidRPr="00675DFA">
        <w:t>3.</w:t>
      </w:r>
      <w:r w:rsidRPr="00675DFA">
        <w:tab/>
        <w:t xml:space="preserve">Taking into account that No. </w:t>
      </w:r>
      <w:r w:rsidRPr="00675DFA">
        <w:rPr>
          <w:b/>
          <w:bCs/>
        </w:rPr>
        <w:t xml:space="preserve">5.312 </w:t>
      </w:r>
      <w:r w:rsidRPr="00675DFA">
        <w:t>contains only a few countries</w:t>
      </w:r>
      <w:r w:rsidRPr="00675DFA">
        <w:rPr>
          <w:b/>
          <w:bCs/>
        </w:rPr>
        <w:t xml:space="preserve"> </w:t>
      </w:r>
      <w:r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675DFA">
        <w:rPr>
          <w:b/>
          <w:bCs/>
        </w:rPr>
        <w:t>5.312</w:t>
      </w:r>
      <w:r w:rsidRPr="00675DFA">
        <w:t xml:space="preserve"> do not need to apply the No. </w:t>
      </w:r>
      <w:r w:rsidRPr="00675DFA">
        <w:rPr>
          <w:b/>
          <w:bCs/>
        </w:rPr>
        <w:t>9.21</w:t>
      </w:r>
      <w:r w:rsidRPr="00675DFA">
        <w:t xml:space="preserve"> procedure to their mobile service assignments operating under No. </w:t>
      </w:r>
      <w:r w:rsidRPr="00675DFA">
        <w:rPr>
          <w:b/>
          <w:bCs/>
        </w:rPr>
        <w:t>5.312A</w:t>
      </w:r>
      <w:r w:rsidRPr="00675DFA">
        <w:t>.</w:t>
      </w:r>
      <w:r w:rsidRPr="00675DFA">
        <w:rPr>
          <w:b/>
          <w:bCs/>
        </w:rPr>
        <w:t xml:space="preserve"> </w:t>
      </w:r>
    </w:p>
    <w:p w:rsidR="00675DFA" w:rsidRDefault="00675DFA" w:rsidP="00675DFA">
      <w:r w:rsidRPr="00675DFA">
        <w:t>4.</w:t>
      </w:r>
      <w:r w:rsidRPr="00675DFA">
        <w:tab/>
        <w:t xml:space="preserve">Administrations having territories within a distance of 450 km from the countries listed in No. </w:t>
      </w:r>
      <w:r w:rsidRPr="00675DFA">
        <w:rPr>
          <w:b/>
          <w:bCs/>
        </w:rPr>
        <w:t>5.312</w:t>
      </w:r>
      <w:r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rsidR="00675DFA" w:rsidRDefault="00675DFA" w:rsidP="00675DFA"/>
    <w:p w:rsidR="00675DFA" w:rsidRDefault="00675DFA" w:rsidP="00675DFA"/>
    <w:p w:rsidR="00675DFA" w:rsidRDefault="00675DFA" w:rsidP="00675DFA"/>
    <w:p w:rsidR="00675DFA" w:rsidRDefault="00675DFA" w:rsidP="00675DFA"/>
    <w:p w:rsidR="00675DFA" w:rsidRDefault="00675DFA" w:rsidP="00675DFA"/>
    <w:p w:rsidR="00675DFA" w:rsidRDefault="00675DFA" w:rsidP="00675DFA"/>
    <w:p w:rsidR="00675DFA" w:rsidRDefault="00675DFA" w:rsidP="00675DFA">
      <w:pPr>
        <w:sectPr w:rsidR="00675DFA" w:rsidSect="00BB7A92">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EF3CF1" w:rsidRDefault="00EF3CF1" w:rsidP="009D565B">
      <w:pPr>
        <w:pStyle w:val="Heading8"/>
        <w:spacing w:before="0"/>
        <w:rPr>
          <w:color w:val="000000"/>
        </w:rPr>
      </w:pPr>
      <w:r w:rsidRPr="00EF3CF1">
        <w:rPr>
          <w:color w:val="000000"/>
        </w:rPr>
        <w:lastRenderedPageBreak/>
        <w:t>5.316B</w:t>
      </w:r>
      <w:r>
        <w:rPr>
          <w:color w:val="000000"/>
        </w:rPr>
        <w:tab/>
      </w:r>
      <w:r>
        <w:rPr>
          <w:color w:val="000000"/>
        </w:rPr>
        <w:tab/>
      </w:r>
      <w:r w:rsidR="00EA7516" w:rsidRPr="00B83E5F">
        <w:rPr>
          <w:b w:val="0"/>
          <w:bCs/>
          <w:color w:val="000000"/>
          <w:sz w:val="16"/>
          <w:szCs w:val="16"/>
        </w:rPr>
        <w:t>(</w:t>
      </w:r>
      <w:r w:rsidR="00EA7516" w:rsidRPr="009D565B">
        <w:rPr>
          <w:b w:val="0"/>
          <w:bCs/>
          <w:sz w:val="16"/>
          <w:szCs w:val="16"/>
        </w:rPr>
        <w:t>ADD RRB16/</w:t>
      </w:r>
      <w:r w:rsidR="009D565B" w:rsidRPr="009D565B">
        <w:rPr>
          <w:b w:val="0"/>
          <w:bCs/>
          <w:sz w:val="16"/>
          <w:szCs w:val="16"/>
        </w:rPr>
        <w:t>58</w:t>
      </w:r>
      <w:r w:rsidR="00EA7516" w:rsidRPr="00B83E5F">
        <w:rPr>
          <w:b w:val="0"/>
          <w:bCs/>
          <w:color w:val="000000"/>
          <w:sz w:val="16"/>
          <w:szCs w:val="16"/>
        </w:rPr>
        <w:t>)</w:t>
      </w:r>
    </w:p>
    <w:p w:rsidR="00EF3CF1" w:rsidRPr="00EF3CF1" w:rsidRDefault="00EF3CF1" w:rsidP="00EF3CF1">
      <w:r w:rsidRPr="00EF3CF1">
        <w:t>1</w:t>
      </w:r>
      <w:r w:rsidRPr="00EF3CF1">
        <w:tab/>
        <w:t xml:space="preserve">This provision stipulates, </w:t>
      </w:r>
      <w:r w:rsidRPr="00EF3CF1">
        <w:rPr>
          <w:i/>
          <w:iCs/>
        </w:rPr>
        <w:t>inter alia</w:t>
      </w:r>
      <w:r w:rsidRPr="00EF3CF1">
        <w:t xml:space="preserve">, that in Region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rsidR="00EF3CF1" w:rsidRPr="00EF3CF1" w:rsidRDefault="00EF3CF1" w:rsidP="00EF3CF1">
      <w:r w:rsidRPr="00EF3CF1">
        <w:t>2</w:t>
      </w:r>
      <w:r w:rsidRPr="00EF3CF1">
        <w:tab/>
        <w:t xml:space="preserve">The criteria for identifying potentially affected administrations under No. </w:t>
      </w:r>
      <w:r w:rsidRPr="00EF3CF1">
        <w:rPr>
          <w:b/>
          <w:bCs/>
        </w:rPr>
        <w:t>9.21</w:t>
      </w:r>
      <w:r w:rsidRPr="00EF3CF1">
        <w:t xml:space="preserve"> in this band are given in Annex I to Resolution </w:t>
      </w:r>
      <w:r w:rsidRPr="00EF3CF1">
        <w:rPr>
          <w:b/>
          <w:bCs/>
        </w:rPr>
        <w:t>749 (Rev. WRC-12)</w:t>
      </w:r>
      <w:r w:rsidRPr="00EF3CF1">
        <w:t xml:space="preserve"> in the form of coordination distances with the most stringent value of a 450 km distance between a base station in the mobile service and a potentially affected station in the aeronautical radionavigation service. </w:t>
      </w:r>
    </w:p>
    <w:p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rsidR="000258DE" w:rsidRPr="00FF37B7" w:rsidRDefault="000258DE" w:rsidP="000258DE">
      <w:pPr>
        <w:pStyle w:val="Heading8"/>
        <w:rPr>
          <w:color w:val="000000"/>
        </w:rPr>
      </w:pPr>
      <w:r w:rsidRPr="00FF37B7">
        <w:rPr>
          <w:color w:val="000000"/>
        </w:rPr>
        <w:t>5.327A</w:t>
      </w:r>
    </w:p>
    <w:p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view point of its conformity with this provision. </w:t>
      </w:r>
      <w:r w:rsidR="00DF54E0">
        <w:t xml:space="preserve">    </w:t>
      </w:r>
      <w:r w:rsidR="00DF54E0">
        <w:rPr>
          <w:sz w:val="16"/>
          <w:szCs w:val="16"/>
        </w:rPr>
        <w:t>(MOD RRB12/</w:t>
      </w:r>
      <w:r w:rsidR="00EC545A">
        <w:rPr>
          <w:sz w:val="16"/>
          <w:szCs w:val="16"/>
        </w:rPr>
        <w:t>60</w:t>
      </w:r>
      <w:r w:rsidR="00DF54E0">
        <w:rPr>
          <w:sz w:val="16"/>
          <w:szCs w:val="16"/>
        </w:rPr>
        <w:t>)</w:t>
      </w:r>
    </w:p>
    <w:p w:rsidR="00BB7A92" w:rsidRPr="00FF37B7" w:rsidRDefault="00BB7A92" w:rsidP="00EC545A">
      <w:pPr>
        <w:spacing w:before="240"/>
      </w:pPr>
      <w:r>
        <w:t>2</w:t>
      </w:r>
      <w:r>
        <w:tab/>
        <w:t xml:space="preserve">With respect to the requirements contained in </w:t>
      </w:r>
      <w:r w:rsidRPr="00BB7A92">
        <w:rPr>
          <w:i/>
          <w:iCs/>
        </w:rPr>
        <w:t>resolves</w:t>
      </w:r>
      <w:r>
        <w:t xml:space="preserve"> 2 and 3 of Resolution </w:t>
      </w:r>
      <w:r w:rsidRPr="00422C27">
        <w:rPr>
          <w:b/>
          <w:bCs/>
        </w:rPr>
        <w:t>417 (Rev.WRC-12)</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r w:rsidR="00DF54E0">
        <w:t xml:space="preserve">    </w:t>
      </w:r>
      <w:r w:rsidR="00DF54E0">
        <w:rPr>
          <w:sz w:val="16"/>
          <w:szCs w:val="16"/>
        </w:rPr>
        <w:t>(ADD RRB12/</w:t>
      </w:r>
      <w:r w:rsidR="00EC545A">
        <w:rPr>
          <w:sz w:val="16"/>
          <w:szCs w:val="16"/>
        </w:rPr>
        <w:t>60</w:t>
      </w:r>
      <w:r w:rsidR="00DF54E0">
        <w:rPr>
          <w:sz w:val="16"/>
          <w:szCs w:val="16"/>
        </w:rPr>
        <w:t>)</w:t>
      </w:r>
    </w:p>
    <w:p w:rsidR="00555FE3" w:rsidRPr="00FF37B7" w:rsidRDefault="00BB7A92" w:rsidP="00EF3CF1">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009015C1">
        <w:rPr>
          <w:spacing w:val="4"/>
        </w:rPr>
        <w:br/>
      </w:r>
      <w:r w:rsidRPr="009015C1">
        <w:rPr>
          <w:b/>
          <w:bCs/>
          <w:spacing w:val="4"/>
        </w:rPr>
        <w:t>417 (Rev.WRC-12)</w:t>
      </w:r>
      <w:r w:rsidRPr="009015C1">
        <w:rPr>
          <w:spacing w:val="4"/>
        </w:rPr>
        <w:t>, the Board decided that the Bureau shall check the e.i.r.p. limits for the ground based and airborne stations only for the band 960</w:t>
      </w:r>
      <w:r w:rsidR="00422C27" w:rsidRPr="009015C1">
        <w:rPr>
          <w:spacing w:val="4"/>
        </w:rPr>
        <w:t> </w:t>
      </w:r>
      <w:r w:rsidRPr="009015C1">
        <w:rPr>
          <w:spacing w:val="4"/>
        </w:rPr>
        <w:t>–</w:t>
      </w:r>
      <w:r w:rsidR="00422C27" w:rsidRPr="009015C1">
        <w:rPr>
          <w:spacing w:val="4"/>
        </w:rPr>
        <w:t> </w:t>
      </w:r>
      <w:r w:rsidRPr="009015C1">
        <w:rPr>
          <w:spacing w:val="4"/>
        </w:rPr>
        <w:t>1</w:t>
      </w:r>
      <w:r w:rsidR="00422C27" w:rsidRPr="009015C1">
        <w:rPr>
          <w:spacing w:val="4"/>
        </w:rPr>
        <w:t> </w:t>
      </w:r>
      <w:r w:rsidRPr="009015C1">
        <w:rPr>
          <w:spacing w:val="4"/>
        </w:rPr>
        <w:t>164 MHz since frequency assignments to stations in the AM(R)S notified in the band 960</w:t>
      </w:r>
      <w:r w:rsidR="00422C27" w:rsidRPr="009015C1">
        <w:rPr>
          <w:spacing w:val="4"/>
        </w:rPr>
        <w:t> </w:t>
      </w:r>
      <w:r w:rsidRPr="009015C1">
        <w:rPr>
          <w:spacing w:val="4"/>
        </w:rPr>
        <w:t>–</w:t>
      </w:r>
      <w:r w:rsidR="00422C27" w:rsidRPr="009015C1">
        <w:rPr>
          <w:spacing w:val="4"/>
        </w:rPr>
        <w:t> </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422C27" w:rsidRPr="009015C1">
        <w:rPr>
          <w:spacing w:val="4"/>
        </w:rPr>
        <w:t> </w:t>
      </w:r>
      <w:r w:rsidRPr="009015C1">
        <w:rPr>
          <w:spacing w:val="4"/>
        </w:rPr>
        <w:t>–</w:t>
      </w:r>
      <w:r w:rsidR="00422C27" w:rsidRPr="009015C1">
        <w:rPr>
          <w:spacing w:val="4"/>
        </w:rPr>
        <w:t> </w:t>
      </w:r>
      <w:r w:rsidRPr="009015C1">
        <w:rPr>
          <w:spacing w:val="4"/>
        </w:rPr>
        <w:t>1</w:t>
      </w:r>
      <w:r w:rsidR="00422C27" w:rsidRPr="009015C1">
        <w:rPr>
          <w:spacing w:val="4"/>
        </w:rPr>
        <w:t> </w:t>
      </w:r>
      <w:r w:rsidRPr="009015C1">
        <w:rPr>
          <w:spacing w:val="4"/>
        </w:rPr>
        <w:t>215 MHz.</w:t>
      </w:r>
      <w:r w:rsidR="00DF54E0" w:rsidRPr="009015C1">
        <w:rPr>
          <w:spacing w:val="4"/>
        </w:rPr>
        <w:t xml:space="preserve">    </w:t>
      </w:r>
      <w:r w:rsidR="00DF54E0" w:rsidRPr="009015C1">
        <w:rPr>
          <w:spacing w:val="4"/>
          <w:sz w:val="16"/>
          <w:szCs w:val="16"/>
        </w:rPr>
        <w:t>(ADD RRB12/</w:t>
      </w:r>
      <w:r w:rsidR="00EC545A" w:rsidRPr="009015C1">
        <w:rPr>
          <w:spacing w:val="4"/>
          <w:sz w:val="16"/>
          <w:szCs w:val="16"/>
        </w:rPr>
        <w:t>60</w:t>
      </w:r>
      <w:r w:rsidR="00DF54E0" w:rsidRPr="009015C1">
        <w:rPr>
          <w:spacing w:val="4"/>
          <w:sz w:val="16"/>
          <w:szCs w:val="16"/>
        </w:rPr>
        <w:t>)</w:t>
      </w:r>
    </w:p>
    <w:p w:rsidR="00555FE3" w:rsidRDefault="00555FE3">
      <w:pPr>
        <w:pStyle w:val="Heading8"/>
        <w:rPr>
          <w:color w:val="000000"/>
        </w:rPr>
        <w:sectPr w:rsidR="00555FE3" w:rsidSect="00675DFA">
          <w:headerReference w:type="even" r:id="rId18"/>
          <w:headerReference w:type="default" r:id="rId19"/>
          <w:footnotePr>
            <w:pos w:val="beneathText"/>
          </w:footnotePr>
          <w:pgSz w:w="11907" w:h="16840" w:code="9"/>
          <w:pgMar w:top="1701" w:right="851" w:bottom="1134" w:left="1985" w:header="720" w:footer="482" w:gutter="0"/>
          <w:pgNumType w:start="5"/>
          <w:cols w:space="720"/>
          <w:vAlign w:val="both"/>
        </w:sectPr>
      </w:pPr>
    </w:p>
    <w:p w:rsidR="00EF3CF1" w:rsidRDefault="00EF3CF1" w:rsidP="009D565B">
      <w:pPr>
        <w:pStyle w:val="Heading8"/>
        <w:rPr>
          <w:color w:val="000000"/>
        </w:rPr>
      </w:pPr>
      <w:r w:rsidRPr="00EF3CF1">
        <w:rPr>
          <w:color w:val="000000"/>
        </w:rPr>
        <w:lastRenderedPageBreak/>
        <w:t>5.328AA</w:t>
      </w:r>
      <w:r>
        <w:rPr>
          <w:color w:val="000000"/>
        </w:rPr>
        <w:tab/>
      </w:r>
      <w:r>
        <w:rPr>
          <w:color w:val="000000"/>
        </w:rPr>
        <w:tab/>
      </w:r>
      <w:r>
        <w:rPr>
          <w:color w:val="000000"/>
        </w:rPr>
        <w:tab/>
      </w:r>
      <w:r w:rsidR="00EA7516" w:rsidRPr="00B83E5F">
        <w:rPr>
          <w:b w:val="0"/>
          <w:bCs/>
          <w:color w:val="000000"/>
          <w:sz w:val="16"/>
          <w:szCs w:val="16"/>
        </w:rPr>
        <w:t>(</w:t>
      </w:r>
      <w:r w:rsidR="00EA7516" w:rsidRPr="009D565B">
        <w:rPr>
          <w:b w:val="0"/>
          <w:bCs/>
          <w:sz w:val="16"/>
          <w:szCs w:val="16"/>
        </w:rPr>
        <w:t>ADD RRB16/</w:t>
      </w:r>
      <w:r w:rsidR="009D565B" w:rsidRPr="009D565B">
        <w:rPr>
          <w:b w:val="0"/>
          <w:bCs/>
          <w:sz w:val="16"/>
          <w:szCs w:val="16"/>
        </w:rPr>
        <w:t>58</w:t>
      </w:r>
      <w:r w:rsidR="00EA7516" w:rsidRPr="00B83E5F">
        <w:rPr>
          <w:b w:val="0"/>
          <w:bCs/>
          <w:color w:val="000000"/>
          <w:sz w:val="16"/>
          <w:szCs w:val="16"/>
        </w:rPr>
        <w:t>)</w:t>
      </w:r>
    </w:p>
    <w:p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rsidR="00EF3CF1" w:rsidRPr="00EF3CF1" w:rsidRDefault="00EF3CF1" w:rsidP="00EF3CF1">
      <w:r w:rsidRPr="00EF3CF1">
        <w:t>2</w:t>
      </w:r>
      <w:r w:rsidRPr="00EF3CF1">
        <w:tab/>
        <w:t xml:space="preserve">With respect to the requirements contained in </w:t>
      </w:r>
      <w:r w:rsidRPr="00EF3CF1">
        <w:rPr>
          <w:i/>
          <w:iCs/>
        </w:rPr>
        <w:t>resolves</w:t>
      </w:r>
      <w:r w:rsidRPr="00EF3CF1">
        <w:t xml:space="preserve"> 1, 2 and 3 of Resolution </w:t>
      </w:r>
      <w:r w:rsidRPr="00EF3CF1">
        <w:rPr>
          <w:b/>
          <w:bCs/>
        </w:rPr>
        <w:t>425 (WRC-15)</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(WRC-15)</w:t>
      </w:r>
      <w:r w:rsidRPr="009456F9">
        <w:t>.</w:t>
      </w:r>
    </w:p>
    <w:p w:rsidR="004060BD" w:rsidRPr="00FF37B7" w:rsidRDefault="004060BD">
      <w:pPr>
        <w:pStyle w:val="Heading8"/>
        <w:rPr>
          <w:color w:val="000000"/>
        </w:rPr>
      </w:pPr>
      <w:r w:rsidRPr="00FF37B7">
        <w:rPr>
          <w:color w:val="000000"/>
        </w:rPr>
        <w:t>5.329</w:t>
      </w:r>
    </w:p>
    <w:p w:rsidR="00D33D89" w:rsidRPr="00FF37B7"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rsidR="000513A2" w:rsidRPr="00FF37B7" w:rsidRDefault="000513A2" w:rsidP="000513A2">
      <w:pPr>
        <w:pStyle w:val="Heading8"/>
        <w:rPr>
          <w:color w:val="000000"/>
        </w:rPr>
      </w:pPr>
      <w:r w:rsidRPr="00FF37B7">
        <w:rPr>
          <w:color w:val="000000"/>
        </w:rPr>
        <w:t>5.340</w:t>
      </w:r>
    </w:p>
    <w:p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rsidR="00EF3CF1" w:rsidRDefault="00EF3CF1" w:rsidP="009D565B">
      <w:pPr>
        <w:pStyle w:val="Heading8"/>
        <w:rPr>
          <w:color w:val="000000"/>
        </w:rPr>
      </w:pPr>
      <w:r w:rsidRPr="00EF3CF1">
        <w:rPr>
          <w:color w:val="000000"/>
        </w:rPr>
        <w:t>5.3</w:t>
      </w:r>
      <w:r>
        <w:rPr>
          <w:color w:val="000000"/>
        </w:rPr>
        <w:t>41A</w:t>
      </w:r>
      <w:r>
        <w:rPr>
          <w:color w:val="000000"/>
        </w:rPr>
        <w:tab/>
      </w:r>
      <w:r>
        <w:rPr>
          <w:color w:val="000000"/>
        </w:rPr>
        <w:tab/>
      </w:r>
      <w:r>
        <w:rPr>
          <w:color w:val="000000"/>
        </w:rPr>
        <w:tab/>
      </w:r>
      <w:r w:rsidR="00EA7516" w:rsidRPr="00B83E5F">
        <w:rPr>
          <w:b w:val="0"/>
          <w:bCs/>
          <w:color w:val="000000"/>
          <w:sz w:val="16"/>
          <w:szCs w:val="16"/>
        </w:rPr>
        <w:t>(</w:t>
      </w:r>
      <w:r w:rsidR="00EA7516" w:rsidRPr="009D565B">
        <w:rPr>
          <w:b w:val="0"/>
          <w:bCs/>
          <w:sz w:val="16"/>
          <w:szCs w:val="16"/>
        </w:rPr>
        <w:t>ADD RRB16/</w:t>
      </w:r>
      <w:r w:rsidR="009D565B" w:rsidRPr="009D565B">
        <w:rPr>
          <w:b w:val="0"/>
          <w:bCs/>
          <w:sz w:val="16"/>
          <w:szCs w:val="16"/>
        </w:rPr>
        <w:t>58</w:t>
      </w:r>
      <w:r w:rsidR="00EA7516" w:rsidRPr="00B83E5F">
        <w:rPr>
          <w:b w:val="0"/>
          <w:bCs/>
          <w:color w:val="000000"/>
          <w:sz w:val="16"/>
          <w:szCs w:val="16"/>
        </w:rPr>
        <w:t>)</w:t>
      </w:r>
    </w:p>
    <w:p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that in Region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not overlap into the band 1 429 – 1 535 MHz, used by aeronautical telemetry in the aeronautical mobile service, is not subject to the agreement obtained under No. </w:t>
      </w:r>
      <w:r w:rsidRPr="00EF3CF1">
        <w:rPr>
          <w:b/>
          <w:bCs/>
          <w:color w:val="000000"/>
        </w:rPr>
        <w:t>9.21</w:t>
      </w:r>
      <w:r w:rsidRPr="00EF3CF1">
        <w:rPr>
          <w:color w:val="000000"/>
        </w:rPr>
        <w:t>.</w:t>
      </w:r>
    </w:p>
    <w:p w:rsidR="00C660FB"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rsidR="00C660FB" w:rsidRDefault="00C660FB" w:rsidP="00EF3CF1">
      <w:pPr>
        <w:rPr>
          <w:color w:val="000000"/>
        </w:rPr>
        <w:sectPr w:rsidR="00C660FB" w:rsidSect="00BB7A92">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rsidR="00EF3CF1" w:rsidRPr="00EF3CF1" w:rsidRDefault="00EF3CF1" w:rsidP="00EF3CF1">
      <w:pPr>
        <w:rPr>
          <w:color w:val="000000"/>
        </w:rPr>
      </w:pPr>
      <w:r w:rsidRPr="00EF3CF1">
        <w:rPr>
          <w:color w:val="000000"/>
        </w:rPr>
        <w:lastRenderedPageBreak/>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Turkey, Ukraine and Uzbekistan.</w:t>
      </w:r>
    </w:p>
    <w:p w:rsidR="00EF3CF1" w:rsidRDefault="00EF3CF1" w:rsidP="009D565B">
      <w:pPr>
        <w:pStyle w:val="Heading8"/>
        <w:rPr>
          <w:color w:val="000000"/>
        </w:rPr>
      </w:pPr>
      <w:r w:rsidRPr="00EF3CF1">
        <w:rPr>
          <w:color w:val="000000"/>
        </w:rPr>
        <w:t>5.3</w:t>
      </w:r>
      <w:r>
        <w:rPr>
          <w:color w:val="000000"/>
        </w:rPr>
        <w:t>46</w:t>
      </w:r>
      <w:r>
        <w:rPr>
          <w:color w:val="000000"/>
        </w:rPr>
        <w:tab/>
      </w:r>
      <w:r>
        <w:rPr>
          <w:color w:val="000000"/>
        </w:rPr>
        <w:tab/>
      </w:r>
      <w:r>
        <w:rPr>
          <w:color w:val="000000"/>
        </w:rPr>
        <w:tab/>
      </w:r>
      <w:r w:rsidR="00EA7516" w:rsidRPr="00B83E5F">
        <w:rPr>
          <w:b w:val="0"/>
          <w:bCs/>
          <w:color w:val="000000"/>
          <w:sz w:val="16"/>
          <w:szCs w:val="16"/>
        </w:rPr>
        <w:t>(</w:t>
      </w:r>
      <w:r w:rsidR="00EA7516" w:rsidRPr="009D565B">
        <w:rPr>
          <w:b w:val="0"/>
          <w:bCs/>
          <w:sz w:val="16"/>
          <w:szCs w:val="16"/>
        </w:rPr>
        <w:t>ADD RRB16/</w:t>
      </w:r>
      <w:r w:rsidR="009D565B">
        <w:rPr>
          <w:b w:val="0"/>
          <w:bCs/>
          <w:sz w:val="16"/>
          <w:szCs w:val="16"/>
        </w:rPr>
        <w:t>58</w:t>
      </w:r>
      <w:r w:rsidR="00EA7516" w:rsidRPr="00B83E5F">
        <w:rPr>
          <w:b w:val="0"/>
          <w:bCs/>
          <w:color w:val="000000"/>
          <w:sz w:val="16"/>
          <w:szCs w:val="16"/>
        </w:rPr>
        <w:t>)</w:t>
      </w:r>
    </w:p>
    <w:p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Region 1 countries,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rsidR="00EF3CF1" w:rsidRPr="00EF3CF1"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a distance of 670 km from the countries mentioned in No. </w:t>
      </w:r>
      <w:r w:rsidRPr="00EF3CF1">
        <w:rPr>
          <w:b/>
          <w:bCs/>
          <w:color w:val="000000"/>
        </w:rPr>
        <w:t>5.342</w:t>
      </w:r>
      <w:r w:rsidRPr="00EF3CF1">
        <w:rPr>
          <w:color w:val="000000"/>
        </w:rPr>
        <w:t xml:space="preserve"> is Iraq.</w:t>
      </w:r>
    </w:p>
    <w:p w:rsidR="000513A2" w:rsidRPr="00FF37B7" w:rsidRDefault="000513A2" w:rsidP="000513A2">
      <w:pPr>
        <w:pStyle w:val="Heading8"/>
        <w:rPr>
          <w:color w:val="000000"/>
        </w:rPr>
      </w:pPr>
      <w:r w:rsidRPr="00FF37B7">
        <w:rPr>
          <w:color w:val="000000"/>
        </w:rPr>
        <w:t>5.351</w:t>
      </w:r>
    </w:p>
    <w:p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rsidR="004060BD" w:rsidRPr="00FF37B7" w:rsidRDefault="004060BD">
      <w:pPr>
        <w:pStyle w:val="Heading8"/>
        <w:rPr>
          <w:color w:val="000000"/>
        </w:rPr>
      </w:pPr>
      <w:r w:rsidRPr="00FF37B7">
        <w:rPr>
          <w:color w:val="000000"/>
        </w:rPr>
        <w:t>5.357</w:t>
      </w:r>
    </w:p>
    <w:p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rsidR="00FD108E" w:rsidRDefault="00FD108E">
      <w:pPr>
        <w:rPr>
          <w:color w:val="000000"/>
        </w:rPr>
        <w:sectPr w:rsidR="00FD108E" w:rsidSect="00BB7A92">
          <w:headerReference w:type="default" r:id="rId22"/>
          <w:footnotePr>
            <w:pos w:val="beneathText"/>
          </w:footnotePr>
          <w:pgSz w:w="11907" w:h="16840" w:code="9"/>
          <w:pgMar w:top="1701" w:right="851" w:bottom="1134" w:left="1985" w:header="720" w:footer="482" w:gutter="0"/>
          <w:cols w:space="720"/>
          <w:vAlign w:val="both"/>
        </w:sectPr>
      </w:pPr>
    </w:p>
    <w:p w:rsidR="004060BD" w:rsidRPr="00FF37B7" w:rsidRDefault="004060BD">
      <w:pPr>
        <w:pStyle w:val="Heading8"/>
        <w:rPr>
          <w:color w:val="000000"/>
        </w:rPr>
      </w:pPr>
      <w:r w:rsidRPr="00FF37B7">
        <w:rPr>
          <w:color w:val="000000"/>
        </w:rPr>
        <w:lastRenderedPageBreak/>
        <w:t>5.364</w:t>
      </w:r>
    </w:p>
    <w:p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rsidR="004060BD" w:rsidRPr="00FF37B7" w:rsidRDefault="004060BD">
      <w:pPr>
        <w:pStyle w:val="enumlev1"/>
        <w:rPr>
          <w:color w:val="000000"/>
        </w:rPr>
      </w:pPr>
      <w:r w:rsidRPr="00FF37B7">
        <w:rPr>
          <w:i/>
          <w:iCs/>
          <w:color w:val="000000"/>
        </w:rPr>
        <w:t>a)</w:t>
      </w:r>
      <w:r w:rsidRPr="00FF37B7">
        <w:rPr>
          <w:color w:val="000000"/>
        </w:rPr>
        <w:tab/>
        <w:t>peak e.i.r.p. density limit, and</w:t>
      </w:r>
    </w:p>
    <w:p w:rsidR="004060BD" w:rsidRPr="00FF37B7" w:rsidRDefault="004060BD">
      <w:pPr>
        <w:pStyle w:val="enumlev1"/>
        <w:rPr>
          <w:color w:val="000000"/>
        </w:rPr>
      </w:pPr>
      <w:r w:rsidRPr="00FF37B7">
        <w:rPr>
          <w:i/>
          <w:iCs/>
          <w:color w:val="000000"/>
        </w:rPr>
        <w:t>b)</w:t>
      </w:r>
      <w:r w:rsidRPr="00FF37B7">
        <w:rPr>
          <w:color w:val="000000"/>
        </w:rPr>
        <w:tab/>
        <w:t>mean e.i.r.p. density limit.</w:t>
      </w:r>
    </w:p>
    <w:p w:rsidR="004060BD" w:rsidRDefault="004060BD">
      <w:pPr>
        <w:rPr>
          <w:color w:val="000000"/>
        </w:rPr>
      </w:pPr>
      <w:r w:rsidRPr="00FF37B7">
        <w:rPr>
          <w:color w:val="000000"/>
        </w:rPr>
        <w:t>The peak e.i.r.p. density limit is derived from the maximum power density of the assignment as submitted by the responsible administration.</w:t>
      </w:r>
    </w:p>
    <w:p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rsidR="00EF3CF1" w:rsidRPr="00FF37B7" w:rsidRDefault="00EF3CF1" w:rsidP="00EF3CF1">
      <w:pPr>
        <w:pStyle w:val="Heading8"/>
        <w:rPr>
          <w:color w:val="000000"/>
        </w:rPr>
      </w:pPr>
      <w:r w:rsidRPr="00FF37B7">
        <w:rPr>
          <w:color w:val="000000"/>
        </w:rPr>
        <w:t>5.366</w:t>
      </w:r>
    </w:p>
    <w:p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“airborne electronic aids to air navigation and any directly associated ground-based or satellite-borne facilities”.</w:t>
      </w:r>
    </w:p>
    <w:p w:rsidR="00EF3CF1" w:rsidRPr="00FF37B7" w:rsidRDefault="00EF3CF1" w:rsidP="00EF3CF1">
      <w:pPr>
        <w:pStyle w:val="Heading8"/>
        <w:rPr>
          <w:color w:val="000000"/>
        </w:rPr>
      </w:pPr>
      <w:r w:rsidRPr="00FF37B7">
        <w:rPr>
          <w:color w:val="000000"/>
        </w:rPr>
        <w:t>5.376</w:t>
      </w:r>
    </w:p>
    <w:p w:rsidR="00EF3CF1" w:rsidRPr="00FF37B7"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rsidR="00EF3CF1" w:rsidRPr="00FF37B7" w:rsidRDefault="00EF3CF1" w:rsidP="00EF3CF1">
      <w:pPr>
        <w:pStyle w:val="Heading8"/>
        <w:rPr>
          <w:color w:val="000000"/>
        </w:rPr>
      </w:pPr>
      <w:r w:rsidRPr="00FF37B7">
        <w:rPr>
          <w:color w:val="000000"/>
        </w:rPr>
        <w:t>5.399</w:t>
      </w:r>
    </w:p>
    <w:p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when recording assignments to stations of the radiodetermination-satellite service operating in the frequency band 2 483.5-2 500 MHz to which this footnote applies to place Symbol R in Column 13B2 and a reference to footnote 5.399 in Column 13B1</w:t>
      </w:r>
      <w:r>
        <w:rPr>
          <w:color w:val="000000" w:themeColor="text1"/>
          <w:szCs w:val="24"/>
        </w:rPr>
        <w:t>.</w:t>
      </w:r>
      <w:r>
        <w:rPr>
          <w:color w:val="000000"/>
        </w:rPr>
        <w:t xml:space="preserve">   </w:t>
      </w:r>
      <w:r>
        <w:rPr>
          <w:sz w:val="16"/>
          <w:szCs w:val="16"/>
        </w:rPr>
        <w:t>(MOD RRB13/64)</w:t>
      </w:r>
    </w:p>
    <w:p w:rsidR="0059499E" w:rsidRDefault="0059499E" w:rsidP="001106F3"/>
    <w:p w:rsidR="00EF3CF1" w:rsidRDefault="00EF3CF1" w:rsidP="001106F3">
      <w:pPr>
        <w:sectPr w:rsidR="00EF3CF1" w:rsidSect="00C660FB">
          <w:headerReference w:type="even" r:id="rId23"/>
          <w:headerReference w:type="default" r:id="rId24"/>
          <w:footnotePr>
            <w:pos w:val="beneathText"/>
          </w:footnotePr>
          <w:pgSz w:w="11907" w:h="16840" w:code="9"/>
          <w:pgMar w:top="1701" w:right="851" w:bottom="1134" w:left="1985" w:header="720" w:footer="482" w:gutter="0"/>
          <w:pgNumType w:start="7"/>
          <w:cols w:space="720"/>
          <w:vAlign w:val="both"/>
        </w:sectPr>
      </w:pPr>
    </w:p>
    <w:p w:rsidR="000513A2" w:rsidRPr="00FF37B7" w:rsidRDefault="000513A2" w:rsidP="000513A2">
      <w:pPr>
        <w:pStyle w:val="Heading8"/>
        <w:rPr>
          <w:color w:val="000000"/>
        </w:rPr>
      </w:pPr>
      <w:r w:rsidRPr="00FF37B7">
        <w:rPr>
          <w:color w:val="000000"/>
        </w:rPr>
        <w:lastRenderedPageBreak/>
        <w:t>5.415</w:t>
      </w:r>
    </w:p>
    <w:p w:rsidR="000513A2" w:rsidRPr="00FF37B7" w:rsidRDefault="000513A2" w:rsidP="000513A2">
      <w:pPr>
        <w:rPr>
          <w:color w:val="000000"/>
        </w:rPr>
      </w:pPr>
      <w:r w:rsidRPr="00FF37B7">
        <w:rPr>
          <w:color w:val="000000"/>
        </w:rPr>
        <w:t>1</w:t>
      </w:r>
      <w:r w:rsidRPr="00FF37B7">
        <w:rPr>
          <w:color w:val="000000"/>
        </w:rPr>
        <w:tab/>
        <w:t>In this provision, the allocation “is limited to national and regional systems”.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relating to the interpretation of the word “regional” without a capital “R”.</w:t>
      </w:r>
    </w:p>
    <w:p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be in compliance with the Table of Frequency Allocations and the finding shall be unfavourable. </w:t>
      </w:r>
    </w:p>
    <w:p w:rsidR="00115597" w:rsidRDefault="00115597" w:rsidP="000513A2">
      <w:pPr>
        <w:pStyle w:val="enumlev1"/>
        <w:rPr>
          <w:i/>
          <w:color w:val="000000"/>
        </w:rPr>
        <w:sectPr w:rsidR="00115597" w:rsidSect="00BB7A92">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rsidR="000513A2" w:rsidRPr="00FF37B7" w:rsidRDefault="000513A2" w:rsidP="000513A2">
      <w:pPr>
        <w:pStyle w:val="enumlev1"/>
        <w:rPr>
          <w:color w:val="000000"/>
        </w:rPr>
      </w:pPr>
      <w:r w:rsidRPr="00FF37B7">
        <w:rPr>
          <w:i/>
          <w:color w:val="000000"/>
        </w:rPr>
        <w:lastRenderedPageBreak/>
        <w:t>b)</w:t>
      </w:r>
      <w:r w:rsidRPr="00FF37B7">
        <w:rPr>
          <w:color w:val="000000"/>
        </w:rPr>
        <w:tab/>
        <w:t>In the case of a national system, the service area is limited to the territory under the jurisdiction of the notifying administration.</w:t>
      </w:r>
    </w:p>
    <w:p w:rsidR="000513A2" w:rsidRPr="00FF37B7"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rsidR="000513A2" w:rsidRPr="00FF37B7" w:rsidRDefault="000513A2" w:rsidP="000513A2">
      <w:pPr>
        <w:pStyle w:val="Heading8"/>
        <w:rPr>
          <w:color w:val="000000"/>
        </w:rPr>
      </w:pPr>
      <w:r w:rsidRPr="00FF37B7">
        <w:rPr>
          <w:color w:val="000000"/>
        </w:rPr>
        <w:t>5.416</w:t>
      </w:r>
    </w:p>
    <w:p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rsidR="000513A2" w:rsidRPr="00FF37B7" w:rsidRDefault="000513A2" w:rsidP="001106F3">
      <w:pPr>
        <w:pStyle w:val="Heading8"/>
        <w:rPr>
          <w:color w:val="000000"/>
        </w:rPr>
      </w:pPr>
      <w:r w:rsidRPr="00FF37B7">
        <w:rPr>
          <w:color w:val="000000"/>
        </w:rPr>
        <w:t>5.418C</w:t>
      </w:r>
    </w:p>
    <w:p w:rsidR="000513A2" w:rsidRPr="00FF37B7" w:rsidRDefault="000513A2" w:rsidP="000513A2">
      <w:pPr>
        <w:rPr>
          <w:color w:val="000000"/>
        </w:rPr>
      </w:pPr>
      <w:r w:rsidRPr="00FF37B7">
        <w:rPr>
          <w:color w:val="000000"/>
        </w:rPr>
        <w:t>1</w:t>
      </w:r>
      <w:r w:rsidRPr="00FF37B7">
        <w:rPr>
          <w:color w:val="000000"/>
        </w:rPr>
        <w:tab/>
        <w:t>In accordance with provision No. </w:t>
      </w:r>
      <w:r w:rsidRPr="00FF37B7">
        <w:rPr>
          <w:rStyle w:val="Artref"/>
          <w:b/>
          <w:bCs/>
          <w:color w:val="000000"/>
        </w:rPr>
        <w:t>5.418C</w:t>
      </w:r>
      <w:r w:rsidRPr="00FF37B7">
        <w:rPr>
          <w:color w:val="000000"/>
        </w:rPr>
        <w:t>, modified by WRC-03, the use of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by geostationary-satellite networks is subject to the application of the provisions of No. </w:t>
      </w:r>
      <w:r w:rsidRPr="00FF37B7">
        <w:rPr>
          <w:rStyle w:val="Artref"/>
          <w:b/>
          <w:bCs/>
          <w:color w:val="000000"/>
        </w:rPr>
        <w:t>9.13</w:t>
      </w:r>
      <w:r w:rsidRPr="00FF37B7">
        <w:rPr>
          <w:color w:val="000000"/>
        </w:rPr>
        <w:t xml:space="preserve"> with respect to non-GSO satellite systems in the BSS (sound) pursuant to No. </w:t>
      </w:r>
      <w:r w:rsidRPr="00FF37B7">
        <w:rPr>
          <w:rStyle w:val="Artref"/>
          <w:b/>
          <w:bCs/>
          <w:color w:val="000000"/>
        </w:rPr>
        <w:t>5.418</w:t>
      </w:r>
      <w:r w:rsidRPr="00FF37B7">
        <w:rPr>
          <w:color w:val="000000"/>
        </w:rPr>
        <w:t xml:space="preserve">, as of 3 June 2000. Resolution </w:t>
      </w:r>
      <w:r w:rsidRPr="00FF37B7">
        <w:rPr>
          <w:rStyle w:val="Resref"/>
          <w:b/>
          <w:bCs/>
          <w:color w:val="000000"/>
        </w:rPr>
        <w:t>33</w:t>
      </w:r>
      <w:r w:rsidRPr="00FF37B7">
        <w:rPr>
          <w:color w:val="000000"/>
        </w:rPr>
        <w:t xml:space="preserve"> (</w:t>
      </w:r>
      <w:r w:rsidRPr="00FF37B7">
        <w:rPr>
          <w:b/>
          <w:bCs/>
          <w:color w:val="000000"/>
        </w:rPr>
        <w:t>Rev.WRC-03</w:t>
      </w:r>
      <w:r w:rsidRPr="00FF37B7">
        <w:rPr>
          <w:color w:val="000000"/>
        </w:rPr>
        <w:t xml:space="preserve">) resolves that for satellite networks for which the API has been received by the Bureau prior to 1 January 1999, only the procedure in Sections A to C in Resolution </w:t>
      </w:r>
      <w:r w:rsidRPr="00FF37B7">
        <w:rPr>
          <w:rStyle w:val="Resref"/>
          <w:b/>
          <w:bCs/>
          <w:color w:val="000000"/>
        </w:rPr>
        <w:t>33</w:t>
      </w:r>
      <w:r w:rsidRPr="00FF37B7">
        <w:rPr>
          <w:b/>
          <w:color w:val="000000"/>
        </w:rPr>
        <w:t xml:space="preserve"> </w:t>
      </w:r>
      <w:r w:rsidRPr="00FF37B7">
        <w:rPr>
          <w:bCs/>
          <w:color w:val="000000"/>
        </w:rPr>
        <w:t>(</w:t>
      </w:r>
      <w:r w:rsidRPr="00FF37B7">
        <w:rPr>
          <w:b/>
          <w:color w:val="000000"/>
        </w:rPr>
        <w:t>Rev.WRC-03</w:t>
      </w:r>
      <w:r w:rsidRPr="00FF37B7">
        <w:rPr>
          <w:bCs/>
          <w:color w:val="000000"/>
        </w:rPr>
        <w:t>)</w:t>
      </w:r>
      <w:r w:rsidRPr="00FF37B7">
        <w:rPr>
          <w:color w:val="000000"/>
        </w:rPr>
        <w:t xml:space="preserve"> shall be applied.</w:t>
      </w:r>
    </w:p>
    <w:p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“notification information”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rsidR="000513A2" w:rsidRPr="00FF37B7" w:rsidRDefault="000513A2" w:rsidP="000513A2">
      <w:pPr>
        <w:rPr>
          <w:color w:val="000000"/>
        </w:rPr>
      </w:pPr>
      <w:r w:rsidRPr="00FF37B7">
        <w:rPr>
          <w:color w:val="000000"/>
        </w:rPr>
        <w:t>3</w:t>
      </w:r>
      <w:r w:rsidRPr="00FF37B7">
        <w:rPr>
          <w:color w:val="000000"/>
        </w:rPr>
        <w:tab/>
        <w:t>In the above context, and taking into account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p w:rsidR="001106F3" w:rsidRPr="00FF37B7" w:rsidRDefault="001106F3" w:rsidP="001C70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rsidTr="00476B4C">
        <w:trPr>
          <w:jc w:val="center"/>
        </w:trPr>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rsidTr="00476B4C">
        <w:trPr>
          <w:cantSplit/>
          <w:jc w:val="center"/>
        </w:trPr>
        <w:tc>
          <w:tcPr>
            <w:tcW w:w="1701" w:type="dxa"/>
            <w:vMerge w:val="restart"/>
          </w:tcPr>
          <w:p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rsidR="00BA2AB6" w:rsidRDefault="00BA2AB6" w:rsidP="000513A2">
      <w:pPr>
        <w:pStyle w:val="TableFin"/>
        <w:rPr>
          <w:color w:val="000000"/>
        </w:rPr>
      </w:pPr>
    </w:p>
    <w:p w:rsidR="00FD108E" w:rsidRDefault="00FD108E" w:rsidP="00FF37B7">
      <w:pPr>
        <w:sectPr w:rsidR="00FD108E" w:rsidSect="00BB7A92">
          <w:headerReference w:type="even" r:id="rId27"/>
          <w:headerReference w:type="default" r:id="rId28"/>
          <w:footnotePr>
            <w:pos w:val="beneathText"/>
          </w:footnotePr>
          <w:pgSz w:w="11907" w:h="16840" w:code="9"/>
          <w:pgMar w:top="1701" w:right="851" w:bottom="1134" w:left="1985" w:header="720" w:footer="482" w:gutter="0"/>
          <w:cols w:space="720"/>
          <w:vAlign w:val="both"/>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2943"/>
      </w:tblGrid>
      <w:tr w:rsidR="00FD108E" w:rsidRPr="00FF37B7" w:rsidTr="00FD108E">
        <w:tc>
          <w:tcPr>
            <w:tcW w:w="2943" w:type="dxa"/>
            <w:tcBorders>
              <w:top w:val="double" w:sz="4" w:space="0" w:color="auto"/>
              <w:left w:val="double" w:sz="4" w:space="0" w:color="auto"/>
              <w:bottom w:val="double" w:sz="4" w:space="0" w:color="auto"/>
              <w:right w:val="double" w:sz="4" w:space="0" w:color="auto"/>
            </w:tcBorders>
          </w:tcPr>
          <w:p w:rsidR="00FD108E" w:rsidRPr="00FF37B7" w:rsidRDefault="00FD108E" w:rsidP="00FD108E">
            <w:pPr>
              <w:pStyle w:val="Headingb0"/>
              <w:keepNext w:val="0"/>
              <w:spacing w:after="100"/>
              <w:ind w:right="-391"/>
              <w:rPr>
                <w:bCs/>
                <w:color w:val="000000"/>
                <w:lang w:val="en-GB"/>
              </w:rPr>
            </w:pPr>
            <w:r w:rsidRPr="00FF37B7">
              <w:rPr>
                <w:bCs/>
                <w:color w:val="000000"/>
                <w:lang w:val="en-GB"/>
              </w:rPr>
              <w:lastRenderedPageBreak/>
              <w:t>Band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c>
          <w:tcPr>
            <w:tcW w:w="2943" w:type="dxa"/>
            <w:tcBorders>
              <w:top w:val="nil"/>
              <w:left w:val="double" w:sz="4" w:space="0" w:color="auto"/>
              <w:bottom w:val="nil"/>
              <w:right w:val="nil"/>
            </w:tcBorders>
          </w:tcPr>
          <w:p w:rsidR="00FD108E" w:rsidRPr="00FF37B7" w:rsidRDefault="00FD108E" w:rsidP="009456F9">
            <w:pPr>
              <w:pStyle w:val="Headingb0"/>
              <w:keepNext w:val="0"/>
              <w:spacing w:after="100"/>
              <w:ind w:right="-391"/>
              <w:rPr>
                <w:bCs/>
                <w:color w:val="000000"/>
                <w:lang w:val="en-GB"/>
              </w:rPr>
            </w:pPr>
            <w:r>
              <w:rPr>
                <w:bCs/>
                <w:color w:val="000000"/>
                <w:lang w:val="en-GB"/>
              </w:rPr>
              <w:tab/>
            </w:r>
            <w:r w:rsidR="00EA7516" w:rsidRPr="00B83E5F">
              <w:rPr>
                <w:b w:val="0"/>
                <w:bCs/>
                <w:color w:val="000000"/>
                <w:sz w:val="16"/>
                <w:szCs w:val="16"/>
              </w:rPr>
              <w:t>(</w:t>
            </w:r>
            <w:r w:rsidR="009456F9">
              <w:rPr>
                <w:b w:val="0"/>
                <w:bCs/>
                <w:sz w:val="16"/>
                <w:szCs w:val="16"/>
              </w:rPr>
              <w:t>MO</w:t>
            </w:r>
            <w:r w:rsidR="00EA7516" w:rsidRPr="009D565B">
              <w:rPr>
                <w:b w:val="0"/>
                <w:bCs/>
                <w:sz w:val="16"/>
                <w:szCs w:val="16"/>
              </w:rPr>
              <w:t>D RRB16/</w:t>
            </w:r>
            <w:r w:rsidR="009D565B" w:rsidRPr="009D565B">
              <w:rPr>
                <w:b w:val="0"/>
                <w:bCs/>
                <w:sz w:val="16"/>
                <w:szCs w:val="16"/>
              </w:rPr>
              <w:t>58</w:t>
            </w:r>
            <w:r w:rsidR="00EA7516" w:rsidRPr="00B83E5F">
              <w:rPr>
                <w:b w:val="0"/>
                <w:bCs/>
                <w:color w:val="000000"/>
                <w:sz w:val="16"/>
                <w:szCs w:val="16"/>
              </w:rPr>
              <w:t>)</w:t>
            </w:r>
          </w:p>
        </w:tc>
      </w:tr>
    </w:tbl>
    <w:p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MHz.</w:t>
      </w:r>
    </w:p>
    <w:p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(Nos.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(Nos. </w:t>
      </w:r>
      <w:r w:rsidRPr="00FD108E">
        <w:rPr>
          <w:b/>
          <w:bCs/>
        </w:rPr>
        <w:t>5.418</w:t>
      </w:r>
      <w:r w:rsidRPr="00FD108E">
        <w:t xml:space="preserve">) systems under No. </w:t>
      </w:r>
      <w:r w:rsidRPr="00FD108E">
        <w:rPr>
          <w:b/>
          <w:bCs/>
        </w:rPr>
        <w:t>9.13</w:t>
      </w:r>
      <w:r w:rsidRPr="00FD108E">
        <w:t xml:space="preserve">, and any non-GSO systems vis-à-vis non-GSO BSS (sound) (Nos. </w:t>
      </w:r>
      <w:r w:rsidRPr="00FD108E">
        <w:rPr>
          <w:b/>
          <w:bCs/>
        </w:rPr>
        <w:t>5.418</w:t>
      </w:r>
      <w:r w:rsidRPr="00FD108E">
        <w:t xml:space="preserve">) systems under No. </w:t>
      </w:r>
      <w:r w:rsidRPr="00FD108E">
        <w:rPr>
          <w:b/>
          <w:bCs/>
        </w:rPr>
        <w:t>9.12</w:t>
      </w:r>
      <w:r w:rsidRPr="00FD108E">
        <w:t>, as described in the Table below. This Table applies to coordination requirements between GSO and non-GSO satellite systems for which the API has been received following 1 January 1999 and complete coordination/notification information was received after 2 June 2000 in the band 2 630-2 655 MHz.</w:t>
      </w:r>
    </w:p>
    <w:p w:rsidR="00FD108E" w:rsidRPr="00FD108E" w:rsidRDefault="00FD108E" w:rsidP="00FD108E">
      <w:pPr>
        <w:rPr>
          <w:b/>
          <w:bCs/>
        </w:rPr>
      </w:pP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rsidTr="00FD108E">
        <w:trPr>
          <w:cantSplit/>
          <w:trHeight w:val="567"/>
        </w:trPr>
        <w:tc>
          <w:tcPr>
            <w:tcW w:w="3001" w:type="dxa"/>
            <w:tcBorders>
              <w:bottom w:val="single" w:sz="4" w:space="0" w:color="auto"/>
            </w:tcBorders>
            <w:tcMar>
              <w:left w:w="28" w:type="dxa"/>
              <w:right w:w="28" w:type="dxa"/>
            </w:tcMar>
          </w:tcPr>
          <w:p w:rsidR="00FD108E" w:rsidRPr="00FD108E" w:rsidRDefault="00FD108E" w:rsidP="00FD108E">
            <w:pPr>
              <w:pStyle w:val="Tabletext0"/>
              <w:framePr w:hSpace="180" w:wrap="around" w:vAnchor="text" w:hAnchor="text" w:y="1"/>
              <w:jc w:val="center"/>
            </w:pPr>
            <w:r w:rsidRPr="00FD108E">
              <w:t>Coordination request (CR): Column vis-à-vis Row (</w:t>
            </w:r>
            <w:r w:rsidRPr="00FD108E">
              <w:sym w:font="Wingdings" w:char="F0E5"/>
            </w:r>
            <w:r w:rsidRPr="00FD108E">
              <w:t>)</w:t>
            </w:r>
          </w:p>
          <w:p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rsidTr="00FD108E">
        <w:trPr>
          <w:cantSplit/>
          <w:trHeight w:val="567"/>
        </w:trPr>
        <w:tc>
          <w:tcPr>
            <w:tcW w:w="3001"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rPr>
                <w:b/>
                <w:bCs/>
              </w:rPr>
              <w:t>9.13</w:t>
            </w:r>
            <w:r w:rsidRPr="00FD108E">
              <w:br/>
              <w:t xml:space="preserve">(, </w:t>
            </w:r>
            <w:r w:rsidRPr="00FD108E">
              <w:rPr>
                <w:b/>
                <w:bCs/>
              </w:rPr>
              <w:t>5.418C</w:t>
            </w:r>
            <w:r w:rsidRPr="00FD108E">
              <w:t>)</w:t>
            </w:r>
          </w:p>
        </w:tc>
        <w:tc>
          <w:tcPr>
            <w:tcW w:w="2035" w:type="dxa"/>
            <w:tcBorders>
              <w:top w:val="single" w:sz="4" w:space="0" w:color="auto"/>
              <w:bottom w:val="dotted" w:sz="4" w:space="0" w:color="auto"/>
            </w:tcBorders>
          </w:tcPr>
          <w:p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rsidTr="00FD108E">
        <w:trPr>
          <w:cantSplit/>
          <w:trHeight w:val="567"/>
        </w:trPr>
        <w:tc>
          <w:tcPr>
            <w:tcW w:w="3001" w:type="dxa"/>
            <w:tcBorders>
              <w:bottom w:val="single" w:sz="4" w:space="0" w:color="auto"/>
            </w:tcBorders>
          </w:tcPr>
          <w:p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rsidTr="00FD108E">
        <w:trPr>
          <w:cantSplit/>
          <w:trHeight w:val="567"/>
        </w:trPr>
        <w:tc>
          <w:tcPr>
            <w:tcW w:w="3001" w:type="dxa"/>
            <w:tcBorders>
              <w:bottom w:val="single" w:sz="4" w:space="0" w:color="auto"/>
            </w:tcBorders>
          </w:tcPr>
          <w:p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rsidR="00FD108E" w:rsidRPr="00FD108E" w:rsidRDefault="00FD108E" w:rsidP="00FD108E">
            <w:pPr>
              <w:pStyle w:val="Tabletext0"/>
              <w:framePr w:hSpace="180" w:wrap="around" w:vAnchor="text" w:hAnchor="text" w:y="1"/>
              <w:jc w:val="center"/>
            </w:pPr>
            <w:r w:rsidRPr="00FD108E">
              <w:t>No CR</w:t>
            </w:r>
          </w:p>
        </w:tc>
      </w:tr>
    </w:tbl>
    <w:p w:rsidR="00FD108E" w:rsidRPr="00FD108E" w:rsidRDefault="00FD108E" w:rsidP="00FD108E">
      <w:pPr>
        <w:rPr>
          <w:b/>
          <w:bCs/>
        </w:rPr>
      </w:pPr>
    </w:p>
    <w:p w:rsidR="001F1740" w:rsidRDefault="001F1740" w:rsidP="001F1740">
      <w:pPr>
        <w:rPr>
          <w:color w:val="000000"/>
        </w:rPr>
      </w:pPr>
    </w:p>
    <w:p w:rsidR="00FD108E" w:rsidRDefault="00FD108E" w:rsidP="001F1740">
      <w:pPr>
        <w:rPr>
          <w:color w:val="000000"/>
        </w:rPr>
        <w:sectPr w:rsidR="00FD108E" w:rsidSect="00BB7A92">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rsidR="004060BD" w:rsidRPr="00FF37B7" w:rsidRDefault="004060BD" w:rsidP="001F1740">
      <w:pPr>
        <w:spacing w:before="0"/>
        <w:rPr>
          <w:sz w:val="2"/>
          <w:szCs w:val="2"/>
        </w:rPr>
      </w:pPr>
    </w:p>
    <w:p w:rsidR="004060BD" w:rsidRPr="00FF37B7" w:rsidRDefault="004060BD" w:rsidP="00FE282F">
      <w:pPr>
        <w:pStyle w:val="Heading8"/>
        <w:keepNext w:val="0"/>
        <w:keepLines w:val="0"/>
        <w:spacing w:before="240"/>
        <w:rPr>
          <w:color w:val="000000"/>
        </w:rPr>
      </w:pPr>
      <w:r w:rsidRPr="00FF37B7">
        <w:rPr>
          <w:color w:val="000000"/>
        </w:rPr>
        <w:t>5.441</w:t>
      </w:r>
    </w:p>
    <w:p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rsidR="004060BD" w:rsidRPr="00FF37B7" w:rsidRDefault="004060BD">
      <w:pPr>
        <w:pStyle w:val="enumlev1"/>
        <w:rPr>
          <w:color w:val="000000"/>
        </w:rPr>
      </w:pPr>
      <w:r w:rsidRPr="00FF37B7">
        <w:rPr>
          <w:i/>
          <w:color w:val="000000"/>
        </w:rPr>
        <w:t>b)</w:t>
      </w:r>
      <w:r w:rsidRPr="00FF37B7">
        <w:rPr>
          <w:color w:val="000000"/>
        </w:rPr>
        <w:tab/>
        <w:t>space-to-Earth:</w:t>
      </w:r>
    </w:p>
    <w:p w:rsidR="004060BD" w:rsidRPr="00FF37B7" w:rsidRDefault="004060BD">
      <w:pPr>
        <w:pStyle w:val="enumlev2"/>
        <w:rPr>
          <w:color w:val="000000"/>
        </w:rPr>
      </w:pPr>
      <w:r w:rsidRPr="00FF37B7">
        <w:rPr>
          <w:color w:val="000000"/>
        </w:rPr>
        <w:t>10.7-10.95 GHz and 11.2-11.45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4060BD" w:rsidRPr="00FF37B7" w:rsidRDefault="004060BD" w:rsidP="00C6682E">
      <w:pPr>
        <w:pStyle w:val="enumlev2"/>
        <w:rPr>
          <w:color w:val="000000"/>
        </w:rPr>
      </w:pPr>
      <w:r w:rsidRPr="00FF37B7">
        <w:rPr>
          <w:color w:val="000000"/>
        </w:rPr>
        <w:t>10.95-11.2 GHz and 11.45-11.7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FD108E" w:rsidRDefault="00FD108E">
      <w:pPr>
        <w:pStyle w:val="enumlev3"/>
        <w:spacing w:before="60"/>
        <w:rPr>
          <w:color w:val="000000"/>
        </w:rPr>
      </w:pPr>
    </w:p>
    <w:p w:rsidR="00FD108E" w:rsidRDefault="00FD108E">
      <w:pPr>
        <w:pStyle w:val="enumlev3"/>
        <w:spacing w:before="60"/>
        <w:rPr>
          <w:color w:val="000000"/>
        </w:rPr>
      </w:pPr>
    </w:p>
    <w:p w:rsidR="00FD108E" w:rsidRPr="00FF37B7" w:rsidRDefault="00FD108E">
      <w:pPr>
        <w:pStyle w:val="enumlev3"/>
        <w:spacing w:before="60"/>
        <w:rPr>
          <w:color w:val="000000"/>
        </w:rPr>
      </w:pPr>
    </w:p>
    <w:p w:rsidR="00FD108E" w:rsidRDefault="00FD108E" w:rsidP="00BC1EDD">
      <w:pPr>
        <w:rPr>
          <w:color w:val="000000"/>
        </w:rPr>
      </w:pPr>
      <w:r>
        <w:rPr>
          <w:color w:val="000000"/>
        </w:rPr>
        <w:br w:type="page"/>
      </w:r>
    </w:p>
    <w:p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procedures not only vis-à-vis other up-link FSS networks of the same direction (Earth-to-space) but also vis-à-vis the Plan and List entries of the opposite direction (space-to-Earth). To take into account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rsidR="004060BD" w:rsidRPr="00FF37B7"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rsidR="004060BD" w:rsidRPr="00FF37B7" w:rsidRDefault="004060BD" w:rsidP="00BA2AB6">
      <w:pPr>
        <w:pStyle w:val="enumlev1"/>
        <w:rPr>
          <w:color w:val="000000"/>
        </w:rPr>
      </w:pPr>
      <w:r w:rsidRPr="00FF37B7">
        <w:rPr>
          <w:i/>
          <w:color w:val="000000"/>
        </w:rPr>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“agreement area” within which a transmitting earth </w:t>
      </w:r>
      <w:r w:rsidRPr="00FF37B7">
        <w:rPr>
          <w:color w:val="000000"/>
        </w:rPr>
        <w:t>station of the FSS up-link has to be coordinated. For the calculation of the coordination distance the most up-to-date ITU-R Recommendation will be used.</w:t>
      </w:r>
    </w:p>
    <w:p w:rsidR="00115597" w:rsidRDefault="00115597">
      <w:pPr>
        <w:rPr>
          <w:color w:val="000000"/>
        </w:rPr>
        <w:sectPr w:rsidR="00115597" w:rsidSect="00BB7A92">
          <w:headerReference w:type="even" r:id="rId31"/>
          <w:headerReference w:type="default" r:id="rId32"/>
          <w:footnotePr>
            <w:pos w:val="beneathText"/>
          </w:footnotePr>
          <w:pgSz w:w="11907" w:h="16840" w:code="9"/>
          <w:pgMar w:top="1701" w:right="851" w:bottom="1134" w:left="1985" w:header="720" w:footer="482" w:gutter="0"/>
          <w:cols w:space="720"/>
          <w:vAlign w:val="both"/>
        </w:sectPr>
      </w:pPr>
    </w:p>
    <w:p w:rsidR="004060BD" w:rsidRPr="00FF37B7" w:rsidRDefault="004060BD">
      <w:pPr>
        <w:rPr>
          <w:color w:val="000000"/>
        </w:rPr>
      </w:pPr>
      <w:r w:rsidRPr="00FF37B7">
        <w:rPr>
          <w:color w:val="000000"/>
        </w:rPr>
        <w:lastRenderedPageBreak/>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rsidR="004060BD" w:rsidRPr="00FF37B7" w:rsidRDefault="004060BD">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rsidR="004060BD" w:rsidRPr="00FF37B7" w:rsidRDefault="004060BD" w:rsidP="00C6682E">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rsidR="004060BD" w:rsidRPr="00FF37B7" w:rsidRDefault="004060BD" w:rsidP="00C6682E">
      <w:pPr>
        <w:pStyle w:val="Heading8"/>
        <w:rPr>
          <w:color w:val="000000"/>
        </w:rPr>
      </w:pPr>
      <w:r w:rsidRPr="00FF37B7">
        <w:rPr>
          <w:color w:val="000000"/>
        </w:rPr>
        <w:t>5.44</w:t>
      </w:r>
      <w:r w:rsidR="000513A2" w:rsidRPr="00FF37B7">
        <w:rPr>
          <w:color w:val="000000"/>
        </w:rPr>
        <w:t>4B</w:t>
      </w:r>
    </w:p>
    <w:p w:rsidR="000513A2" w:rsidRPr="00FF37B7" w:rsidRDefault="00115597" w:rsidP="00EC545A">
      <w:pPr>
        <w:spacing w:before="24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r w:rsidR="00DF54E0">
        <w:t>     </w:t>
      </w:r>
      <w:r w:rsidR="00DF54E0">
        <w:rPr>
          <w:sz w:val="16"/>
          <w:szCs w:val="16"/>
        </w:rPr>
        <w:t>(MOD RRB12/</w:t>
      </w:r>
      <w:r w:rsidR="00EC545A">
        <w:rPr>
          <w:sz w:val="16"/>
          <w:szCs w:val="16"/>
        </w:rPr>
        <w:t>60</w:t>
      </w:r>
      <w:r w:rsidR="00DF54E0">
        <w:rPr>
          <w:sz w:val="16"/>
          <w:szCs w:val="16"/>
        </w:rPr>
        <w:t>)</w:t>
      </w:r>
    </w:p>
    <w:p w:rsidR="000513A2" w:rsidRPr="00FF37B7" w:rsidRDefault="00115597" w:rsidP="00EC545A">
      <w:pPr>
        <w:spacing w:before="240"/>
      </w:pPr>
      <w:r w:rsidRPr="00FF37B7">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 (</w:t>
      </w:r>
      <w:r>
        <w:rPr>
          <w:b/>
          <w:bCs/>
        </w:rPr>
        <w:t>Rev.</w:t>
      </w:r>
      <w:r w:rsidRPr="00FF37B7">
        <w:rPr>
          <w:b/>
          <w:bCs/>
        </w:rPr>
        <w:t>WRC-</w:t>
      </w:r>
      <w:r>
        <w:rPr>
          <w:b/>
          <w:bCs/>
        </w:rPr>
        <w:t>12</w:t>
      </w:r>
      <w:r w:rsidRPr="00FF37B7">
        <w:rPr>
          <w:b/>
          <w:bCs/>
        </w:rPr>
        <w:t>)</w:t>
      </w:r>
      <w:r w:rsidRPr="00FF37B7">
        <w:t>, the recording of any such assignment in the MIFR will be associated with the symbol “R” in column 13B2 (</w:t>
      </w:r>
      <w:r w:rsidRPr="00FF37B7">
        <w:rPr>
          <w:i/>
          <w:iCs/>
        </w:rPr>
        <w:t>“Finding observation”</w:t>
      </w:r>
      <w:r w:rsidRPr="00FF37B7">
        <w:t>)</w:t>
      </w:r>
      <w:r w:rsidRPr="00FF37B7">
        <w:rPr>
          <w:i/>
          <w:iCs/>
        </w:rPr>
        <w:t xml:space="preserve"> </w:t>
      </w:r>
      <w:r w:rsidRPr="00FF37B7">
        <w:t>and with symbol “RS748” in column 13B1 (</w:t>
      </w:r>
      <w:r w:rsidRPr="00FF37B7">
        <w:rPr>
          <w:i/>
          <w:iCs/>
        </w:rPr>
        <w:t>“Finding reference”</w:t>
      </w:r>
      <w:r w:rsidRPr="00FF37B7">
        <w:t xml:space="preserve">). 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Pr>
          <w:b/>
          <w:bCs/>
        </w:rPr>
        <w:t>12</w:t>
      </w:r>
      <w:r w:rsidRPr="00FF37B7">
        <w:rPr>
          <w:b/>
          <w:bCs/>
        </w:rPr>
        <w:t>)</w:t>
      </w:r>
      <w:r w:rsidRPr="00FF37B7">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12</w:t>
      </w:r>
      <w:r w:rsidRPr="00FF37B7">
        <w:rPr>
          <w:b/>
          <w:bCs/>
        </w:rPr>
        <w:t>)</w:t>
      </w:r>
      <w:r w:rsidRPr="00FF37B7">
        <w:t>.</w:t>
      </w:r>
      <w:r w:rsidR="00DF54E0">
        <w:t xml:space="preserve">     </w:t>
      </w:r>
      <w:r w:rsidR="00DF54E0">
        <w:rPr>
          <w:sz w:val="16"/>
          <w:szCs w:val="16"/>
        </w:rPr>
        <w:t>(MOD RRB12/</w:t>
      </w:r>
      <w:r w:rsidR="00EC545A">
        <w:rPr>
          <w:sz w:val="16"/>
          <w:szCs w:val="16"/>
        </w:rPr>
        <w:t>60</w:t>
      </w:r>
      <w:r w:rsidR="00DF54E0">
        <w:rPr>
          <w:sz w:val="16"/>
          <w:szCs w:val="16"/>
        </w:rPr>
        <w:t>)</w:t>
      </w:r>
    </w:p>
    <w:p w:rsidR="000513A2" w:rsidRPr="00FF37B7" w:rsidRDefault="000513A2" w:rsidP="006718B9">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12</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12</w:t>
      </w:r>
      <w:r w:rsidR="00115597" w:rsidRPr="00FF37B7">
        <w:rPr>
          <w:b/>
          <w:bCs/>
        </w:rPr>
        <w:t>)</w:t>
      </w:r>
      <w:r w:rsidR="00115597" w:rsidRPr="00FF37B7">
        <w:t>.</w:t>
      </w:r>
      <w:r w:rsidR="00DF54E0">
        <w:t xml:space="preserve">     </w:t>
      </w:r>
      <w:r w:rsidR="00DF54E0">
        <w:rPr>
          <w:sz w:val="16"/>
          <w:szCs w:val="16"/>
        </w:rPr>
        <w:t>(MOD RRB12/</w:t>
      </w:r>
      <w:r w:rsidR="00EC545A">
        <w:rPr>
          <w:sz w:val="16"/>
          <w:szCs w:val="16"/>
        </w:rPr>
        <w:t>60</w:t>
      </w:r>
      <w:r w:rsidR="00DF54E0">
        <w:rPr>
          <w:sz w:val="16"/>
          <w:szCs w:val="16"/>
        </w:rPr>
        <w:t>)</w:t>
      </w:r>
    </w:p>
    <w:p w:rsidR="008E5494" w:rsidRDefault="008E5494">
      <w:pPr>
        <w:tabs>
          <w:tab w:val="clear" w:pos="1134"/>
          <w:tab w:val="clear" w:pos="1871"/>
          <w:tab w:val="clear" w:pos="2268"/>
        </w:tabs>
        <w:overflowPunct/>
        <w:autoSpaceDE/>
        <w:autoSpaceDN/>
        <w:adjustRightInd/>
        <w:spacing w:before="0"/>
        <w:jc w:val="left"/>
        <w:textAlignment w:val="auto"/>
      </w:pPr>
      <w:r>
        <w:br w:type="page"/>
      </w:r>
    </w:p>
    <w:p w:rsidR="000513A2" w:rsidRPr="00FF37B7" w:rsidRDefault="000513A2" w:rsidP="000513A2">
      <w:pPr>
        <w:pStyle w:val="Heading8"/>
        <w:spacing w:before="240"/>
        <w:rPr>
          <w:color w:val="000000"/>
        </w:rPr>
      </w:pPr>
      <w:r w:rsidRPr="00FF37B7">
        <w:rPr>
          <w:color w:val="000000"/>
        </w:rPr>
        <w:lastRenderedPageBreak/>
        <w:t>5.446A</w:t>
      </w:r>
    </w:p>
    <w:p w:rsidR="000513A2" w:rsidRPr="00FF37B7" w:rsidRDefault="000513A2" w:rsidP="00E43972">
      <w:pPr>
        <w:rPr>
          <w:color w:val="000000"/>
        </w:rPr>
      </w:pPr>
      <w:r w:rsidRPr="00FF37B7">
        <w:rPr>
          <w:color w:val="000000"/>
        </w:rPr>
        <w:t>1</w:t>
      </w:r>
      <w:r w:rsidRPr="00FF37B7">
        <w:rPr>
          <w:color w:val="000000"/>
        </w:rPr>
        <w:tab/>
        <w:t>This provision stipulates that the use of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 MHz by the stations in the mobile</w:t>
      </w:r>
      <w:r w:rsidR="001C50C5" w:rsidRPr="00FF37B7">
        <w:rPr>
          <w:color w:val="000000"/>
        </w:rPr>
        <w:t>, except aeronautical mobile,</w:t>
      </w:r>
      <w:r w:rsidRPr="00FF37B7">
        <w:rPr>
          <w:color w:val="000000"/>
        </w:rPr>
        <w:t xml:space="preserve"> service shall be in accor</w:t>
      </w:r>
      <w:r w:rsidR="00C6682E" w:rsidRPr="00FF37B7">
        <w:rPr>
          <w:color w:val="000000"/>
        </w:rPr>
        <w:softHyphen/>
      </w:r>
      <w:r w:rsidRPr="00FF37B7">
        <w:rPr>
          <w:color w:val="000000"/>
        </w:rPr>
        <w:t>dance with Resolution</w:t>
      </w:r>
      <w:r w:rsidR="00C6682E" w:rsidRPr="00FF37B7">
        <w:rPr>
          <w:color w:val="000000"/>
        </w:rPr>
        <w:t xml:space="preserve">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Accordingly,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specifies that the use of these bands, by the mobile service, will be for the implementation of wireless access systems (WAS) including radio local area networks (RLAN) (see </w:t>
      </w:r>
      <w:r w:rsidRPr="00FF37B7">
        <w:rPr>
          <w:i/>
          <w:iCs/>
          <w:color w:val="000000"/>
        </w:rPr>
        <w:t>resolves</w:t>
      </w:r>
      <w:r w:rsidRPr="00FF37B7">
        <w:rPr>
          <w:color w:val="000000"/>
        </w:rPr>
        <w:t xml:space="preserve"> 1) and, in addition to this, it specifies the maximum e.i.r.p. levels for stations in the mobile service (see </w:t>
      </w:r>
      <w:r w:rsidRPr="00FF37B7">
        <w:rPr>
          <w:i/>
          <w:iCs/>
          <w:color w:val="000000"/>
        </w:rPr>
        <w:t>resolves</w:t>
      </w:r>
      <w:r w:rsidR="00C6682E" w:rsidRPr="00FF37B7">
        <w:rPr>
          <w:color w:val="000000"/>
        </w:rPr>
        <w:t> </w:t>
      </w:r>
      <w:r w:rsidRPr="00FF37B7">
        <w:rPr>
          <w:color w:val="000000"/>
        </w:rPr>
        <w:t>2, 4 and 6).</w:t>
      </w:r>
    </w:p>
    <w:p w:rsidR="000513A2" w:rsidRPr="00FF37B7" w:rsidRDefault="000513A2" w:rsidP="00E43972">
      <w:pPr>
        <w:rPr>
          <w:color w:val="000000"/>
        </w:rPr>
      </w:pPr>
      <w:r w:rsidRPr="00FF37B7">
        <w:rPr>
          <w:color w:val="000000"/>
        </w:rPr>
        <w:t>As far as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 xml:space="preserve">350 MHz is concerned, the situation is rather simple, given the fact that the provisions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xml:space="preserve"> are applicable to all stations in the mobile</w:t>
      </w:r>
      <w:r w:rsidR="001C50C5" w:rsidRPr="00FF37B7">
        <w:rPr>
          <w:color w:val="000000"/>
        </w:rPr>
        <w:t>, except aeronautical mobile,</w:t>
      </w:r>
      <w:r w:rsidRPr="00FF37B7">
        <w:rPr>
          <w:color w:val="000000"/>
        </w:rPr>
        <w:t xml:space="preserve"> service, </w:t>
      </w:r>
      <w:r w:rsidR="001C50C5" w:rsidRPr="00FF37B7">
        <w:rPr>
          <w:color w:val="000000"/>
        </w:rPr>
        <w:t>with the exception</w:t>
      </w:r>
      <w:r w:rsidRPr="00FF37B7">
        <w:rPr>
          <w:color w:val="000000"/>
        </w:rPr>
        <w:t xml:space="preserve"> </w:t>
      </w:r>
      <w:r w:rsidR="001C50C5" w:rsidRPr="00FF37B7">
        <w:rPr>
          <w:color w:val="000000"/>
        </w:rPr>
        <w:t xml:space="preserve">of </w:t>
      </w:r>
      <w:r w:rsidRPr="00FF37B7">
        <w:rPr>
          <w:color w:val="000000"/>
        </w:rPr>
        <w:t>cases referred to in No. </w:t>
      </w:r>
      <w:r w:rsidRPr="00FF37B7">
        <w:rPr>
          <w:rStyle w:val="Artref"/>
          <w:b/>
          <w:bCs/>
          <w:color w:val="000000"/>
        </w:rPr>
        <w:t>5.447</w:t>
      </w:r>
      <w:r w:rsidRPr="00FF37B7">
        <w:rPr>
          <w:color w:val="000000"/>
        </w:rPr>
        <w:t>, which apply to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250</w:t>
      </w:r>
      <w:r w:rsidR="00C6682E" w:rsidRPr="00FF37B7">
        <w:rPr>
          <w:color w:val="000000"/>
        </w:rPr>
        <w:t xml:space="preserve"> </w:t>
      </w:r>
      <w:r w:rsidRPr="00FF37B7">
        <w:rPr>
          <w:color w:val="000000"/>
        </w:rPr>
        <w:t>MHz and where other (e.g. less stringent) conditions may be established in the context of the application of the procedure of No. </w:t>
      </w:r>
      <w:r w:rsidRPr="00FF37B7">
        <w:rPr>
          <w:rStyle w:val="Artref"/>
          <w:b/>
          <w:bCs/>
          <w:color w:val="000000"/>
        </w:rPr>
        <w:t>9.21</w:t>
      </w:r>
      <w:r w:rsidRPr="00FF37B7">
        <w:rPr>
          <w:color w:val="000000"/>
        </w:rPr>
        <w:t>.</w:t>
      </w:r>
    </w:p>
    <w:p w:rsidR="000513A2" w:rsidRPr="00FF37B7" w:rsidRDefault="000513A2" w:rsidP="00355605">
      <w:pPr>
        <w:rPr>
          <w:color w:val="000000"/>
        </w:rPr>
      </w:pPr>
      <w:r w:rsidRPr="00FF37B7">
        <w:rPr>
          <w:color w:val="000000"/>
        </w:rPr>
        <w:t>On the other hand, the situation in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is more complex, bearing in mind that other provisions are applicable to stations in the mobile</w:t>
      </w:r>
      <w:r w:rsidR="001C50C5" w:rsidRPr="00FF37B7">
        <w:rPr>
          <w:color w:val="000000"/>
        </w:rPr>
        <w:t>, except aeronautical mobile,</w:t>
      </w:r>
      <w:r w:rsidRPr="00FF37B7">
        <w:rPr>
          <w:color w:val="000000"/>
        </w:rPr>
        <w:t xml:space="preserve"> service (e.g. those indicated in Nos. </w:t>
      </w:r>
      <w:r w:rsidRPr="00FF37B7">
        <w:rPr>
          <w:rStyle w:val="Artref"/>
          <w:b/>
          <w:bCs/>
          <w:color w:val="000000"/>
        </w:rPr>
        <w:t>5.451</w:t>
      </w:r>
      <w:r w:rsidRPr="00FF37B7">
        <w:rPr>
          <w:color w:val="000000"/>
        </w:rPr>
        <w:t xml:space="preserve">, </w:t>
      </w:r>
      <w:r w:rsidRPr="00FF37B7">
        <w:rPr>
          <w:rStyle w:val="Artref"/>
          <w:b/>
          <w:bCs/>
          <w:color w:val="000000"/>
        </w:rPr>
        <w:t>5.453</w:t>
      </w:r>
      <w:r w:rsidRPr="00FF37B7">
        <w:rPr>
          <w:color w:val="000000"/>
        </w:rPr>
        <w:t xml:space="preserve"> and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 which are stipulating different conditions (e.g. power limits) than the ones indicated in Resolution</w:t>
      </w:r>
      <w:r w:rsidR="00C6682E" w:rsidRPr="00FF37B7">
        <w:rPr>
          <w:color w:val="000000"/>
        </w:rPr>
        <w:t> </w:t>
      </w:r>
      <w:r w:rsidRPr="00FF37B7">
        <w:rPr>
          <w:rStyle w:val="Resref"/>
          <w:b/>
          <w:bCs/>
          <w:color w:val="000000"/>
        </w:rPr>
        <w:t>229</w:t>
      </w:r>
      <w:r w:rsidR="006B4D05">
        <w:rPr>
          <w:b/>
          <w:bCs/>
          <w:color w:val="000000"/>
        </w:rPr>
        <w:t>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Consequently, administrations referred to in No. </w:t>
      </w:r>
      <w:r w:rsidRPr="00FF37B7">
        <w:rPr>
          <w:rStyle w:val="Artref"/>
          <w:b/>
          <w:bCs/>
          <w:color w:val="000000"/>
        </w:rPr>
        <w:t>5.453</w:t>
      </w:r>
      <w:r w:rsidRPr="00FF37B7">
        <w:rPr>
          <w:color w:val="000000"/>
        </w:rPr>
        <w:t xml:space="preserve"> (for the band 5</w:t>
      </w:r>
      <w:r w:rsidRPr="00FF37B7">
        <w:rPr>
          <w:rFonts w:ascii="Tms Rmn" w:hAnsi="Tms Rmn"/>
          <w:color w:val="000000"/>
          <w:sz w:val="12"/>
        </w:rPr>
        <w:t> </w:t>
      </w:r>
      <w:r w:rsidRPr="00FF37B7">
        <w:rPr>
          <w:color w:val="000000"/>
        </w:rPr>
        <w:t>650-5</w:t>
      </w:r>
      <w:r w:rsidRPr="00FF37B7">
        <w:rPr>
          <w:rFonts w:ascii="Tms Rmn" w:hAnsi="Tms Rmn"/>
          <w:color w:val="000000"/>
          <w:sz w:val="12"/>
        </w:rPr>
        <w:t> </w:t>
      </w:r>
      <w:r w:rsidRPr="00FF37B7">
        <w:rPr>
          <w:color w:val="000000"/>
        </w:rPr>
        <w:t>725 MHz) and in No. </w:t>
      </w:r>
      <w:r w:rsidRPr="00FF37B7">
        <w:rPr>
          <w:rStyle w:val="Artref"/>
          <w:b/>
          <w:bCs/>
          <w:color w:val="000000"/>
        </w:rPr>
        <w:t>5.451</w:t>
      </w:r>
      <w:r w:rsidRPr="00FF37B7">
        <w:rPr>
          <w:color w:val="000000"/>
        </w:rPr>
        <w:t xml:space="preserve"> (for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may implement other appli</w:t>
      </w:r>
      <w:r w:rsidR="00C6682E" w:rsidRPr="00FF37B7">
        <w:rPr>
          <w:color w:val="000000"/>
        </w:rPr>
        <w:softHyphen/>
      </w:r>
      <w:r w:rsidRPr="00FF37B7">
        <w:rPr>
          <w:color w:val="000000"/>
        </w:rPr>
        <w:t>cations in the mobile</w:t>
      </w:r>
      <w:r w:rsidR="001C50C5" w:rsidRPr="00FF37B7">
        <w:rPr>
          <w:color w:val="000000"/>
        </w:rPr>
        <w:t>,</w:t>
      </w:r>
      <w:r w:rsidRPr="00FF37B7">
        <w:rPr>
          <w:color w:val="000000"/>
        </w:rPr>
        <w:t xml:space="preserve"> </w:t>
      </w:r>
      <w:r w:rsidR="001C50C5" w:rsidRPr="00FF37B7">
        <w:rPr>
          <w:color w:val="000000"/>
        </w:rPr>
        <w:t xml:space="preserve">except aeronautical mobile, </w:t>
      </w:r>
      <w:r w:rsidRPr="00FF37B7">
        <w:rPr>
          <w:color w:val="000000"/>
        </w:rPr>
        <w:t>service, which are not necessarily WAS, subject to compliance with the conditions set forth in No. </w:t>
      </w:r>
      <w:r w:rsidRPr="00FF37B7">
        <w:rPr>
          <w:rStyle w:val="Artref"/>
          <w:b/>
          <w:bCs/>
          <w:color w:val="000000"/>
        </w:rPr>
        <w:t>5.451</w:t>
      </w:r>
      <w:r w:rsidRPr="00FF37B7">
        <w:rPr>
          <w:color w:val="000000"/>
        </w:rPr>
        <w:t xml:space="preserve"> and the power limits set forth in Table</w:t>
      </w:r>
      <w:r w:rsidR="00C6682E" w:rsidRPr="00FF37B7">
        <w:rPr>
          <w:color w:val="000000"/>
        </w:rPr>
        <w:t> </w:t>
      </w:r>
      <w:r w:rsidRPr="00FF37B7">
        <w:rPr>
          <w:b/>
          <w:bCs/>
        </w:rPr>
        <w:t>21-2</w:t>
      </w:r>
      <w:r w:rsidRPr="00FF37B7">
        <w:rPr>
          <w:color w:val="000000"/>
        </w:rPr>
        <w:t xml:space="preserve"> of Article </w:t>
      </w:r>
      <w:r w:rsidRPr="00FF37B7">
        <w:rPr>
          <w:rStyle w:val="Artref"/>
          <w:b/>
          <w:bCs/>
          <w:color w:val="000000"/>
        </w:rPr>
        <w:t>21</w:t>
      </w:r>
      <w:r w:rsidRPr="00FF37B7">
        <w:rPr>
          <w:color w:val="000000"/>
        </w:rPr>
        <w:t>.</w:t>
      </w:r>
      <w:r w:rsidR="00355605" w:rsidRPr="00FF37B7">
        <w:t xml:space="preserve"> </w:t>
      </w:r>
      <w:r w:rsidR="00355605">
        <w:t xml:space="preserve">    </w:t>
      </w:r>
      <w:r w:rsidR="00355605">
        <w:rPr>
          <w:sz w:val="16"/>
          <w:szCs w:val="16"/>
        </w:rPr>
        <w:t>(MOD RRB12/59)</w:t>
      </w:r>
    </w:p>
    <w:p w:rsidR="00355605" w:rsidRDefault="000513A2" w:rsidP="00355605">
      <w:pPr>
        <w:rPr>
          <w:color w:val="000000"/>
        </w:rPr>
      </w:pPr>
      <w:r w:rsidRPr="00FF37B7">
        <w:rPr>
          <w:color w:val="000000"/>
        </w:rPr>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w:t>
      </w:r>
      <w:r w:rsidR="001C50C5" w:rsidRPr="00FF37B7">
        <w:rPr>
          <w:color w:val="000000"/>
        </w:rPr>
        <w:t>, except aeronautical mobile,</w:t>
      </w:r>
      <w:r w:rsidRPr="00FF37B7">
        <w:rPr>
          <w:color w:val="000000"/>
        </w:rPr>
        <w:t xml:space="preserv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in conjunction with Table</w:t>
      </w:r>
      <w:r w:rsidR="00C6682E" w:rsidRPr="00FF37B7">
        <w:rPr>
          <w:color w:val="000000"/>
        </w:rPr>
        <w:t xml:space="preserve"> </w:t>
      </w:r>
      <w:r w:rsidRPr="00FF37B7">
        <w:rPr>
          <w:b/>
          <w:bCs/>
        </w:rPr>
        <w:t>21-2</w:t>
      </w:r>
      <w:r w:rsidRPr="00FF37B7">
        <w:rPr>
          <w:color w:val="000000"/>
        </w:rPr>
        <w:t>,</w:t>
      </w:r>
      <w:r w:rsidR="00C6682E" w:rsidRPr="00FF37B7">
        <w:rPr>
          <w:color w:val="000000"/>
        </w:rPr>
        <w:t xml:space="preserve"> </w:t>
      </w:r>
      <w:r w:rsidRPr="00FF37B7">
        <w:rPr>
          <w:color w:val="000000"/>
        </w:rPr>
        <w:t>does not provide for the possibility of notifying terrestrial stations in the mobile</w:t>
      </w:r>
      <w:r w:rsidR="001C50C5" w:rsidRPr="00FF37B7">
        <w:rPr>
          <w:color w:val="000000"/>
        </w:rPr>
        <w:t>, except aeronautical mobile,</w:t>
      </w:r>
      <w:r w:rsidRPr="00FF37B7">
        <w:rPr>
          <w:color w:val="000000"/>
        </w:rPr>
        <w:t xml:space="preserv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t>
      </w:r>
      <w:r w:rsidR="00EB1195">
        <w:rPr>
          <w:rStyle w:val="Resref"/>
          <w:b/>
          <w:bCs/>
          <w:color w:val="000000"/>
        </w:rPr>
        <w:t>Rev.</w:t>
      </w:r>
      <w:r w:rsidRPr="00FF37B7">
        <w:rPr>
          <w:rStyle w:val="Resref"/>
          <w:b/>
          <w:bCs/>
          <w:color w:val="000000"/>
        </w:rPr>
        <w:t>WRC-</w:t>
      </w:r>
      <w:r w:rsidR="006B4D05">
        <w:rPr>
          <w:rStyle w:val="Resref"/>
          <w:b/>
          <w:bCs/>
          <w:color w:val="000000"/>
        </w:rPr>
        <w:t>12</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sidR="00355605">
        <w:rPr>
          <w:color w:val="000000"/>
        </w:rPr>
        <w:t xml:space="preserve"> </w:t>
      </w:r>
      <w:r w:rsidR="00355605">
        <w:rPr>
          <w:color w:val="000000"/>
        </w:rPr>
        <w:br/>
      </w:r>
      <w:r w:rsidR="00355605">
        <w:rPr>
          <w:color w:val="000000"/>
        </w:rPr>
        <w:br w:type="page"/>
      </w:r>
    </w:p>
    <w:p w:rsidR="00355605" w:rsidRDefault="00355605" w:rsidP="00355605">
      <w:pPr>
        <w:rPr>
          <w:color w:val="000000"/>
        </w:rPr>
      </w:pPr>
      <w:r w:rsidRPr="00FF37B7">
        <w:rPr>
          <w:color w:val="000000"/>
        </w:rPr>
        <w:lastRenderedPageBreak/>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w:t>
      </w:r>
      <w:r w:rsidRPr="00FF37B7">
        <w:rPr>
          <w:color w:val="000000"/>
        </w:rPr>
        <w:softHyphen/>
        <w:t>strations listed in No. </w:t>
      </w:r>
      <w:r w:rsidRPr="00FF37B7">
        <w:rPr>
          <w:rStyle w:val="Artref"/>
          <w:b/>
          <w:bCs/>
          <w:color w:val="000000"/>
        </w:rPr>
        <w:t>5.453</w:t>
      </w:r>
      <w:r w:rsidRPr="00FF37B7">
        <w:rPr>
          <w:color w:val="000000"/>
        </w:rPr>
        <w:t xml:space="preserve">, provided that the maximum e.i.r.p. does not exceed 1 W, which implies that each typical station notice receivable in the band </w:t>
      </w:r>
      <w:r>
        <w:rPr>
          <w:color w:val="000000"/>
        </w:rPr>
        <w:br/>
      </w:r>
      <w:r w:rsidRPr="00FF37B7">
        <w:rPr>
          <w:color w:val="000000"/>
        </w:rPr>
        <w:t>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 xml:space="preserve">725 MHz (with an e.i.r.p. of less than or equal to 1 W) is deemed to be part </w:t>
      </w:r>
      <w:r>
        <w:rPr>
          <w:color w:val="000000"/>
        </w:rPr>
        <w:br/>
      </w:r>
      <w:r w:rsidRPr="00FF37B7">
        <w:rPr>
          <w:color w:val="000000"/>
        </w:rPr>
        <w:t>of a WAS.</w:t>
      </w:r>
      <w:r w:rsidRPr="00FF37B7">
        <w:t xml:space="preserve"> </w:t>
      </w:r>
      <w:r>
        <w:t xml:space="preserve">    </w:t>
      </w:r>
      <w:r>
        <w:rPr>
          <w:sz w:val="16"/>
          <w:szCs w:val="16"/>
        </w:rPr>
        <w:t>(MOD RRB12/59)</w:t>
      </w:r>
    </w:p>
    <w:p w:rsidR="00355605" w:rsidRPr="00FF37B7" w:rsidRDefault="00355605" w:rsidP="00355605">
      <w:pPr>
        <w:pStyle w:val="Heading8"/>
      </w:pPr>
      <w:r w:rsidRPr="00FF37B7">
        <w:t>5.484</w:t>
      </w:r>
    </w:p>
    <w:p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rsidR="00355605" w:rsidRPr="00FF37B7" w:rsidRDefault="00355605" w:rsidP="00355605">
      <w:pPr>
        <w:pStyle w:val="Heading8"/>
        <w:rPr>
          <w:color w:val="000000"/>
        </w:rPr>
      </w:pPr>
      <w:r w:rsidRPr="00FF37B7">
        <w:rPr>
          <w:color w:val="000000"/>
        </w:rPr>
        <w:t>5.485</w:t>
      </w:r>
    </w:p>
    <w:p w:rsidR="00355605" w:rsidRPr="00FF37B7" w:rsidRDefault="00355605" w:rsidP="00355605">
      <w:r w:rsidRPr="00FF37B7">
        <w:t>1</w:t>
      </w:r>
      <w:r w:rsidRPr="00FF37B7">
        <w:tab/>
        <w:t>The wording of this provision raised the following basic question: “Is the band 11.7-12.2 GHz in Region 2 allocated to the broadcasting-satellite service?” The Board considered the following:</w:t>
      </w:r>
    </w:p>
    <w:p w:rsidR="00355605" w:rsidRPr="00FF37B7" w:rsidRDefault="00355605" w:rsidP="00355605">
      <w:pPr>
        <w:pStyle w:val="enumlev1"/>
        <w:rPr>
          <w:color w:val="000000"/>
        </w:rPr>
      </w:pPr>
      <w:r w:rsidRPr="00FF37B7">
        <w:rPr>
          <w:i/>
          <w:color w:val="000000"/>
        </w:rPr>
        <w:t>a)</w:t>
      </w:r>
      <w:r w:rsidRPr="00FF37B7">
        <w:rPr>
          <w:color w:val="000000"/>
        </w:rPr>
        <w:tab/>
        <w:t>that the provision is not titled an “additional allocation”. Some provisions do not have such a title and the Board considered them additional allocations. However, in this case, it is not clear that the intent was to permit an additional allocation;</w:t>
      </w:r>
    </w:p>
    <w:p w:rsidR="00355605" w:rsidRPr="00FF37B7" w:rsidRDefault="00355605" w:rsidP="00355605">
      <w:pPr>
        <w:pStyle w:val="enumlev1"/>
        <w:rPr>
          <w:color w:val="000000"/>
        </w:rPr>
      </w:pPr>
      <w:r w:rsidRPr="00FF37B7">
        <w:rPr>
          <w:i/>
          <w:color w:val="000000"/>
        </w:rPr>
        <w:t>b)</w:t>
      </w:r>
      <w:r w:rsidRPr="00FF37B7">
        <w:rPr>
          <w:color w:val="000000"/>
        </w:rPr>
        <w:tab/>
        <w:t>the provision states that “transponders on space stations in the fixed-satellite service may be used additionally ... in the broadcasting-satellite service”: the use of the word “additionally”, together with the last sentence saying that “this band shall be used principally for the fixed-satellite service”, leads to the understanding that the use by the broadcasting-satellite service is not of the same nature as would be the use of a given band by a service to which the band is allocated;</w:t>
      </w:r>
    </w:p>
    <w:p w:rsidR="00355605" w:rsidRPr="00FF37B7" w:rsidRDefault="00355605" w:rsidP="00355605">
      <w:pPr>
        <w:tabs>
          <w:tab w:val="clear" w:pos="1134"/>
          <w:tab w:val="left" w:pos="426"/>
        </w:tabs>
        <w:ind w:left="426" w:hanging="426"/>
      </w:pPr>
      <w:r w:rsidRPr="00FF37B7">
        <w:rPr>
          <w:i/>
          <w:color w:val="000000"/>
        </w:rPr>
        <w:t>c)</w:t>
      </w:r>
      <w:r w:rsidRPr="00FF37B7">
        <w:rPr>
          <w:color w:val="000000"/>
        </w:rPr>
        <w:tab/>
        <w:t xml:space="preserve">the provision refers to transponders, which are to be considered transmitting stations. As the procedures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Resolution </w:t>
      </w:r>
      <w:r w:rsidRPr="00FF37B7">
        <w:rPr>
          <w:rStyle w:val="Resref"/>
          <w:b/>
          <w:bCs/>
          <w:color w:val="000000"/>
        </w:rPr>
        <w:t>33</w:t>
      </w:r>
      <w:r w:rsidRPr="00FF37B7">
        <w:rPr>
          <w:color w:val="000000"/>
        </w:rPr>
        <w:t xml:space="preserve"> </w:t>
      </w:r>
      <w:r w:rsidRPr="00FF37B7">
        <w:rPr>
          <w:rStyle w:val="Resref"/>
          <w:b/>
          <w:bCs/>
          <w:color w:val="000000"/>
        </w:rPr>
        <w:t>(Rev.WRC-03)</w:t>
      </w:r>
      <w:r w:rsidRPr="00FF37B7">
        <w:rPr>
          <w:color w:val="000000"/>
        </w:rPr>
        <w:t xml:space="preserve"> apply to each assignment, each transponder shall be considered independently from the others. Consequently the provision may be interpreted in either of the following two ways:</w:t>
      </w:r>
    </w:p>
    <w:p w:rsidR="00355605" w:rsidRPr="00FF37B7" w:rsidRDefault="00355605" w:rsidP="00355605">
      <w:pPr>
        <w:pStyle w:val="enumlev2"/>
        <w:rPr>
          <w:color w:val="000000"/>
        </w:rPr>
      </w:pPr>
      <w:r w:rsidRPr="00FF37B7">
        <w:rPr>
          <w:color w:val="000000"/>
        </w:rPr>
        <w:t>–</w:t>
      </w:r>
      <w:r w:rsidRPr="00FF37B7">
        <w:rPr>
          <w:color w:val="000000"/>
        </w:rPr>
        <w:tab/>
        <w:t>a first interpretation consists in considering that some transponders will be used for the FSS and others for the BSS, and this is equivalent to a sharing of the band between two services which raises a question about the word “principally”: how many transponders would be allowed for each of the two services?</w:t>
      </w:r>
    </w:p>
    <w:p w:rsidR="00355605" w:rsidRPr="00FF37B7" w:rsidRDefault="00355605" w:rsidP="00355605">
      <w:pPr>
        <w:pStyle w:val="enumlev2"/>
        <w:rPr>
          <w:color w:val="000000"/>
        </w:rPr>
      </w:pPr>
      <w:r w:rsidRPr="00FF37B7">
        <w:rPr>
          <w:color w:val="000000"/>
        </w:rPr>
        <w:t>–</w:t>
      </w:r>
      <w:r w:rsidRPr="00FF37B7">
        <w:rPr>
          <w:color w:val="000000"/>
        </w:rPr>
        <w:tab/>
        <w:t>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that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or that of Resolution </w:t>
      </w:r>
      <w:r w:rsidRPr="00FF37B7">
        <w:rPr>
          <w:rStyle w:val="Resref"/>
          <w:b/>
          <w:bCs/>
          <w:color w:val="000000"/>
        </w:rPr>
        <w:t>33</w:t>
      </w:r>
      <w:r w:rsidRPr="00FF37B7">
        <w:rPr>
          <w:color w:val="000000"/>
        </w:rPr>
        <w:t xml:space="preserve"> </w:t>
      </w:r>
      <w:r w:rsidRPr="00FF37B7">
        <w:rPr>
          <w:rStyle w:val="Resref"/>
          <w:b/>
          <w:bCs/>
          <w:color w:val="000000"/>
        </w:rPr>
        <w:t>(Rev.WRC-03)</w:t>
      </w:r>
      <w:r w:rsidRPr="00FF37B7">
        <w:t>?</w:t>
      </w:r>
    </w:p>
    <w:p w:rsidR="00355605" w:rsidRPr="00FF37B7" w:rsidRDefault="00355605" w:rsidP="0087510C">
      <w:pPr>
        <w:rPr>
          <w:color w:val="000000"/>
        </w:rPr>
      </w:pPr>
    </w:p>
    <w:p w:rsidR="006B4D05" w:rsidRDefault="006B4D05">
      <w:pPr>
        <w:pStyle w:val="Heading8"/>
        <w:rPr>
          <w:color w:val="000000"/>
        </w:rPr>
        <w:sectPr w:rsidR="006B4D05" w:rsidSect="00BB7A92">
          <w:headerReference w:type="even" r:id="rId33"/>
          <w:headerReference w:type="default" r:id="rId34"/>
          <w:footnotePr>
            <w:pos w:val="beneathText"/>
          </w:footnotePr>
          <w:pgSz w:w="11907" w:h="16840" w:code="9"/>
          <w:pgMar w:top="1701" w:right="851" w:bottom="1134" w:left="1985" w:header="720" w:footer="482" w:gutter="0"/>
          <w:cols w:space="720"/>
          <w:vAlign w:val="both"/>
        </w:sectPr>
      </w:pPr>
    </w:p>
    <w:p w:rsidR="004060BD" w:rsidRDefault="004060BD" w:rsidP="00044477">
      <w:pPr>
        <w:rPr>
          <w:color w:val="000000"/>
        </w:rPr>
      </w:pPr>
      <w:r w:rsidRPr="00FF37B7">
        <w:rPr>
          <w:color w:val="000000"/>
        </w:rPr>
        <w:lastRenderedPageBreak/>
        <w:t>2</w:t>
      </w:r>
      <w:r w:rsidRPr="00FF37B7">
        <w:rPr>
          <w:color w:val="000000"/>
        </w:rPr>
        <w:tab/>
        <w:t>Keeping in mind the above comments, the Board concluded that the band 11.7-12.2</w:t>
      </w:r>
      <w:r w:rsidR="00044477" w:rsidRPr="00FF37B7">
        <w:rPr>
          <w:color w:val="000000"/>
        </w:rPr>
        <w:t> </w:t>
      </w:r>
      <w:r w:rsidRPr="00FF37B7">
        <w:rPr>
          <w:color w:val="000000"/>
        </w:rPr>
        <w:t xml:space="preserve">GHz is not allocated in Region 2 to the broadcasting-satellite service. Those transponders of the fixed-satellite service which are used for broadcasting-satellite purposes will be treated in accordance with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Appendix </w:t>
      </w:r>
      <w:r w:rsidRPr="00FF37B7">
        <w:rPr>
          <w:rStyle w:val="Appref"/>
          <w:b/>
          <w:bCs/>
          <w:color w:val="000000"/>
        </w:rPr>
        <w:t>30</w:t>
      </w:r>
      <w:r w:rsidRPr="00FF37B7">
        <w:rPr>
          <w:color w:val="000000"/>
        </w:rPr>
        <w:t xml:space="preserve"> if required to define inter-regional sharing). When such a use is indicated in the notice, the Bureau will assume that the coordi</w:t>
      </w:r>
      <w:r w:rsidR="00044477" w:rsidRPr="00FF37B7">
        <w:rPr>
          <w:color w:val="000000"/>
        </w:rPr>
        <w:softHyphen/>
      </w:r>
      <w:r w:rsidRPr="00FF37B7">
        <w:rPr>
          <w:color w:val="000000"/>
        </w:rPr>
        <w:t>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w:t>
      </w:r>
      <w:r w:rsidR="00044477" w:rsidRPr="00FF37B7">
        <w:rPr>
          <w:color w:val="000000"/>
        </w:rPr>
        <w:t> </w:t>
      </w:r>
      <w:r w:rsidRPr="00FF37B7">
        <w:rPr>
          <w:color w:val="000000"/>
        </w:rPr>
        <w:t>dBW to be a limit not to be exceeded.</w:t>
      </w:r>
    </w:p>
    <w:p w:rsidR="004060BD" w:rsidRPr="00FF37B7" w:rsidRDefault="004060BD">
      <w:pPr>
        <w:pStyle w:val="Heading8"/>
        <w:rPr>
          <w:color w:val="000000"/>
        </w:rPr>
      </w:pPr>
      <w:r w:rsidRPr="00FF37B7">
        <w:rPr>
          <w:color w:val="000000"/>
        </w:rPr>
        <w:t>5.488</w:t>
      </w:r>
    </w:p>
    <w:p w:rsidR="004060BD" w:rsidRPr="00FF37B7" w:rsidRDefault="004060BD">
      <w:pPr>
        <w:pStyle w:val="Headingb"/>
        <w:spacing w:before="240"/>
        <w:rPr>
          <w:color w:val="000000"/>
        </w:rPr>
      </w:pPr>
      <w:r w:rsidRPr="00FF37B7">
        <w:rPr>
          <w:color w:val="000000"/>
        </w:rPr>
        <w:t>Application of power flux-density (PFD) No. 9.14 coordination thresholds (Region 2 GSO FSS in the band 11.7-12.2 GHz) to steerable beams</w:t>
      </w:r>
    </w:p>
    <w:p w:rsidR="004060BD" w:rsidRPr="00FF37B7" w:rsidRDefault="004060BD">
      <w:pPr>
        <w:rPr>
          <w:color w:val="000000"/>
        </w:rPr>
      </w:pPr>
      <w:r w:rsidRPr="00FF37B7">
        <w:rPr>
          <w:color w:val="000000"/>
        </w:rPr>
        <w:t>1</w:t>
      </w:r>
      <w:r w:rsidRPr="00FF37B7">
        <w:rPr>
          <w:color w:val="000000"/>
        </w:rPr>
        <w:tab/>
        <w:t>Use of steerable beams is becoming widespread. PFD values produced by assignments in steerable beams often exceed the applicable PFD coordination thresholds for some or all positions of those beams. In these cases, administrations tend to state that PFD coordination thresholds will not be exceeded and sometimes provide appropriate technical description as to how it would be done.</w:t>
      </w:r>
    </w:p>
    <w:p w:rsidR="004060BD" w:rsidRPr="00FF37B7" w:rsidRDefault="004060BD">
      <w:pPr>
        <w:rPr>
          <w:color w:val="000000"/>
        </w:rPr>
      </w:pPr>
      <w:r w:rsidRPr="00FF37B7">
        <w:rPr>
          <w:color w:val="000000"/>
        </w:rPr>
        <w:t>2</w:t>
      </w:r>
      <w:r w:rsidRPr="00FF37B7">
        <w:rPr>
          <w:color w:val="000000"/>
        </w:rPr>
        <w:tab/>
        <w:t>For the purpose of transparency and to set an upper limit on the acceptable extent of the PFD control and avoid subjectivity in the evaluation of the PFD control method, the Board concluded that until the time that a relevant ITU-R Recommendation is available, the following Rule will apply on a provisional basis.</w:t>
      </w:r>
    </w:p>
    <w:p w:rsidR="004060BD" w:rsidRPr="00FF37B7" w:rsidRDefault="004060BD">
      <w:pPr>
        <w:rPr>
          <w:color w:val="000000"/>
        </w:rPr>
      </w:pPr>
      <w:r w:rsidRPr="00FF37B7">
        <w:rPr>
          <w:color w:val="000000"/>
        </w:rPr>
        <w:t>3</w:t>
      </w:r>
      <w:r w:rsidRPr="00FF37B7">
        <w:rPr>
          <w:color w:val="000000"/>
        </w:rPr>
        <w:tab/>
        <w:t>In cases where frequency assignments in steerable beams of a GSO FSS satellite network operating in the band 11.7-12.2 GHz exceed, for certain positions of these beams, the PFD 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rsidR="004060BD" w:rsidRPr="00FF37B7" w:rsidRDefault="004060BD">
      <w:pPr>
        <w:pStyle w:val="enumlev1"/>
        <w:rPr>
          <w:color w:val="000000"/>
          <w:u w:val="single"/>
        </w:rPr>
      </w:pPr>
      <w:r w:rsidRPr="00FF37B7">
        <w:rPr>
          <w:i/>
          <w:color w:val="000000"/>
        </w:rPr>
        <w:t>a)</w:t>
      </w:r>
      <w:r w:rsidRPr="00FF37B7">
        <w:rPr>
          <w:color w:val="000000"/>
        </w:rPr>
        <w:tab/>
        <w:t>there is at least one position of the steerable beam where the applicable PFD coordination thresholds are not exceeded without any reduction of the notified power density; and</w:t>
      </w:r>
    </w:p>
    <w:p w:rsidR="004060BD" w:rsidRPr="00FF37B7" w:rsidRDefault="004060BD" w:rsidP="00044477">
      <w:pPr>
        <w:pStyle w:val="enumlev1"/>
        <w:rPr>
          <w:color w:val="000000"/>
        </w:rPr>
      </w:pPr>
      <w:r w:rsidRPr="00FF37B7">
        <w:rPr>
          <w:i/>
          <w:color w:val="000000"/>
        </w:rPr>
        <w:t>b)</w:t>
      </w:r>
      <w:r w:rsidRPr="00FF37B7">
        <w:rPr>
          <w:color w:val="000000"/>
        </w:rPr>
        <w:tab/>
        <w:t>the administration states that for the other positions of the steerable beam the applicable PFD 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rsidR="004060BD" w:rsidRPr="00FF37B7" w:rsidRDefault="004060BD">
      <w:pPr>
        <w:pStyle w:val="Heading8"/>
        <w:rPr>
          <w:color w:val="000000"/>
        </w:rPr>
      </w:pPr>
      <w:r w:rsidRPr="00FF37B7">
        <w:rPr>
          <w:color w:val="000000"/>
        </w:rPr>
        <w:t>5.492</w:t>
      </w:r>
    </w:p>
    <w:p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rsidR="004060BD" w:rsidRPr="00FF37B7" w:rsidRDefault="004060BD">
      <w:pPr>
        <w:pStyle w:val="Heading8"/>
        <w:rPr>
          <w:color w:val="000000"/>
        </w:rPr>
      </w:pPr>
      <w:r w:rsidRPr="00FF37B7">
        <w:rPr>
          <w:color w:val="000000"/>
        </w:rPr>
        <w:lastRenderedPageBreak/>
        <w:t>5.496</w:t>
      </w:r>
    </w:p>
    <w:p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Region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rsidR="004060BD" w:rsidRPr="00FF37B7" w:rsidRDefault="004060BD">
      <w:pPr>
        <w:pStyle w:val="Heading8"/>
        <w:rPr>
          <w:color w:val="000000"/>
        </w:rPr>
      </w:pPr>
      <w:r w:rsidRPr="00FF37B7">
        <w:rPr>
          <w:color w:val="000000"/>
        </w:rPr>
        <w:t>5.502</w:t>
      </w:r>
    </w:p>
    <w:p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rsidR="004060BD" w:rsidRPr="00FF37B7" w:rsidRDefault="004060BD" w:rsidP="003D65EE">
      <w:pPr>
        <w:spacing w:line="270" w:lineRule="exact"/>
        <w:rPr>
          <w:color w:val="000000"/>
        </w:rPr>
      </w:pPr>
      <w:r w:rsidRPr="00FF37B7">
        <w:rPr>
          <w:color w:val="000000"/>
        </w:rPr>
        <w:t>2</w:t>
      </w:r>
      <w:r w:rsidRPr="00FF37B7">
        <w:rPr>
          <w:color w:val="000000"/>
        </w:rPr>
        <w:tab/>
        <w:t xml:space="preserve">Power flux-density (PFD)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rsidR="004060BD" w:rsidRPr="00FF37B7" w:rsidRDefault="004060BD" w:rsidP="003D65EE">
      <w:pPr>
        <w:pStyle w:val="Heading8"/>
        <w:rPr>
          <w:color w:val="000000"/>
        </w:rPr>
      </w:pPr>
      <w:r w:rsidRPr="00FF37B7">
        <w:rPr>
          <w:color w:val="000000"/>
        </w:rPr>
        <w:t>5.503</w:t>
      </w:r>
    </w:p>
    <w:p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rsidR="00AF2E51" w:rsidRDefault="00AF2E51" w:rsidP="00704EC7">
      <w:pPr>
        <w:pStyle w:val="enumlev1"/>
      </w:pPr>
      <w:r>
        <w:br w:type="page"/>
      </w:r>
    </w:p>
    <w:p w:rsidR="00704EC7" w:rsidRPr="00FF37B7" w:rsidRDefault="00704EC7" w:rsidP="00704EC7">
      <w:pPr>
        <w:pStyle w:val="enumlev1"/>
      </w:pPr>
      <w:r w:rsidRPr="00FF37B7">
        <w:lastRenderedPageBreak/>
        <w:t>i)</w:t>
      </w:r>
      <w:r w:rsidRPr="00FF37B7">
        <w:tab/>
        <w:t>those prevailing in clear-sky conditions, or</w:t>
      </w:r>
    </w:p>
    <w:p w:rsidR="00704EC7" w:rsidRDefault="00704EC7" w:rsidP="00704EC7">
      <w:pPr>
        <w:pStyle w:val="enumlev1"/>
      </w:pPr>
      <w:r w:rsidRPr="00FF37B7">
        <w:t>ii)</w:t>
      </w:r>
      <w:r w:rsidRPr="00FF37B7">
        <w:tab/>
        <w:t>those prevailing during rainfall.</w:t>
      </w:r>
    </w:p>
    <w:p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rsidR="004060BD" w:rsidRPr="00FF37B7" w:rsidRDefault="00704EC7" w:rsidP="00BA2AB6">
      <w:pPr>
        <w:rPr>
          <w:sz w:val="16"/>
          <w:szCs w:val="16"/>
        </w:rPr>
      </w:pPr>
      <w:r w:rsidRPr="00FF37B7">
        <w:rPr>
          <w:color w:val="000000"/>
        </w:rPr>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4060BD" w:rsidRPr="00FF37B7" w:rsidTr="00FE282F">
        <w:tc>
          <w:tcPr>
            <w:tcW w:w="3116" w:type="dxa"/>
            <w:tcBorders>
              <w:top w:val="nil"/>
              <w:left w:val="nil"/>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rsidTr="00FE282F">
        <w:trPr>
          <w:cantSplit/>
        </w:trPr>
        <w:tc>
          <w:tcPr>
            <w:tcW w:w="3116" w:type="dxa"/>
            <w:vMerge w:val="restart"/>
            <w:vAlign w:val="center"/>
          </w:tcPr>
          <w:p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rsidTr="00FE282F">
        <w:trPr>
          <w:cantSplit/>
        </w:trPr>
        <w:tc>
          <w:tcPr>
            <w:tcW w:w="3116" w:type="dxa"/>
            <w:vMerge/>
            <w:tcBorders>
              <w:bottom w:val="single" w:sz="4" w:space="0" w:color="auto"/>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675DFA"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rsidTr="00FE282F">
        <w:trPr>
          <w:cantSplit/>
        </w:trPr>
        <w:tc>
          <w:tcPr>
            <w:tcW w:w="3116" w:type="dxa"/>
            <w:tcBorders>
              <w:top w:val="nil"/>
            </w:tcBorders>
            <w:vAlign w:val="center"/>
          </w:tcPr>
          <w:p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rsidR="004060BD" w:rsidRPr="00FF37B7" w:rsidRDefault="004060BD" w:rsidP="00FE282F">
            <w:pPr>
              <w:pStyle w:val="Tabletext0"/>
              <w:framePr w:hSpace="181" w:wrap="around" w:vAnchor="text" w:hAnchor="margin" w:xAlign="center" w:y="1"/>
              <w:jc w:val="center"/>
              <w:rPr>
                <w:color w:val="000000"/>
                <w:lang w:val="en-GB"/>
              </w:rPr>
            </w:pPr>
          </w:p>
        </w:tc>
      </w:tr>
    </w:tbl>
    <w:p w:rsidR="004060BD" w:rsidRPr="00FF37B7" w:rsidRDefault="004060BD">
      <w:pPr>
        <w:pStyle w:val="TableFin"/>
        <w:rPr>
          <w:color w:val="000000"/>
          <w:sz w:val="22"/>
        </w:rPr>
      </w:pPr>
    </w:p>
    <w:p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rsidR="004060BD" w:rsidRPr="00FF37B7" w:rsidRDefault="004060BD" w:rsidP="003D65EE">
      <w:pPr>
        <w:pStyle w:val="Heading8"/>
        <w:rPr>
          <w:color w:val="000000"/>
        </w:rPr>
      </w:pPr>
      <w:r w:rsidRPr="00FF37B7">
        <w:rPr>
          <w:color w:val="000000"/>
        </w:rPr>
        <w:t>5.504B</w:t>
      </w:r>
    </w:p>
    <w:p w:rsidR="004060BD" w:rsidRDefault="004060BD">
      <w:pPr>
        <w:rPr>
          <w:color w:val="000000"/>
        </w:rPr>
      </w:pPr>
      <w:r w:rsidRPr="00FF37B7">
        <w:rPr>
          <w:color w:val="000000"/>
        </w:rPr>
        <w:t xml:space="preserve">With respect to the observance of mandatory power flux-density limits and other conditions of Recommendation ITU-R M.1643,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rsidR="00871D8B" w:rsidRDefault="00871D8B">
      <w:pPr>
        <w:tabs>
          <w:tab w:val="clear" w:pos="1134"/>
          <w:tab w:val="clear" w:pos="1871"/>
          <w:tab w:val="clear" w:pos="2268"/>
        </w:tabs>
        <w:overflowPunct/>
        <w:autoSpaceDE/>
        <w:autoSpaceDN/>
        <w:adjustRightInd/>
        <w:spacing w:before="0"/>
        <w:jc w:val="left"/>
        <w:textAlignment w:val="auto"/>
        <w:rPr>
          <w:color w:val="000000"/>
        </w:rPr>
        <w:sectPr w:rsidR="00871D8B" w:rsidSect="00BB7A92">
          <w:headerReference w:type="even" r:id="rId35"/>
          <w:headerReference w:type="default" r:id="rId36"/>
          <w:footnotePr>
            <w:pos w:val="beneathText"/>
          </w:footnotePr>
          <w:pgSz w:w="11907" w:h="16840" w:code="9"/>
          <w:pgMar w:top="1701" w:right="851" w:bottom="1134" w:left="1985" w:header="720" w:footer="482" w:gutter="0"/>
          <w:cols w:space="720"/>
          <w:vAlign w:val="both"/>
        </w:sectPr>
      </w:pPr>
    </w:p>
    <w:p w:rsidR="00CF2896" w:rsidRPr="00FF37B7" w:rsidRDefault="00CF2896" w:rsidP="00CF2896">
      <w:pPr>
        <w:pStyle w:val="Heading8"/>
        <w:rPr>
          <w:color w:val="000000"/>
        </w:rPr>
      </w:pPr>
      <w:r w:rsidRPr="00FF37B7">
        <w:rPr>
          <w:color w:val="000000"/>
        </w:rPr>
        <w:lastRenderedPageBreak/>
        <w:t>5.504C</w:t>
      </w:r>
    </w:p>
    <w:p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CF2896" w:rsidRPr="00FF37B7" w:rsidRDefault="00CF2896" w:rsidP="00CF2896">
      <w:pPr>
        <w:pStyle w:val="Heading8"/>
      </w:pPr>
      <w:r w:rsidRPr="00FF37B7">
        <w:t>5.506A</w:t>
      </w:r>
    </w:p>
    <w:p w:rsidR="00CF2896" w:rsidRPr="00FF37B7" w:rsidRDefault="00CF2896" w:rsidP="006718B9">
      <w:pPr>
        <w:tabs>
          <w:tab w:val="left" w:pos="567"/>
        </w:tabs>
        <w:spacing w:line="270" w:lineRule="exact"/>
      </w:pPr>
      <w:r w:rsidRPr="00FF37B7">
        <w:t xml:space="preserve">As from 5 July 2003, No. </w:t>
      </w:r>
      <w:r w:rsidRPr="00FF37B7">
        <w:rPr>
          <w:rStyle w:val="Artref"/>
          <w:b/>
          <w:bCs/>
          <w:color w:val="000000"/>
        </w:rPr>
        <w:t>5.506A</w:t>
      </w:r>
      <w:r w:rsidRPr="00FF37B7">
        <w:t xml:space="preserve"> requires </w:t>
      </w:r>
      <w:r w:rsidRPr="00FF37B7">
        <w:rPr>
          <w:color w:val="000000"/>
        </w:rPr>
        <w:t>ship earth stations</w:t>
      </w:r>
      <w:r w:rsidRPr="00FF37B7">
        <w:t xml:space="preserve"> in</w:t>
      </w:r>
      <w:r w:rsidRPr="00FF37B7">
        <w:rPr>
          <w:color w:val="000000"/>
        </w:rPr>
        <w:t xml:space="preserve"> the frequency band 14-14.5 GHz with an e.i.r.p. greater than 21 dBW to operate under the same conditions as earth stations located on board vessels, as provided in Resolution </w:t>
      </w:r>
      <w:r w:rsidRPr="00FF37B7">
        <w:rPr>
          <w:rStyle w:val="Resref"/>
          <w:b/>
          <w:bCs/>
          <w:color w:val="000000"/>
        </w:rPr>
        <w:t>902</w:t>
      </w:r>
      <w:r w:rsidRPr="00FF37B7">
        <w:rPr>
          <w:b/>
          <w:color w:val="000000"/>
        </w:rPr>
        <w:t xml:space="preserve"> (WRC</w:t>
      </w:r>
      <w:r w:rsidRPr="00FF37B7">
        <w:rPr>
          <w:b/>
          <w:color w:val="000000"/>
        </w:rPr>
        <w:noBreakHyphen/>
        <w:t>03)</w:t>
      </w:r>
      <w:r w:rsidRPr="00FF37B7">
        <w:rPr>
          <w:color w:val="000000"/>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w:t>
      </w:r>
      <w:r w:rsidRPr="00FF37B7">
        <w:rPr>
          <w:color w:val="000000"/>
        </w:rPr>
        <w:t xml:space="preserve">(the relation between gain and diameter is derived for the lowest frequency of the band, i.e. </w:t>
      </w:r>
      <w:r w:rsidRPr="00FF37B7">
        <w:rPr>
          <w:i/>
          <w:iCs/>
          <w:color w:val="000000"/>
        </w:rPr>
        <w:t>f</w:t>
      </w:r>
      <w:r w:rsidRPr="00FF37B7">
        <w:rPr>
          <w:color w:val="000000"/>
        </w:rPr>
        <w:t> </w:t>
      </w:r>
      <w:r w:rsidRPr="00FF37B7">
        <w:rPr>
          <w:rFonts w:ascii="Symbol" w:hAnsi="Symbol"/>
        </w:rPr>
        <w:t></w:t>
      </w:r>
      <w:r w:rsidRPr="00FF37B7">
        <w:rPr>
          <w:color w:val="000000"/>
        </w:rPr>
        <w:t> 14 GHz, and antenna efficiency of 57.2%).</w:t>
      </w:r>
    </w:p>
    <w:p w:rsidR="00CF2896" w:rsidRPr="00FF37B7" w:rsidRDefault="00CF2896" w:rsidP="00CF2896">
      <w:pPr>
        <w:pStyle w:val="Heading8"/>
        <w:rPr>
          <w:color w:val="000000"/>
        </w:rPr>
      </w:pPr>
      <w:r w:rsidRPr="00FF37B7">
        <w:rPr>
          <w:color w:val="000000"/>
        </w:rPr>
        <w:t>5.508A</w:t>
      </w:r>
    </w:p>
    <w:p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CF2896" w:rsidRPr="00FF37B7" w:rsidRDefault="00CF2896" w:rsidP="00CF2896">
      <w:pPr>
        <w:pStyle w:val="Heading8"/>
        <w:rPr>
          <w:color w:val="000000"/>
        </w:rPr>
      </w:pPr>
      <w:r w:rsidRPr="00FF37B7">
        <w:rPr>
          <w:color w:val="000000"/>
        </w:rPr>
        <w:t>5.509A</w:t>
      </w:r>
    </w:p>
    <w:p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r>
        <w:rPr>
          <w:color w:val="000000"/>
        </w:rPr>
        <w:tab/>
      </w:r>
      <w:r>
        <w:rPr>
          <w:color w:val="000000"/>
        </w:rPr>
        <w:tab/>
      </w:r>
      <w:r w:rsidRPr="00B83E5F">
        <w:rPr>
          <w:b w:val="0"/>
          <w:bCs/>
          <w:color w:val="000000"/>
          <w:sz w:val="16"/>
          <w:szCs w:val="16"/>
        </w:rPr>
        <w:t>(</w:t>
      </w:r>
      <w:r w:rsidRPr="009D565B">
        <w:rPr>
          <w:b w:val="0"/>
          <w:bCs/>
          <w:sz w:val="16"/>
          <w:szCs w:val="16"/>
        </w:rPr>
        <w:t>ADD RRB1</w:t>
      </w:r>
      <w:r w:rsidR="00EA7516" w:rsidRPr="009D565B">
        <w:rPr>
          <w:b w:val="0"/>
          <w:bCs/>
          <w:sz w:val="16"/>
          <w:szCs w:val="16"/>
        </w:rPr>
        <w:t>6</w:t>
      </w:r>
      <w:r w:rsidRPr="009D565B">
        <w:rPr>
          <w:b w:val="0"/>
          <w:bCs/>
          <w:sz w:val="16"/>
          <w:szCs w:val="16"/>
        </w:rPr>
        <w:t>/</w:t>
      </w:r>
      <w:r w:rsidR="009D565B">
        <w:rPr>
          <w:b w:val="0"/>
          <w:bCs/>
          <w:sz w:val="16"/>
          <w:szCs w:val="16"/>
        </w:rPr>
        <w:t>58</w:t>
      </w:r>
      <w:r w:rsidRPr="00B83E5F">
        <w:rPr>
          <w:b w:val="0"/>
          <w:bCs/>
          <w:color w:val="000000"/>
          <w:sz w:val="16"/>
          <w:szCs w:val="16"/>
        </w:rPr>
        <w:t>)</w:t>
      </w:r>
    </w:p>
    <w:p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rsidR="00871D8B" w:rsidRP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rsidR="00871D8B" w:rsidRDefault="00871D8B" w:rsidP="00CF2896">
      <w:pPr>
        <w:pStyle w:val="Heading8"/>
        <w:sectPr w:rsidR="00871D8B" w:rsidSect="00BB7A92">
          <w:headerReference w:type="even" r:id="rId37"/>
          <w:headerReference w:type="default" r:id="rId38"/>
          <w:footnotePr>
            <w:pos w:val="beneathText"/>
          </w:footnotePr>
          <w:pgSz w:w="11907" w:h="16840" w:code="9"/>
          <w:pgMar w:top="1701" w:right="851" w:bottom="1134" w:left="1985" w:header="720" w:footer="482" w:gutter="0"/>
          <w:cols w:space="720"/>
          <w:vAlign w:val="both"/>
        </w:sectPr>
      </w:pPr>
    </w:p>
    <w:p w:rsidR="00CF2896" w:rsidRPr="00FF37B7" w:rsidRDefault="00CF2896" w:rsidP="00A96D46">
      <w:pPr>
        <w:pStyle w:val="Heading8"/>
      </w:pPr>
      <w:r w:rsidRPr="00FF37B7">
        <w:lastRenderedPageBreak/>
        <w:t>5.</w:t>
      </w:r>
      <w:r>
        <w:t>510</w:t>
      </w:r>
      <w:r w:rsidR="00871D8B">
        <w:tab/>
      </w:r>
      <w:r w:rsidR="00871D8B">
        <w:tab/>
      </w:r>
      <w:r w:rsidR="00871D8B" w:rsidRPr="00B83E5F">
        <w:rPr>
          <w:b w:val="0"/>
          <w:bCs/>
          <w:color w:val="000000"/>
          <w:sz w:val="16"/>
          <w:szCs w:val="16"/>
        </w:rPr>
        <w:t>(</w:t>
      </w:r>
      <w:r w:rsidR="00A96D46">
        <w:rPr>
          <w:b w:val="0"/>
          <w:bCs/>
          <w:sz w:val="16"/>
          <w:szCs w:val="16"/>
        </w:rPr>
        <w:t>MO</w:t>
      </w:r>
      <w:r w:rsidR="00871D8B" w:rsidRPr="009D565B">
        <w:rPr>
          <w:b w:val="0"/>
          <w:bCs/>
          <w:sz w:val="16"/>
          <w:szCs w:val="16"/>
        </w:rPr>
        <w:t>D RRB</w:t>
      </w:r>
      <w:r w:rsidR="00EA7516" w:rsidRPr="009D565B">
        <w:rPr>
          <w:b w:val="0"/>
          <w:bCs/>
          <w:sz w:val="16"/>
          <w:szCs w:val="16"/>
        </w:rPr>
        <w:t>16</w:t>
      </w:r>
      <w:r w:rsidR="00871D8B" w:rsidRPr="009D565B">
        <w:rPr>
          <w:b w:val="0"/>
          <w:bCs/>
          <w:sz w:val="16"/>
          <w:szCs w:val="16"/>
        </w:rPr>
        <w:t>/</w:t>
      </w:r>
      <w:r w:rsidR="009D565B" w:rsidRPr="009D565B">
        <w:rPr>
          <w:b w:val="0"/>
          <w:bCs/>
          <w:sz w:val="16"/>
          <w:szCs w:val="16"/>
        </w:rPr>
        <w:t>58</w:t>
      </w:r>
      <w:r w:rsidR="00871D8B" w:rsidRPr="00B83E5F">
        <w:rPr>
          <w:b w:val="0"/>
          <w:bCs/>
          <w:color w:val="000000"/>
          <w:sz w:val="16"/>
          <w:szCs w:val="16"/>
        </w:rPr>
        <w:t>)</w:t>
      </w:r>
    </w:p>
    <w:p w:rsidR="00871D8B" w:rsidRPr="00871D8B" w:rsidRDefault="00871D8B" w:rsidP="00871D8B">
      <w:r w:rsidRPr="00871D8B">
        <w:t>1</w:t>
      </w:r>
      <w:r w:rsidRPr="00871D8B">
        <w:tab/>
        <w:t xml:space="preserve">Provision No. </w:t>
      </w:r>
      <w:r w:rsidRPr="00871D8B">
        <w:rPr>
          <w:b/>
          <w:bCs/>
        </w:rPr>
        <w:t>5.510</w:t>
      </w:r>
      <w:r w:rsidRPr="00871D8B">
        <w:t xml:space="preserve"> limits the use of the band 14.5-14.8 GHz by the fixed-satellite service (FSS) (Earth to-space) to feeder-links for the broadcasting-satellite service (BSS) except in the countries and under the technical and operational limitations included in Resolution </w:t>
      </w:r>
      <w:r w:rsidRPr="00871D8B">
        <w:rPr>
          <w:b/>
          <w:bCs/>
        </w:rPr>
        <w:t>163 (WRC-15)</w:t>
      </w:r>
      <w:r w:rsidRPr="00871D8B">
        <w:t xml:space="preserve"> and Resolution </w:t>
      </w:r>
      <w:r w:rsidRPr="00871D8B">
        <w:rPr>
          <w:b/>
          <w:bCs/>
        </w:rPr>
        <w:t>164 (WRC-15)</w:t>
      </w:r>
      <w:r w:rsidRPr="00871D8B">
        <w:t>, and reserves this use f</w:t>
      </w:r>
      <w:r w:rsidR="009456F9">
        <w:t>or countries outside Europe. It</w:t>
      </w:r>
      <w:r w:rsidRPr="00871D8B">
        <w:t xml:space="preserve"> means that such use (feeder-link for the BSS) is authorized in Region 2. This allocation was made at WARC-79 with the view to provide feeder-links to the 12 GHz broadcasting-satellite service for the three Regions. Article 2 of Appendix</w:t>
      </w:r>
      <w:r w:rsidRPr="00871D8B">
        <w:rPr>
          <w:b/>
          <w:bCs/>
        </w:rPr>
        <w:t xml:space="preserve"> 30A</w:t>
      </w:r>
      <w:r w:rsidRPr="00871D8B">
        <w:t xml:space="preserve"> indicates that the provisions of this Appendix applies to FSS feeder links in the band 14.5-14.8 GHz in Regions 1 and 3 for the BSS in Regions 1 and 3, but there is no mention of the same application in Region 2. Articles 4 and 7 of Appendix</w:t>
      </w:r>
      <w:r w:rsidRPr="00871D8B">
        <w:rPr>
          <w:b/>
          <w:bCs/>
        </w:rPr>
        <w:t xml:space="preserve"> 30A</w:t>
      </w:r>
      <w:r w:rsidRPr="00871D8B">
        <w:t xml:space="preserve"> do not include the regulatory procedures to deal with the possible sharing situation between FSS feeder-link networks for the BSS in Region 2 and the Regions 1 and 3 BSS feeder-link Plan and List (outside Europe) in the 14.5-14.8 GHz band.</w:t>
      </w:r>
    </w:p>
    <w:p w:rsidR="00871D8B" w:rsidRPr="00871D8B" w:rsidRDefault="00871D8B" w:rsidP="00871D8B">
      <w:r w:rsidRPr="00871D8B">
        <w:t>2</w:t>
      </w:r>
      <w:r w:rsidRPr="00871D8B">
        <w:tab/>
        <w:t>Taking account of the above context, where the utilisation of spectrum is not covered by specific procedures, and that similar existing procedures should be applicable to services having allocations with equal rights, the Board concluded that:</w:t>
      </w:r>
    </w:p>
    <w:p w:rsidR="00871D8B" w:rsidRPr="00871D8B" w:rsidRDefault="00871D8B" w:rsidP="00871D8B">
      <w:pPr>
        <w:pStyle w:val="enumlev1"/>
      </w:pPr>
      <w:r w:rsidRPr="00871D8B">
        <w:rPr>
          <w:i/>
          <w:iCs/>
        </w:rPr>
        <w:t>a)</w:t>
      </w:r>
      <w:r w:rsidRPr="00871D8B">
        <w:tab/>
        <w:t>the use of the band 14.5-14.8 GHz for BSS feeder-links in the FSS (Earth to-space) in Region 2 is in accordance with the Table of Frequency Allocation;</w:t>
      </w:r>
    </w:p>
    <w:p w:rsidR="00871D8B" w:rsidRPr="00871D8B" w:rsidRDefault="00871D8B" w:rsidP="00871D8B">
      <w:pPr>
        <w:pStyle w:val="enumlev1"/>
      </w:pPr>
      <w:r w:rsidRPr="00871D8B">
        <w:rPr>
          <w:i/>
          <w:iCs/>
        </w:rPr>
        <w:t>b)</w:t>
      </w:r>
      <w:r w:rsidRPr="00871D8B">
        <w:tab/>
        <w:t xml:space="preserve">coordination of a BSS feeder-link frequency assignment in the FSS (Earth-to-space) in Region 2 in the band 14.5-14.8 GHz with frequency assignments of the BSS feeder-link subject to a plan shall be effected using the provision of Section I of Article 7 of Appendix </w:t>
      </w:r>
      <w:r w:rsidRPr="00871D8B">
        <w:rPr>
          <w:b/>
          <w:bCs/>
        </w:rPr>
        <w:t>30A</w:t>
      </w:r>
      <w:r w:rsidRPr="00871D8B">
        <w:t>; and,</w:t>
      </w:r>
    </w:p>
    <w:p w:rsidR="00871D8B" w:rsidRPr="00871D8B" w:rsidRDefault="00871D8B" w:rsidP="00871D8B">
      <w:pPr>
        <w:pStyle w:val="enumlev1"/>
      </w:pPr>
      <w:r w:rsidRPr="00871D8B">
        <w:rPr>
          <w:i/>
          <w:iCs/>
        </w:rPr>
        <w:t>c)</w:t>
      </w:r>
      <w:r w:rsidRPr="00871D8B">
        <w:tab/>
        <w:t>coordination of a frequency assignment to be included in</w:t>
      </w:r>
      <w:r w:rsidR="006718B9">
        <w:t xml:space="preserve"> </w:t>
      </w:r>
      <w:r w:rsidRPr="00871D8B">
        <w:t>the Regions 1 and 3 feeder-link list with BSS feeder-link frequency assignments in the FSS (Earth-to-space) in Region 2 in the band 14.5-14.8 GHz shall be effected using</w:t>
      </w:r>
      <w:r w:rsidR="006718B9">
        <w:t xml:space="preserve"> </w:t>
      </w:r>
      <w:r w:rsidRPr="00871D8B">
        <w:t xml:space="preserve">Appendix </w:t>
      </w:r>
      <w:r w:rsidRPr="00871D8B">
        <w:rPr>
          <w:b/>
          <w:bCs/>
        </w:rPr>
        <w:t>30A</w:t>
      </w:r>
      <w:r w:rsidRPr="00871D8B">
        <w:t xml:space="preserve"> § 4.1.1d).</w:t>
      </w:r>
    </w:p>
    <w:p w:rsidR="00CF2896" w:rsidRPr="00FF37B7" w:rsidRDefault="00CF2896" w:rsidP="00CF2896">
      <w:pPr>
        <w:pStyle w:val="Heading8"/>
      </w:pPr>
      <w:r w:rsidRPr="00FF37B7">
        <w:t>5.523A</w:t>
      </w:r>
    </w:p>
    <w:p w:rsidR="00CF2896" w:rsidRPr="00FF37B7" w:rsidRDefault="00CF2896" w:rsidP="00CF2896">
      <w:pPr>
        <w:rPr>
          <w:sz w:val="16"/>
          <w:szCs w:val="16"/>
        </w:rPr>
      </w:pPr>
      <w:r w:rsidRPr="00FF37B7">
        <w:rPr>
          <w:color w:val="000000"/>
        </w:rPr>
        <w:t>Provision No. </w:t>
      </w:r>
      <w:r w:rsidRPr="00FF37B7">
        <w:rPr>
          <w:rStyle w:val="Artref"/>
          <w:b/>
          <w:bCs/>
          <w:color w:val="000000"/>
        </w:rPr>
        <w:t>5.523A</w:t>
      </w:r>
      <w:r w:rsidRPr="00FF37B7">
        <w:rPr>
          <w:color w:val="000000"/>
        </w:rPr>
        <w:t xml:space="preserve"> obliges administrations which have communicated their GSO satellite systems in the bands 18.8-19.3 GHz and 28.6-29.1 GHz to the Bureau, prior to 18 November 1995, to “</w:t>
      </w:r>
      <w:r w:rsidRPr="00FF37B7">
        <w:rPr>
          <w:i/>
          <w:color w:val="000000"/>
        </w:rPr>
        <w:t>cooperate to the maximum extent possible</w:t>
      </w:r>
      <w:r w:rsidRPr="00FF37B7">
        <w:rPr>
          <w:color w:val="000000"/>
        </w:rPr>
        <w:t xml:space="preserve"> to coordinate pursuant to No. </w:t>
      </w:r>
      <w:r w:rsidRPr="00FF37B7">
        <w:rPr>
          <w:rStyle w:val="Artref"/>
          <w:b/>
          <w:bCs/>
          <w:color w:val="000000"/>
        </w:rPr>
        <w:t>9.11A</w:t>
      </w:r>
      <w:r w:rsidRPr="00FF37B7">
        <w:rPr>
          <w:color w:val="000000"/>
        </w:rPr>
        <w:t xml:space="preserve"> with non-geostationary-satellite networks for which notification information has been received by the Bureau prior to that date, with a view to reaching results acceptable to all the parties concerned”. Since there is no basis on which the Bureau could formulate a regulatory finding in this respect, the Board decided on the following course of action:</w:t>
      </w:r>
    </w:p>
    <w:p w:rsidR="00CF2896" w:rsidRPr="00FF37B7" w:rsidRDefault="00CF2896" w:rsidP="00CF2896">
      <w:pPr>
        <w:rPr>
          <w:color w:val="000000"/>
        </w:rPr>
      </w:pPr>
      <w:r w:rsidRPr="00FF37B7">
        <w:rPr>
          <w:color w:val="000000"/>
        </w:rPr>
        <w:t>Administration(s) responsible for the GSO satellite network, when notifying the assignments to the Bureau, shall include a statement indicating that the obligation “shall cooperate to the maximum extent possible” referred to in this provision has been fulfilled and the Bureau shall publish this information in its BR IFIC accordingly.</w:t>
      </w:r>
    </w:p>
    <w:p w:rsidR="00CF2896" w:rsidRPr="00FF37B7" w:rsidRDefault="00CF2896" w:rsidP="00CF2896">
      <w:pPr>
        <w:rPr>
          <w:color w:val="000000"/>
        </w:rPr>
      </w:pPr>
      <w:r w:rsidRPr="00FF37B7">
        <w:rPr>
          <w:color w:val="000000"/>
        </w:rPr>
        <w:t>The above Rule of Procedure was to be applied by administrations and the Radiocom</w:t>
      </w:r>
      <w:r w:rsidRPr="00FF37B7">
        <w:rPr>
          <w:color w:val="000000"/>
        </w:rPr>
        <w:softHyphen/>
        <w:t>munication Bureau as of 14 July 1998.</w:t>
      </w:r>
    </w:p>
    <w:p w:rsidR="00CF2896" w:rsidRDefault="00CF2896" w:rsidP="00CF2896"/>
    <w:p w:rsidR="00871D8B" w:rsidRDefault="00871D8B">
      <w:pPr>
        <w:tabs>
          <w:tab w:val="clear" w:pos="1134"/>
          <w:tab w:val="clear" w:pos="1871"/>
          <w:tab w:val="clear" w:pos="2268"/>
        </w:tabs>
        <w:overflowPunct/>
        <w:autoSpaceDE/>
        <w:autoSpaceDN/>
        <w:adjustRightInd/>
        <w:spacing w:before="0"/>
        <w:jc w:val="left"/>
        <w:textAlignment w:val="auto"/>
        <w:sectPr w:rsidR="00871D8B" w:rsidSect="00BB7A92">
          <w:headerReference w:type="even" r:id="rId39"/>
          <w:headerReference w:type="default" r:id="rId40"/>
          <w:footnotePr>
            <w:pos w:val="beneathText"/>
          </w:footnotePr>
          <w:pgSz w:w="11907" w:h="16840" w:code="9"/>
          <w:pgMar w:top="1701" w:right="851" w:bottom="1134" w:left="1985" w:header="720" w:footer="482" w:gutter="0"/>
          <w:cols w:space="720"/>
          <w:vAlign w:val="both"/>
        </w:sectPr>
      </w:pPr>
    </w:p>
    <w:p w:rsidR="00CF2896" w:rsidRPr="00FF37B7" w:rsidRDefault="00CF2896" w:rsidP="00CF2896">
      <w:pPr>
        <w:pStyle w:val="Heading8"/>
        <w:spacing w:before="0"/>
        <w:ind w:right="6804"/>
        <w:jc w:val="left"/>
        <w:rPr>
          <w:color w:val="000000"/>
        </w:rPr>
      </w:pPr>
      <w:r w:rsidRPr="00FF37B7">
        <w:rPr>
          <w:color w:val="000000"/>
        </w:rPr>
        <w:lastRenderedPageBreak/>
        <w:t>5.523B, 5.523C, 5.523D, 5.523E</w:t>
      </w:r>
    </w:p>
    <w:p w:rsidR="00CF2896" w:rsidRPr="00FF37B7"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and also vis-à-vis the terrestrial stations. The Tables relative to 19.3-19.6 GHz and 19.6-19.7 GHz bands below contain the Board’s conclusions on this matter.</w:t>
      </w:r>
    </w:p>
    <w:p w:rsidR="00CF2896" w:rsidRPr="00FF37B7" w:rsidRDefault="00CF2896" w:rsidP="00CF2896"/>
    <w:p w:rsidR="00CF2896" w:rsidRPr="00FF37B7" w:rsidRDefault="00CF2896" w:rsidP="00CF2896">
      <w:pPr>
        <w:pStyle w:val="TableTitle"/>
        <w:rPr>
          <w:sz w:val="24"/>
        </w:rPr>
      </w:pPr>
      <w:r w:rsidRPr="00FF37B7">
        <w:rPr>
          <w:sz w:val="24"/>
        </w:rPr>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rsidTr="00555FE3">
        <w:tc>
          <w:tcPr>
            <w:tcW w:w="1540" w:type="dxa"/>
            <w:tcBorders>
              <w:bottom w:val="single" w:sz="4" w:space="0" w:color="auto"/>
            </w:tcBorders>
            <w:vAlign w:val="center"/>
          </w:tcPr>
          <w:p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Coordination request (CR): Column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rsidTr="00555FE3">
        <w:tc>
          <w:tcPr>
            <w:tcW w:w="1540" w:type="dxa"/>
            <w:tcBorders>
              <w:top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p>
        </w:tc>
      </w:tr>
      <w:tr w:rsidR="00CF2896" w:rsidRPr="00FF37B7" w:rsidTr="00555FE3">
        <w:tc>
          <w:tcPr>
            <w:tcW w:w="1540" w:type="dxa"/>
            <w:tcBorders>
              <w:top w:val="dotted" w:sz="4" w:space="0" w:color="auto"/>
              <w:bottom w:val="single"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rsidTr="00555FE3">
        <w:tc>
          <w:tcPr>
            <w:tcW w:w="1540" w:type="dxa"/>
            <w:tcBorders>
              <w:bottom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t>PFD limits</w:t>
            </w:r>
          </w:p>
        </w:tc>
      </w:tr>
      <w:tr w:rsidR="00CF2896" w:rsidRPr="00FF37B7" w:rsidTr="00555FE3">
        <w:tc>
          <w:tcPr>
            <w:tcW w:w="1540" w:type="dxa"/>
            <w:tcBorders>
              <w:top w:val="dotted" w:sz="4" w:space="0" w:color="auto"/>
            </w:tcBorders>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rsidTr="00555FE3">
        <w:tc>
          <w:tcPr>
            <w:tcW w:w="1540" w:type="dxa"/>
          </w:tcPr>
          <w:p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rsidR="00CF2896" w:rsidRPr="00FF37B7" w:rsidRDefault="00CF2896" w:rsidP="00CF2896">
      <w:pPr>
        <w:pStyle w:val="TableFin"/>
        <w:rPr>
          <w:color w:val="000000"/>
        </w:rPr>
      </w:pPr>
    </w:p>
    <w:p w:rsidR="00CF2896" w:rsidRPr="00FF37B7" w:rsidRDefault="00CF2896" w:rsidP="00CF2896"/>
    <w:p w:rsidR="00CF2896" w:rsidRPr="00FF37B7" w:rsidRDefault="00CF2896" w:rsidP="00CF2896"/>
    <w:p w:rsidR="00CF2896" w:rsidRPr="00FF37B7" w:rsidRDefault="00CF2896" w:rsidP="00CF2896"/>
    <w:p w:rsidR="00CF2896" w:rsidRPr="00FF37B7" w:rsidRDefault="00CF2896">
      <w:pPr>
        <w:rPr>
          <w:color w:val="000000"/>
        </w:rPr>
      </w:pPr>
    </w:p>
    <w:p w:rsidR="006D7A22" w:rsidRDefault="006D7A22" w:rsidP="003D65EE">
      <w:pPr>
        <w:pStyle w:val="Heading8"/>
        <w:rPr>
          <w:color w:val="000000"/>
        </w:rPr>
        <w:sectPr w:rsidR="006D7A22" w:rsidSect="00BB7A92">
          <w:headerReference w:type="even" r:id="rId41"/>
          <w:headerReference w:type="default" r:id="rId42"/>
          <w:footnotePr>
            <w:pos w:val="beneathText"/>
          </w:footnotePr>
          <w:pgSz w:w="11907" w:h="16840" w:code="9"/>
          <w:pgMar w:top="1701" w:right="851" w:bottom="1134" w:left="1985" w:header="720" w:footer="482" w:gutter="0"/>
          <w:cols w:space="720"/>
          <w:vAlign w:val="both"/>
        </w:sectPr>
      </w:pPr>
    </w:p>
    <w:p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rsidTr="00555FE3">
        <w:trPr>
          <w:jc w:val="center"/>
        </w:trPr>
        <w:tc>
          <w:tcPr>
            <w:tcW w:w="1546" w:type="dxa"/>
            <w:tcBorders>
              <w:bottom w:val="single" w:sz="4" w:space="0" w:color="auto"/>
            </w:tcBorders>
          </w:tcPr>
          <w:p w:rsidR="005A6C8C" w:rsidRPr="00AD2E3F" w:rsidRDefault="005A6C8C" w:rsidP="00555FE3">
            <w:pPr>
              <w:pStyle w:val="TableHead"/>
              <w:rPr>
                <w:b w:val="0"/>
                <w:bCs/>
                <w:sz w:val="16"/>
                <w:lang w:val="fr-CH"/>
              </w:rPr>
            </w:pPr>
            <w:r w:rsidRPr="00AD2E3F">
              <w:rPr>
                <w:b w:val="0"/>
                <w:bCs/>
                <w:sz w:val="16"/>
                <w:lang w:val="fr-CH"/>
              </w:rPr>
              <w:t>CR request: Column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ind w:left="-57" w:right="-57"/>
              <w:jc w:val="center"/>
              <w:rPr>
                <w:color w:val="000000"/>
                <w:sz w:val="16"/>
              </w:rPr>
            </w:pPr>
            <w:r w:rsidRPr="00FF37B7">
              <w:rPr>
                <w:color w:val="000000"/>
                <w:sz w:val="16"/>
              </w:rPr>
              <w:t>PFD limits (21/Section V)</w:t>
            </w: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ind w:left="-57" w:right="-57"/>
              <w:jc w:val="center"/>
              <w:rPr>
                <w:color w:val="000000"/>
                <w:sz w:val="16"/>
              </w:rPr>
            </w:pPr>
            <w:r w:rsidRPr="00FF37B7">
              <w:rPr>
                <w:color w:val="000000"/>
                <w:sz w:val="16"/>
              </w:rPr>
              <w:t>PFD limits (21/Section V)</w:t>
            </w: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5A6C8C" w:rsidRPr="00FF37B7" w:rsidRDefault="005A6C8C" w:rsidP="00555FE3">
            <w:pPr>
              <w:spacing w:before="50" w:after="50" w:line="180" w:lineRule="exact"/>
              <w:ind w:left="-57" w:right="-57"/>
              <w:jc w:val="center"/>
              <w:rPr>
                <w:color w:val="000000"/>
                <w:sz w:val="16"/>
              </w:rPr>
            </w:pPr>
            <w:r w:rsidRPr="00FF37B7">
              <w:rPr>
                <w:color w:val="000000"/>
                <w:sz w:val="16"/>
              </w:rPr>
              <w:t>PFD limits (21/Section V)</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rsidTr="00555FE3">
        <w:trPr>
          <w:jc w:val="center"/>
        </w:trPr>
        <w:tc>
          <w:tcPr>
            <w:tcW w:w="1546" w:type="dxa"/>
            <w:tcBorders>
              <w:top w:val="dotted" w:sz="4" w:space="0" w:color="auto"/>
              <w:bottom w:val="single"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rsidTr="00555FE3">
        <w:trPr>
          <w:jc w:val="center"/>
        </w:trPr>
        <w:tc>
          <w:tcPr>
            <w:tcW w:w="1546" w:type="dxa"/>
            <w:tcBorders>
              <w:bottom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5A6C8C" w:rsidRPr="00FF37B7" w:rsidRDefault="005A6C8C" w:rsidP="00555FE3">
            <w:pPr>
              <w:spacing w:before="50" w:after="50" w:line="180" w:lineRule="exact"/>
              <w:ind w:left="-85" w:right="-85"/>
              <w:jc w:val="center"/>
              <w:rPr>
                <w:color w:val="000000"/>
                <w:sz w:val="16"/>
              </w:rPr>
            </w:pPr>
            <w:r w:rsidRPr="00FF37B7">
              <w:rPr>
                <w:color w:val="000000"/>
                <w:sz w:val="16"/>
              </w:rPr>
              <w:t>PFD limits</w:t>
            </w:r>
            <w:r w:rsidRPr="00FF37B7">
              <w:rPr>
                <w:color w:val="000000"/>
                <w:sz w:val="16"/>
              </w:rPr>
              <w:br/>
              <w:t>(21/Section V)</w:t>
            </w:r>
          </w:p>
        </w:tc>
      </w:tr>
      <w:tr w:rsidR="005A6C8C" w:rsidRPr="00FF37B7" w:rsidTr="00555FE3">
        <w:trPr>
          <w:jc w:val="center"/>
        </w:trPr>
        <w:tc>
          <w:tcPr>
            <w:tcW w:w="1546" w:type="dxa"/>
            <w:tcBorders>
              <w:top w:val="dotted" w:sz="4" w:space="0" w:color="auto"/>
            </w:tcBorders>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rsidTr="00555FE3">
        <w:trPr>
          <w:jc w:val="center"/>
        </w:trPr>
        <w:tc>
          <w:tcPr>
            <w:tcW w:w="1546" w:type="dxa"/>
          </w:tcPr>
          <w:p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rsidR="005A6C8C" w:rsidRPr="00FF37B7" w:rsidRDefault="005A6C8C" w:rsidP="00555FE3">
            <w:pPr>
              <w:spacing w:before="50" w:after="50" w:line="180" w:lineRule="exact"/>
              <w:jc w:val="center"/>
              <w:rPr>
                <w:color w:val="000000"/>
                <w:sz w:val="16"/>
              </w:rPr>
            </w:pPr>
            <w:r w:rsidRPr="00FF37B7">
              <w:rPr>
                <w:color w:val="000000"/>
                <w:sz w:val="16"/>
              </w:rPr>
              <w:t>---</w:t>
            </w:r>
          </w:p>
        </w:tc>
      </w:tr>
    </w:tbl>
    <w:p w:rsidR="005A6C8C" w:rsidRPr="00FF37B7" w:rsidRDefault="005A6C8C" w:rsidP="005A6C8C">
      <w:pPr>
        <w:pStyle w:val="TableFin"/>
      </w:pPr>
    </w:p>
    <w:p w:rsidR="004060BD" w:rsidRPr="00FF37B7" w:rsidRDefault="004060BD">
      <w:pPr>
        <w:rPr>
          <w:color w:val="000000"/>
        </w:rPr>
        <w:sectPr w:rsidR="004060BD" w:rsidRPr="00FF37B7" w:rsidSect="00F54AAB">
          <w:headerReference w:type="even" r:id="rId43"/>
          <w:headerReference w:type="default" r:id="rId44"/>
          <w:footnotePr>
            <w:pos w:val="beneathText"/>
          </w:footnotePr>
          <w:type w:val="evenPage"/>
          <w:pgSz w:w="16840" w:h="11907" w:orient="landscape" w:code="9"/>
          <w:pgMar w:top="1418" w:right="1701" w:bottom="851" w:left="1134" w:header="720" w:footer="482" w:gutter="0"/>
          <w:cols w:space="720"/>
        </w:sectPr>
      </w:pPr>
    </w:p>
    <w:p w:rsidR="004060BD" w:rsidRPr="00FF37B7" w:rsidRDefault="004060BD">
      <w:pPr>
        <w:pStyle w:val="Heading8"/>
        <w:spacing w:before="0"/>
        <w:rPr>
          <w:color w:val="000000"/>
        </w:rPr>
      </w:pPr>
      <w:r w:rsidRPr="00FF37B7">
        <w:rPr>
          <w:color w:val="000000"/>
        </w:rPr>
        <w:lastRenderedPageBreak/>
        <w:t>5.538</w:t>
      </w:r>
    </w:p>
    <w:p w:rsidR="004060BD" w:rsidRPr="00FF37B7" w:rsidRDefault="004060BD">
      <w:pPr>
        <w:rPr>
          <w:color w:val="000000"/>
        </w:rPr>
      </w:pPr>
      <w:r w:rsidRPr="00FF37B7">
        <w:rPr>
          <w:color w:val="000000"/>
        </w:rPr>
        <w:t>For up-link power control beacons, this provision sets an e.i.r.p. limit “in the direction of adjacent satellites on the geostationary-satellite orbit”.</w:t>
      </w:r>
    </w:p>
    <w:p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rsidR="004060BD" w:rsidRPr="00FF37B7" w:rsidRDefault="004060BD">
      <w:pPr>
        <w:pStyle w:val="Heading8"/>
        <w:rPr>
          <w:color w:val="000000"/>
        </w:rPr>
      </w:pPr>
      <w:r w:rsidRPr="00FF37B7">
        <w:rPr>
          <w:color w:val="000000"/>
        </w:rPr>
        <w:t>5.543</w:t>
      </w:r>
    </w:p>
    <w:p w:rsidR="004060BD" w:rsidRPr="00FF37B7" w:rsidRDefault="004060BD">
      <w:pPr>
        <w:rPr>
          <w:color w:val="000000"/>
        </w:rPr>
      </w:pPr>
      <w:r w:rsidRPr="00FF37B7">
        <w:rPr>
          <w:color w:val="000000"/>
        </w:rPr>
        <w:t>The Board concluded that this provision is an additional allocation to the Earth exploration-satellite service for inter-satellite links. The use of the words “telemetry, tracking, and control purposes” leads the Board to understand that the use is limited to space operation.</w:t>
      </w:r>
    </w:p>
    <w:p w:rsidR="004060BD" w:rsidRPr="00FF37B7" w:rsidRDefault="004060BD">
      <w:pPr>
        <w:pStyle w:val="Heading8"/>
        <w:rPr>
          <w:color w:val="000000"/>
        </w:rPr>
      </w:pPr>
      <w:r w:rsidRPr="00FF37B7">
        <w:rPr>
          <w:color w:val="000000"/>
        </w:rPr>
        <w:t>5.554</w:t>
      </w:r>
    </w:p>
    <w:p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rsidR="004060BD" w:rsidRPr="00FF37B7" w:rsidRDefault="004060BD">
      <w:pPr>
        <w:pStyle w:val="Heading8"/>
        <w:rPr>
          <w:color w:val="000000"/>
        </w:rPr>
      </w:pPr>
      <w:r w:rsidRPr="00FF37B7">
        <w:rPr>
          <w:color w:val="000000"/>
        </w:rPr>
        <w:t>5.556</w:t>
      </w:r>
    </w:p>
    <w:p w:rsidR="004060BD" w:rsidRPr="00FF37B7" w:rsidRDefault="004060BD">
      <w:pPr>
        <w:rPr>
          <w:color w:val="000000"/>
        </w:rPr>
      </w:pPr>
      <w:r w:rsidRPr="00FF37B7">
        <w:rPr>
          <w:color w:val="000000"/>
        </w:rPr>
        <w:t>There is no allocation to radio astronomy in the bands listed in this provision. The Board concluded that the words “national arrangements”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rsidR="004060BD" w:rsidRPr="00FF37B7" w:rsidRDefault="004060BD"/>
    <w:p w:rsidR="004060BD" w:rsidRPr="00FF37B7" w:rsidRDefault="004060BD">
      <w:pPr>
        <w:jc w:val="center"/>
        <w:rPr>
          <w:color w:val="000000"/>
        </w:rPr>
      </w:pPr>
      <w:r w:rsidRPr="00FF37B7">
        <w:rPr>
          <w:color w:val="000000"/>
        </w:rPr>
        <w:t>____________________</w:t>
      </w:r>
    </w:p>
    <w:p w:rsidR="004060BD" w:rsidRPr="00FF37B7" w:rsidRDefault="004060BD" w:rsidP="00AB39EF"/>
    <w:p w:rsidR="004060BD" w:rsidRPr="00FF37B7" w:rsidRDefault="004060BD" w:rsidP="00AB39EF"/>
    <w:p w:rsidR="004060BD" w:rsidRPr="00FF37B7" w:rsidRDefault="004060BD" w:rsidP="00AB39EF"/>
    <w:p w:rsidR="00AB39EF" w:rsidRPr="00FF37B7" w:rsidRDefault="00AB39EF" w:rsidP="00AB39EF"/>
    <w:p w:rsidR="004060BD" w:rsidRPr="00FF37B7" w:rsidRDefault="004060BD" w:rsidP="00AB39EF">
      <w:pPr>
        <w:sectPr w:rsidR="004060BD" w:rsidRPr="00FF37B7" w:rsidSect="00517396">
          <w:headerReference w:type="even" r:id="rId45"/>
          <w:headerReference w:type="default" r:id="rId46"/>
          <w:footnotePr>
            <w:pos w:val="beneathText"/>
          </w:footnotePr>
          <w:pgSz w:w="11907" w:h="16840" w:code="9"/>
          <w:pgMar w:top="1701" w:right="851" w:bottom="1134" w:left="1985" w:header="720" w:footer="482" w:gutter="0"/>
          <w:cols w:space="720"/>
          <w:vAlign w:val="both"/>
        </w:sectPr>
      </w:pPr>
    </w:p>
    <w:p w:rsidR="004060BD" w:rsidRPr="00FF37B7" w:rsidRDefault="004060BD" w:rsidP="00AB39EF"/>
    <w:sectPr w:rsidR="004060BD" w:rsidRPr="00FF37B7" w:rsidSect="00AB39EF">
      <w:headerReference w:type="even" r:id="rId47"/>
      <w:headerReference w:type="first" r:id="rId4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CF1" w:rsidRDefault="00EF3CF1">
      <w:r>
        <w:separator/>
      </w:r>
    </w:p>
  </w:endnote>
  <w:endnote w:type="continuationSeparator" w:id="0">
    <w:p w:rsidR="00EF3CF1" w:rsidRDefault="00EF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auto"/>
    <w:pitch w:val="default"/>
    <w:sig w:usb0="00000003" w:usb1="00000000" w:usb2="00000000" w:usb3="00000000" w:csb0="00000001" w:csb1="00000000"/>
  </w:font>
  <w:font w:name="TimesNewRoman,Bold">
    <w:altName w:val="Arial Unicode MS"/>
    <w:panose1 w:val="00000000000000000000"/>
    <w:charset w:val="00"/>
    <w:family w:val="roman"/>
    <w:notTrueType/>
    <w:pitch w:val="default"/>
    <w:sig w:usb0="00000003" w:usb1="080E0000" w:usb2="0000001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CF1" w:rsidRDefault="00EF3CF1" w:rsidP="00BA2AB6">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CF1" w:rsidRDefault="00EF3CF1" w:rsidP="00BA2AB6">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CF1" w:rsidRDefault="00EF3CF1">
      <w:r>
        <w:rPr>
          <w:b/>
        </w:rPr>
        <w:t>_______________</w:t>
      </w:r>
    </w:p>
  </w:footnote>
  <w:footnote w:type="continuationSeparator" w:id="0">
    <w:p w:rsidR="00EF3CF1" w:rsidRDefault="00EF3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Pr="00BA2AB6" w:rsidRDefault="00EF3CF1" w:rsidP="00BA2AB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75DFA">
      <w:trPr>
        <w:cantSplit/>
        <w:jc w:val="right"/>
      </w:trPr>
      <w:tc>
        <w:tcPr>
          <w:tcW w:w="1701" w:type="dxa"/>
          <w:tcBorders>
            <w:top w:val="single" w:sz="6" w:space="0" w:color="auto"/>
            <w:left w:val="single" w:sz="6" w:space="0" w:color="auto"/>
            <w:bottom w:val="single" w:sz="6" w:space="0" w:color="auto"/>
            <w:right w:val="single" w:sz="6" w:space="0" w:color="auto"/>
          </w:tcBorders>
        </w:tcPr>
        <w:p w:rsidR="00675DFA" w:rsidRDefault="00675DFA">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675DFA"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675DFA">
            <w:rPr>
              <w:color w:val="000000"/>
            </w:rPr>
            <w:fldChar w:fldCharType="begin"/>
          </w:r>
          <w:r w:rsidR="00675DFA">
            <w:rPr>
              <w:color w:val="000000"/>
              <w:lang w:val="en-US"/>
            </w:rPr>
            <w:instrText>styleref href2</w:instrText>
          </w:r>
          <w:r w:rsidR="00675DFA">
            <w:rPr>
              <w:color w:val="000000"/>
            </w:rPr>
            <w:fldChar w:fldCharType="separate"/>
          </w:r>
          <w:r>
            <w:rPr>
              <w:noProof/>
              <w:color w:val="000000"/>
            </w:rPr>
            <w:t>5</w:t>
          </w:r>
          <w:r w:rsidR="00675DF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75DFA" w:rsidRDefault="00675DFA" w:rsidP="00675DFA">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75DFA" w:rsidRDefault="00675DFA" w:rsidP="00675DFA">
          <w:pPr>
            <w:pStyle w:val="HeaderRegProc"/>
            <w:rPr>
              <w:color w:val="000000"/>
              <w:lang w:val="fr-CH"/>
            </w:rPr>
          </w:pPr>
          <w:r>
            <w:rPr>
              <w:color w:val="000000"/>
              <w:lang w:val="fr-CH"/>
            </w:rPr>
            <w:t>rev.</w:t>
          </w:r>
          <w:r>
            <w:rPr>
              <w:color w:val="000000"/>
            </w:rPr>
            <w:t xml:space="preserve"> 10</w:t>
          </w:r>
        </w:p>
      </w:tc>
    </w:tr>
  </w:tbl>
  <w:p w:rsidR="00675DFA" w:rsidRDefault="00675DFA">
    <w:pPr>
      <w:pStyle w:val="Header"/>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EF3CF1">
          <w:pPr>
            <w:pStyle w:val="HeaderRegProc"/>
            <w:rPr>
              <w:color w:val="000000"/>
              <w:lang w:val="fr-CH"/>
            </w:rPr>
          </w:pPr>
          <w:r>
            <w:rPr>
              <w:color w:val="000000"/>
              <w:lang w:val="fr-CH"/>
            </w:rPr>
            <w:t>rev.</w:t>
          </w:r>
          <w:r>
            <w:rPr>
              <w:color w:val="000000"/>
            </w:rPr>
            <w:t xml:space="preserve"> 10</w:t>
          </w:r>
        </w:p>
      </w:tc>
    </w:tr>
  </w:tbl>
  <w:p w:rsidR="00EF3CF1" w:rsidRPr="00BA2AB6" w:rsidRDefault="00EF3CF1" w:rsidP="00BA2AB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75DFA">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EF3CF1">
          <w:pPr>
            <w:pStyle w:val="HeaderRegProc"/>
            <w:rPr>
              <w:color w:val="000000"/>
              <w:lang w:val="fr-CH"/>
            </w:rPr>
          </w:pPr>
          <w:r>
            <w:rPr>
              <w:color w:val="000000"/>
              <w:lang w:val="fr-CH"/>
            </w:rPr>
            <w:t>rev.</w:t>
          </w:r>
          <w:r>
            <w:rPr>
              <w:color w:val="000000"/>
            </w:rPr>
            <w:t xml:space="preserve"> 10</w:t>
          </w:r>
        </w:p>
      </w:tc>
    </w:tr>
  </w:tbl>
  <w:p w:rsidR="00EF3CF1" w:rsidRDefault="00EF3CF1">
    <w:pPr>
      <w:pStyle w:val="Header"/>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660FB">
      <w:trPr>
        <w:cantSplit/>
        <w:jc w:val="right"/>
      </w:trPr>
      <w:tc>
        <w:tcPr>
          <w:tcW w:w="1701" w:type="dxa"/>
          <w:tcBorders>
            <w:top w:val="single" w:sz="6" w:space="0" w:color="auto"/>
            <w:left w:val="single" w:sz="6" w:space="0" w:color="auto"/>
            <w:bottom w:val="single" w:sz="6" w:space="0" w:color="auto"/>
            <w:right w:val="single" w:sz="6" w:space="0" w:color="auto"/>
          </w:tcBorders>
        </w:tcPr>
        <w:p w:rsidR="00C660FB" w:rsidRDefault="00C660F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C660FB" w:rsidRDefault="004B0704">
          <w:pPr>
            <w:pStyle w:val="HeaderRegProc"/>
            <w:rPr>
              <w:color w:val="000000"/>
              <w:lang w:val="en-US"/>
            </w:rPr>
          </w:pPr>
          <w:fldSimple w:instr=" DOCPROPERTY &quot;Header&quot; \* MERGEFORMAT ">
            <w:r w:rsidR="003E0C43" w:rsidRPr="003E0C43">
              <w:rPr>
                <w:color w:val="000000"/>
                <w:lang w:val="en-US"/>
              </w:rPr>
              <w:t>AR</w:t>
            </w:r>
          </w:fldSimple>
          <w:r w:rsidR="00C660FB">
            <w:rPr>
              <w:color w:val="000000"/>
            </w:rPr>
            <w:fldChar w:fldCharType="begin"/>
          </w:r>
          <w:r w:rsidR="00C660FB">
            <w:rPr>
              <w:color w:val="000000"/>
              <w:lang w:val="en-US"/>
            </w:rPr>
            <w:instrText>styleref href2</w:instrText>
          </w:r>
          <w:r w:rsidR="00C660FB">
            <w:rPr>
              <w:color w:val="000000"/>
            </w:rPr>
            <w:fldChar w:fldCharType="separate"/>
          </w:r>
          <w:r w:rsidR="003E0C43">
            <w:rPr>
              <w:noProof/>
              <w:color w:val="000000"/>
            </w:rPr>
            <w:t>5</w:t>
          </w:r>
          <w:r w:rsidR="00C660F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C660FB" w:rsidRDefault="00C660FB" w:rsidP="00C660FB">
          <w:pPr>
            <w:pStyle w:val="HeaderRegProc"/>
            <w:rPr>
              <w:color w:val="000000"/>
              <w:lang w:val="fr-CH"/>
            </w:rPr>
          </w:pPr>
          <w:r>
            <w:rPr>
              <w:color w:val="000000"/>
              <w:lang w:val="fr-FR"/>
            </w:rPr>
            <w:t xml:space="preserve">page </w:t>
          </w:r>
          <w:r>
            <w:rPr>
              <w:rStyle w:val="PageNumber"/>
            </w:rPr>
            <w:t>6</w:t>
          </w:r>
          <w:r w:rsidRPr="00C660FB">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C660FB" w:rsidRDefault="00C660FB" w:rsidP="00EF3CF1">
          <w:pPr>
            <w:pStyle w:val="HeaderRegProc"/>
            <w:rPr>
              <w:color w:val="000000"/>
              <w:lang w:val="fr-CH"/>
            </w:rPr>
          </w:pPr>
          <w:r>
            <w:rPr>
              <w:color w:val="000000"/>
              <w:lang w:val="fr-CH"/>
            </w:rPr>
            <w:t>rev.</w:t>
          </w:r>
          <w:r>
            <w:rPr>
              <w:color w:val="000000"/>
            </w:rPr>
            <w:t xml:space="preserve"> 10</w:t>
          </w:r>
        </w:p>
      </w:tc>
    </w:tr>
  </w:tbl>
  <w:p w:rsidR="00C660FB" w:rsidRDefault="00C660FB">
    <w:pPr>
      <w:pStyle w:val="Header"/>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D108E" w:rsidTr="00BA2AB6">
      <w:trPr>
        <w:cantSplit/>
      </w:trPr>
      <w:tc>
        <w:tcPr>
          <w:tcW w:w="1701" w:type="dxa"/>
          <w:tcBorders>
            <w:top w:val="single" w:sz="6" w:space="0" w:color="auto"/>
            <w:left w:val="single" w:sz="6" w:space="0" w:color="auto"/>
            <w:bottom w:val="single" w:sz="6" w:space="0" w:color="auto"/>
            <w:right w:val="single" w:sz="6" w:space="0" w:color="auto"/>
          </w:tcBorders>
        </w:tcPr>
        <w:p w:rsidR="00FD108E" w:rsidRDefault="00FD108E"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FD108E"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FD108E">
            <w:rPr>
              <w:color w:val="000000"/>
            </w:rPr>
            <w:fldChar w:fldCharType="begin"/>
          </w:r>
          <w:r w:rsidR="00FD108E">
            <w:rPr>
              <w:color w:val="000000"/>
              <w:lang w:val="en-US"/>
            </w:rPr>
            <w:instrText>styleref href2</w:instrText>
          </w:r>
          <w:r w:rsidR="00FD108E">
            <w:rPr>
              <w:color w:val="000000"/>
            </w:rPr>
            <w:fldChar w:fldCharType="separate"/>
          </w:r>
          <w:r>
            <w:rPr>
              <w:noProof/>
              <w:color w:val="000000"/>
            </w:rPr>
            <w:t>5</w:t>
          </w:r>
          <w:r w:rsidR="00FD108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D108E" w:rsidRDefault="00FD108E"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660FB">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D108E" w:rsidRDefault="00FD108E" w:rsidP="00EF3CF1">
          <w:pPr>
            <w:pStyle w:val="HeaderRegProc"/>
            <w:rPr>
              <w:color w:val="000000"/>
              <w:lang w:val="fr-CH"/>
            </w:rPr>
          </w:pPr>
          <w:r>
            <w:rPr>
              <w:color w:val="000000"/>
              <w:lang w:val="fr-CH"/>
            </w:rPr>
            <w:t>rev.</w:t>
          </w:r>
          <w:r>
            <w:rPr>
              <w:color w:val="000000"/>
            </w:rPr>
            <w:t xml:space="preserve"> </w:t>
          </w:r>
          <w:r w:rsidRPr="00FD108E">
            <w:rPr>
              <w:color w:val="FF0000"/>
            </w:rPr>
            <w:t>10</w:t>
          </w:r>
        </w:p>
      </w:tc>
    </w:tr>
  </w:tbl>
  <w:p w:rsidR="00FD108E" w:rsidRPr="00BA2AB6" w:rsidRDefault="00FD108E" w:rsidP="00BA2AB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660FB">
      <w:trPr>
        <w:cantSplit/>
        <w:jc w:val="right"/>
      </w:trPr>
      <w:tc>
        <w:tcPr>
          <w:tcW w:w="1701" w:type="dxa"/>
          <w:tcBorders>
            <w:top w:val="single" w:sz="6" w:space="0" w:color="auto"/>
            <w:left w:val="single" w:sz="6" w:space="0" w:color="auto"/>
            <w:bottom w:val="single" w:sz="6" w:space="0" w:color="auto"/>
            <w:right w:val="single" w:sz="6" w:space="0" w:color="auto"/>
          </w:tcBorders>
        </w:tcPr>
        <w:p w:rsidR="00C660FB" w:rsidRDefault="00C660F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C660FB" w:rsidRDefault="004B0704">
          <w:pPr>
            <w:pStyle w:val="HeaderRegProc"/>
            <w:rPr>
              <w:color w:val="000000"/>
              <w:lang w:val="en-US"/>
            </w:rPr>
          </w:pPr>
          <w:fldSimple w:instr=" DOCPROPERTY &quot;Header&quot; \* MERGEFORMAT ">
            <w:r w:rsidR="003E0C43" w:rsidRPr="003E0C43">
              <w:rPr>
                <w:color w:val="000000"/>
                <w:lang w:val="en-US"/>
              </w:rPr>
              <w:t>AR</w:t>
            </w:r>
          </w:fldSimple>
          <w:r w:rsidR="00C660FB">
            <w:rPr>
              <w:color w:val="000000"/>
            </w:rPr>
            <w:fldChar w:fldCharType="begin"/>
          </w:r>
          <w:r w:rsidR="00C660FB">
            <w:rPr>
              <w:color w:val="000000"/>
              <w:lang w:val="en-US"/>
            </w:rPr>
            <w:instrText>styleref href2</w:instrText>
          </w:r>
          <w:r w:rsidR="00C660FB">
            <w:rPr>
              <w:color w:val="000000"/>
            </w:rPr>
            <w:fldChar w:fldCharType="separate"/>
          </w:r>
          <w:r w:rsidR="003E0C43">
            <w:rPr>
              <w:noProof/>
              <w:color w:val="000000"/>
            </w:rPr>
            <w:t>5</w:t>
          </w:r>
          <w:r w:rsidR="00C660F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C660FB" w:rsidRDefault="00C660FB" w:rsidP="00C660FB">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660FB" w:rsidRDefault="00C660FB" w:rsidP="00EF3CF1">
          <w:pPr>
            <w:pStyle w:val="HeaderRegProc"/>
            <w:rPr>
              <w:color w:val="000000"/>
              <w:lang w:val="fr-CH"/>
            </w:rPr>
          </w:pPr>
          <w:r>
            <w:rPr>
              <w:color w:val="000000"/>
              <w:lang w:val="fr-CH"/>
            </w:rPr>
            <w:t>rev.</w:t>
          </w:r>
          <w:r>
            <w:rPr>
              <w:color w:val="000000"/>
            </w:rPr>
            <w:t xml:space="preserve"> 10</w:t>
          </w:r>
        </w:p>
      </w:tc>
    </w:tr>
  </w:tbl>
  <w:p w:rsidR="00C660FB" w:rsidRDefault="00C660FB">
    <w:pPr>
      <w:pStyle w:val="Header"/>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A9305A">
          <w:pPr>
            <w:pStyle w:val="HeaderRegProc"/>
            <w:rPr>
              <w:color w:val="000000"/>
              <w:lang w:val="fr-CH"/>
            </w:rPr>
          </w:pPr>
          <w:r>
            <w:rPr>
              <w:color w:val="000000"/>
              <w:lang w:val="fr-CH"/>
            </w:rPr>
            <w:t>rev.</w:t>
          </w:r>
          <w:r>
            <w:rPr>
              <w:color w:val="000000"/>
            </w:rPr>
            <w:t xml:space="preserve"> 1</w:t>
          </w:r>
        </w:p>
      </w:tc>
    </w:tr>
  </w:tbl>
  <w:p w:rsidR="00EF3CF1" w:rsidRPr="00BA2AB6" w:rsidRDefault="00EF3CF1" w:rsidP="00BA2AB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660FB">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115597">
          <w:pPr>
            <w:pStyle w:val="HeaderRegProc"/>
            <w:rPr>
              <w:color w:val="000000"/>
              <w:lang w:val="fr-CH"/>
            </w:rPr>
          </w:pPr>
          <w:r>
            <w:rPr>
              <w:color w:val="000000"/>
              <w:lang w:val="fr-CH"/>
            </w:rPr>
            <w:t>rev.</w:t>
          </w:r>
          <w:r>
            <w:rPr>
              <w:color w:val="000000"/>
            </w:rPr>
            <w:t xml:space="preserve"> 1</w:t>
          </w:r>
        </w:p>
      </w:tc>
    </w:tr>
  </w:tbl>
  <w:p w:rsidR="00EF3CF1" w:rsidRDefault="00EF3CF1">
    <w:pPr>
      <w:pStyle w:val="Header"/>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9450D">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Pr="00BA2AB6" w:rsidRDefault="00EF3CF1" w:rsidP="00BA2AB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Default="00EF3CF1">
    <w:pPr>
      <w:pStyle w:val="Head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Default="00EF3CF1">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9450D" w:rsidTr="00BA2AB6">
      <w:trPr>
        <w:cantSplit/>
      </w:trPr>
      <w:tc>
        <w:tcPr>
          <w:tcW w:w="1701" w:type="dxa"/>
          <w:tcBorders>
            <w:top w:val="single" w:sz="6" w:space="0" w:color="auto"/>
            <w:left w:val="single" w:sz="6" w:space="0" w:color="auto"/>
            <w:bottom w:val="single" w:sz="6" w:space="0" w:color="auto"/>
            <w:right w:val="single" w:sz="6" w:space="0" w:color="auto"/>
          </w:tcBorders>
        </w:tcPr>
        <w:p w:rsidR="0039450D" w:rsidRDefault="0039450D"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39450D" w:rsidRDefault="004B0704" w:rsidP="00D02580">
          <w:pPr>
            <w:pStyle w:val="HeaderRegProc"/>
            <w:rPr>
              <w:color w:val="000000"/>
              <w:lang w:val="en-US"/>
            </w:rPr>
          </w:pPr>
          <w:fldSimple w:instr=" DOCPROPERTY &quot;Header&quot; \* MERGEFORMAT ">
            <w:r w:rsidR="003E0C43" w:rsidRPr="003E0C43">
              <w:rPr>
                <w:color w:val="000000"/>
                <w:lang w:val="en-US"/>
              </w:rPr>
              <w:t>AR</w:t>
            </w:r>
          </w:fldSimple>
          <w:r w:rsidR="0039450D">
            <w:rPr>
              <w:color w:val="000000"/>
            </w:rPr>
            <w:fldChar w:fldCharType="begin"/>
          </w:r>
          <w:r w:rsidR="0039450D">
            <w:rPr>
              <w:color w:val="000000"/>
              <w:lang w:val="en-US"/>
            </w:rPr>
            <w:instrText>styleref href2</w:instrText>
          </w:r>
          <w:r w:rsidR="0039450D">
            <w:rPr>
              <w:color w:val="000000"/>
            </w:rPr>
            <w:fldChar w:fldCharType="separate"/>
          </w:r>
          <w:r w:rsidR="003E0C43">
            <w:rPr>
              <w:noProof/>
              <w:color w:val="000000"/>
            </w:rPr>
            <w:t>5</w:t>
          </w:r>
          <w:r w:rsidR="0039450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39450D">
          <w:pPr>
            <w:pStyle w:val="HeaderRegProc"/>
            <w:rPr>
              <w:color w:val="000000"/>
              <w:lang w:val="fr-CH"/>
            </w:rPr>
          </w:pPr>
          <w:r>
            <w:rPr>
              <w:color w:val="000000"/>
              <w:lang w:val="fr-CH"/>
            </w:rPr>
            <w:t>rev.</w:t>
          </w:r>
          <w:r>
            <w:rPr>
              <w:color w:val="000000"/>
            </w:rPr>
            <w:t xml:space="preserve"> 10</w:t>
          </w:r>
        </w:p>
      </w:tc>
    </w:tr>
  </w:tbl>
  <w:p w:rsidR="0039450D" w:rsidRPr="00BA2AB6" w:rsidRDefault="0039450D" w:rsidP="00BA2AB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D108E">
      <w:trPr>
        <w:cantSplit/>
        <w:jc w:val="right"/>
      </w:trPr>
      <w:tc>
        <w:tcPr>
          <w:tcW w:w="1701" w:type="dxa"/>
          <w:tcBorders>
            <w:top w:val="single" w:sz="6" w:space="0" w:color="auto"/>
            <w:left w:val="single" w:sz="6" w:space="0" w:color="auto"/>
            <w:bottom w:val="single" w:sz="6" w:space="0" w:color="auto"/>
            <w:right w:val="single" w:sz="6" w:space="0" w:color="auto"/>
          </w:tcBorders>
        </w:tcPr>
        <w:p w:rsidR="00FD108E" w:rsidRDefault="00FD108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FD108E"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FD108E">
            <w:rPr>
              <w:color w:val="000000"/>
            </w:rPr>
            <w:fldChar w:fldCharType="begin"/>
          </w:r>
          <w:r w:rsidR="00FD108E">
            <w:rPr>
              <w:color w:val="000000"/>
              <w:lang w:val="en-US"/>
            </w:rPr>
            <w:instrText>styleref href2</w:instrText>
          </w:r>
          <w:r w:rsidR="00FD108E">
            <w:rPr>
              <w:color w:val="000000"/>
            </w:rPr>
            <w:fldChar w:fldCharType="separate"/>
          </w:r>
          <w:r>
            <w:rPr>
              <w:noProof/>
              <w:color w:val="000000"/>
            </w:rPr>
            <w:t>5</w:t>
          </w:r>
          <w:r w:rsidR="00FD108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D108E" w:rsidRDefault="00FD108E">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9450D">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D108E" w:rsidRDefault="00FD108E" w:rsidP="00FD108E">
          <w:pPr>
            <w:pStyle w:val="HeaderRegProc"/>
            <w:rPr>
              <w:color w:val="000000"/>
              <w:lang w:val="fr-CH"/>
            </w:rPr>
          </w:pPr>
          <w:r>
            <w:rPr>
              <w:color w:val="000000"/>
              <w:lang w:val="fr-CH"/>
            </w:rPr>
            <w:t>rev.</w:t>
          </w:r>
          <w:r>
            <w:rPr>
              <w:color w:val="000000"/>
            </w:rPr>
            <w:t xml:space="preserve"> 10</w:t>
          </w:r>
        </w:p>
      </w:tc>
    </w:tr>
  </w:tbl>
  <w:p w:rsidR="00FD108E" w:rsidRDefault="00FD108E">
    <w:pPr>
      <w:pStyle w:val="Header"/>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D108E" w:rsidTr="00BA2AB6">
      <w:trPr>
        <w:cantSplit/>
      </w:trPr>
      <w:tc>
        <w:tcPr>
          <w:tcW w:w="1701" w:type="dxa"/>
          <w:tcBorders>
            <w:top w:val="single" w:sz="6" w:space="0" w:color="auto"/>
            <w:left w:val="single" w:sz="6" w:space="0" w:color="auto"/>
            <w:bottom w:val="single" w:sz="6" w:space="0" w:color="auto"/>
            <w:right w:val="single" w:sz="6" w:space="0" w:color="auto"/>
          </w:tcBorders>
        </w:tcPr>
        <w:p w:rsidR="00FD108E" w:rsidRDefault="00FD108E"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FD108E"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FD108E">
            <w:rPr>
              <w:color w:val="000000"/>
            </w:rPr>
            <w:fldChar w:fldCharType="begin"/>
          </w:r>
          <w:r w:rsidR="00FD108E">
            <w:rPr>
              <w:color w:val="000000"/>
              <w:lang w:val="en-US"/>
            </w:rPr>
            <w:instrText>styleref href2</w:instrText>
          </w:r>
          <w:r w:rsidR="00FD108E">
            <w:rPr>
              <w:color w:val="000000"/>
            </w:rPr>
            <w:fldChar w:fldCharType="separate"/>
          </w:r>
          <w:r>
            <w:rPr>
              <w:noProof/>
              <w:color w:val="000000"/>
            </w:rPr>
            <w:t>5</w:t>
          </w:r>
          <w:r w:rsidR="00FD108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FD108E" w:rsidRDefault="00FD108E"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D108E" w:rsidRDefault="00FD108E" w:rsidP="004C3E81">
          <w:pPr>
            <w:pStyle w:val="HeaderRegProc"/>
            <w:rPr>
              <w:color w:val="000000"/>
              <w:lang w:val="fr-CH"/>
            </w:rPr>
          </w:pPr>
          <w:r w:rsidRPr="0039450D">
            <w:rPr>
              <w:lang w:val="fr-CH"/>
            </w:rPr>
            <w:t>rev.</w:t>
          </w:r>
          <w:r w:rsidRPr="0039450D">
            <w:t>-</w:t>
          </w:r>
        </w:p>
      </w:tc>
    </w:tr>
  </w:tbl>
  <w:p w:rsidR="00FD108E" w:rsidRPr="00BA2AB6" w:rsidRDefault="00FD108E" w:rsidP="00BA2AB6">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9450D">
      <w:trPr>
        <w:cantSplit/>
        <w:jc w:val="right"/>
      </w:trPr>
      <w:tc>
        <w:tcPr>
          <w:tcW w:w="1701" w:type="dxa"/>
          <w:tcBorders>
            <w:top w:val="single" w:sz="6" w:space="0" w:color="auto"/>
            <w:left w:val="single" w:sz="6" w:space="0" w:color="auto"/>
            <w:bottom w:val="single" w:sz="6" w:space="0" w:color="auto"/>
            <w:right w:val="single" w:sz="6" w:space="0" w:color="auto"/>
          </w:tcBorders>
        </w:tcPr>
        <w:p w:rsidR="0039450D" w:rsidRDefault="0039450D">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39450D" w:rsidRDefault="004B0704">
          <w:pPr>
            <w:pStyle w:val="HeaderRegProc"/>
            <w:rPr>
              <w:color w:val="000000"/>
              <w:lang w:val="en-US"/>
            </w:rPr>
          </w:pPr>
          <w:fldSimple w:instr=" DOCPROPERTY &quot;Header&quot; \* MERGEFORMAT ">
            <w:r w:rsidR="003E0C43" w:rsidRPr="003E0C43">
              <w:rPr>
                <w:color w:val="000000"/>
                <w:lang w:val="en-US"/>
              </w:rPr>
              <w:t>AR</w:t>
            </w:r>
          </w:fldSimple>
          <w:r w:rsidR="0039450D">
            <w:rPr>
              <w:color w:val="000000"/>
            </w:rPr>
            <w:fldChar w:fldCharType="begin"/>
          </w:r>
          <w:r w:rsidR="0039450D">
            <w:rPr>
              <w:color w:val="000000"/>
              <w:lang w:val="en-US"/>
            </w:rPr>
            <w:instrText>styleref href2</w:instrText>
          </w:r>
          <w:r w:rsidR="0039450D">
            <w:rPr>
              <w:color w:val="000000"/>
            </w:rPr>
            <w:fldChar w:fldCharType="separate"/>
          </w:r>
          <w:r w:rsidR="003E0C43">
            <w:rPr>
              <w:noProof/>
              <w:color w:val="000000"/>
            </w:rPr>
            <w:t>5</w:t>
          </w:r>
          <w:r w:rsidR="0039450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672F30">
          <w:pPr>
            <w:pStyle w:val="HeaderRegProc"/>
            <w:rPr>
              <w:color w:val="000000"/>
              <w:lang w:val="fr-CH"/>
            </w:rPr>
          </w:pPr>
          <w:r>
            <w:rPr>
              <w:color w:val="000000"/>
              <w:lang w:val="fr-CH"/>
            </w:rPr>
            <w:t>rev.</w:t>
          </w:r>
          <w:r w:rsidR="00672F30">
            <w:rPr>
              <w:color w:val="000000"/>
              <w:lang w:val="fr-CH"/>
            </w:rPr>
            <w:t xml:space="preserve"> 10</w:t>
          </w:r>
        </w:p>
      </w:tc>
    </w:tr>
  </w:tbl>
  <w:p w:rsidR="0039450D" w:rsidRDefault="0039450D">
    <w:pPr>
      <w:pStyle w:val="Header"/>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7274A2">
          <w:pPr>
            <w:pStyle w:val="HeaderRegProc"/>
            <w:rPr>
              <w:color w:val="000000"/>
              <w:lang w:val="fr-CH"/>
            </w:rPr>
          </w:pPr>
          <w:r>
            <w:rPr>
              <w:color w:val="000000"/>
              <w:lang w:val="fr-CH"/>
            </w:rPr>
            <w:t>rev. 1</w:t>
          </w:r>
        </w:p>
      </w:tc>
    </w:tr>
  </w:tbl>
  <w:p w:rsidR="00EF3CF1" w:rsidRPr="00BA2AB6" w:rsidRDefault="00EF3CF1" w:rsidP="00BA2AB6">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6B4D05">
          <w:pPr>
            <w:pStyle w:val="HeaderRegProc"/>
            <w:rPr>
              <w:color w:val="000000"/>
              <w:lang w:val="fr-CH"/>
            </w:rPr>
          </w:pPr>
          <w:r>
            <w:rPr>
              <w:color w:val="000000"/>
              <w:lang w:val="fr-CH"/>
            </w:rPr>
            <w:t>rev.</w:t>
          </w:r>
          <w:r>
            <w:rPr>
              <w:color w:val="000000"/>
            </w:rPr>
            <w:t xml:space="preserve"> 1</w:t>
          </w:r>
        </w:p>
      </w:tc>
    </w:tr>
  </w:tbl>
  <w:p w:rsidR="00EF3CF1" w:rsidRDefault="00EF3CF1">
    <w:pPr>
      <w:pStyle w:val="Header"/>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Pr="00BA2AB6" w:rsidRDefault="00EF3CF1" w:rsidP="00BA2AB6">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Default="00EF3CF1">
    <w:pPr>
      <w:pStyle w:val="Header"/>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1D8B" w:rsidTr="00BA2AB6">
      <w:trPr>
        <w:cantSplit/>
      </w:trPr>
      <w:tc>
        <w:tcPr>
          <w:tcW w:w="1701" w:type="dxa"/>
          <w:tcBorders>
            <w:top w:val="single" w:sz="6" w:space="0" w:color="auto"/>
            <w:left w:val="single" w:sz="6" w:space="0" w:color="auto"/>
            <w:bottom w:val="single" w:sz="6" w:space="0" w:color="auto"/>
            <w:right w:val="single" w:sz="6" w:space="0" w:color="auto"/>
          </w:tcBorders>
        </w:tcPr>
        <w:p w:rsidR="00871D8B" w:rsidRDefault="00871D8B"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71D8B"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871D8B">
            <w:rPr>
              <w:color w:val="000000"/>
            </w:rPr>
            <w:fldChar w:fldCharType="begin"/>
          </w:r>
          <w:r w:rsidR="00871D8B">
            <w:rPr>
              <w:color w:val="000000"/>
              <w:lang w:val="en-US"/>
            </w:rPr>
            <w:instrText>styleref href2</w:instrText>
          </w:r>
          <w:r w:rsidR="00871D8B">
            <w:rPr>
              <w:color w:val="000000"/>
            </w:rPr>
            <w:fldChar w:fldCharType="separate"/>
          </w:r>
          <w:r>
            <w:rPr>
              <w:noProof/>
              <w:color w:val="000000"/>
            </w:rPr>
            <w:t>5</w:t>
          </w:r>
          <w:r w:rsidR="00871D8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71D8B" w:rsidRDefault="00871D8B"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9450D">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71D8B" w:rsidRDefault="00871D8B" w:rsidP="00871D8B">
          <w:pPr>
            <w:pStyle w:val="HeaderRegProc"/>
            <w:rPr>
              <w:color w:val="000000"/>
              <w:lang w:val="fr-CH"/>
            </w:rPr>
          </w:pPr>
          <w:r>
            <w:rPr>
              <w:color w:val="000000"/>
              <w:lang w:val="fr-CH"/>
            </w:rPr>
            <w:t>rev.</w:t>
          </w:r>
          <w:r>
            <w:rPr>
              <w:color w:val="000000"/>
            </w:rPr>
            <w:t xml:space="preserve"> 10</w:t>
          </w:r>
        </w:p>
      </w:tc>
    </w:tr>
  </w:tbl>
  <w:p w:rsidR="00871D8B" w:rsidRPr="00BA2AB6" w:rsidRDefault="00871D8B" w:rsidP="00BA2AB6">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9450D">
      <w:trPr>
        <w:cantSplit/>
        <w:jc w:val="right"/>
      </w:trPr>
      <w:tc>
        <w:tcPr>
          <w:tcW w:w="1701" w:type="dxa"/>
          <w:tcBorders>
            <w:top w:val="single" w:sz="6" w:space="0" w:color="auto"/>
            <w:left w:val="single" w:sz="6" w:space="0" w:color="auto"/>
            <w:bottom w:val="single" w:sz="6" w:space="0" w:color="auto"/>
            <w:right w:val="single" w:sz="6" w:space="0" w:color="auto"/>
          </w:tcBorders>
        </w:tcPr>
        <w:p w:rsidR="0039450D" w:rsidRDefault="0039450D">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39450D" w:rsidRDefault="004B0704">
          <w:pPr>
            <w:pStyle w:val="HeaderRegProc"/>
            <w:rPr>
              <w:color w:val="000000"/>
              <w:lang w:val="en-US"/>
            </w:rPr>
          </w:pPr>
          <w:fldSimple w:instr=" DOCPROPERTY &quot;Header&quot; \* MERGEFORMAT ">
            <w:r w:rsidR="003E0C43" w:rsidRPr="003E0C43">
              <w:rPr>
                <w:color w:val="000000"/>
                <w:lang w:val="en-US"/>
              </w:rPr>
              <w:t>AR</w:t>
            </w:r>
          </w:fldSimple>
          <w:r w:rsidR="0039450D">
            <w:rPr>
              <w:color w:val="000000"/>
            </w:rPr>
            <w:fldChar w:fldCharType="begin"/>
          </w:r>
          <w:r w:rsidR="0039450D">
            <w:rPr>
              <w:color w:val="000000"/>
              <w:lang w:val="en-US"/>
            </w:rPr>
            <w:instrText>styleref href2</w:instrText>
          </w:r>
          <w:r w:rsidR="0039450D">
            <w:rPr>
              <w:color w:val="000000"/>
            </w:rPr>
            <w:fldChar w:fldCharType="separate"/>
          </w:r>
          <w:r w:rsidR="003E0C43">
            <w:rPr>
              <w:noProof/>
              <w:color w:val="000000"/>
            </w:rPr>
            <w:t>5</w:t>
          </w:r>
          <w:r w:rsidR="0039450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39450D">
          <w:pPr>
            <w:pStyle w:val="HeaderRegProc"/>
            <w:rPr>
              <w:color w:val="000000"/>
              <w:lang w:val="fr-CH"/>
            </w:rPr>
          </w:pPr>
          <w:r>
            <w:rPr>
              <w:color w:val="000000"/>
              <w:lang w:val="fr-CH"/>
            </w:rPr>
            <w:t>rev.</w:t>
          </w:r>
          <w:r>
            <w:rPr>
              <w:color w:val="000000"/>
            </w:rPr>
            <w:t xml:space="preserve"> 10</w:t>
          </w:r>
        </w:p>
      </w:tc>
    </w:tr>
  </w:tbl>
  <w:p w:rsidR="0039450D" w:rsidRDefault="0039450D">
    <w:pPr>
      <w:pStyle w:val="Head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7F5A11">
          <w:pPr>
            <w:pStyle w:val="HeaderRegProc"/>
            <w:rPr>
              <w:color w:val="000000"/>
              <w:lang w:val="fr-CH"/>
            </w:rPr>
          </w:pPr>
          <w:r>
            <w:rPr>
              <w:color w:val="000000"/>
              <w:lang w:val="fr-FR"/>
            </w:rPr>
            <w:t xml:space="preserve">page </w:t>
          </w:r>
          <w:r>
            <w:rPr>
              <w:rStyle w:val="PageNumber"/>
            </w:rPr>
            <w:t>3</w:t>
          </w:r>
          <w:r w:rsidRPr="007F5A1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B83E5F">
          <w:pPr>
            <w:pStyle w:val="HeaderRegProc"/>
            <w:rPr>
              <w:color w:val="000000"/>
              <w:lang w:val="fr-CH"/>
            </w:rPr>
          </w:pPr>
          <w:r>
            <w:rPr>
              <w:color w:val="000000"/>
              <w:lang w:val="fr-CH"/>
            </w:rPr>
            <w:t xml:space="preserve">rev. </w:t>
          </w:r>
          <w:r>
            <w:rPr>
              <w:color w:val="000000"/>
            </w:rPr>
            <w:t>5</w:t>
          </w:r>
        </w:p>
      </w:tc>
    </w:tr>
  </w:tbl>
  <w:p w:rsidR="00EF3CF1" w:rsidRPr="00BA2AB6" w:rsidRDefault="00EF3CF1" w:rsidP="00BA2AB6">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9450D" w:rsidTr="00BA2AB6">
      <w:trPr>
        <w:cantSplit/>
      </w:trPr>
      <w:tc>
        <w:tcPr>
          <w:tcW w:w="1701" w:type="dxa"/>
          <w:tcBorders>
            <w:top w:val="single" w:sz="6" w:space="0" w:color="auto"/>
            <w:left w:val="single" w:sz="6" w:space="0" w:color="auto"/>
            <w:bottom w:val="single" w:sz="6" w:space="0" w:color="auto"/>
            <w:right w:val="single" w:sz="6" w:space="0" w:color="auto"/>
          </w:tcBorders>
        </w:tcPr>
        <w:p w:rsidR="0039450D" w:rsidRDefault="0039450D"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39450D" w:rsidRDefault="004B0704" w:rsidP="00D02580">
          <w:pPr>
            <w:pStyle w:val="HeaderRegProc"/>
            <w:rPr>
              <w:color w:val="000000"/>
              <w:lang w:val="en-US"/>
            </w:rPr>
          </w:pPr>
          <w:fldSimple w:instr=" DOCPROPERTY &quot;Header&quot; \* MERGEFORMAT ">
            <w:r w:rsidR="003E0C43" w:rsidRPr="003E0C43">
              <w:rPr>
                <w:color w:val="000000"/>
                <w:lang w:val="en-US"/>
              </w:rPr>
              <w:t>AR</w:t>
            </w:r>
          </w:fldSimple>
          <w:r w:rsidR="0039450D">
            <w:rPr>
              <w:color w:val="000000"/>
            </w:rPr>
            <w:fldChar w:fldCharType="begin"/>
          </w:r>
          <w:r w:rsidR="0039450D">
            <w:rPr>
              <w:color w:val="000000"/>
              <w:lang w:val="en-US"/>
            </w:rPr>
            <w:instrText>styleref href2</w:instrText>
          </w:r>
          <w:r w:rsidR="0039450D">
            <w:rPr>
              <w:color w:val="000000"/>
            </w:rPr>
            <w:fldChar w:fldCharType="separate"/>
          </w:r>
          <w:r w:rsidR="003E0C43">
            <w:rPr>
              <w:noProof/>
              <w:color w:val="000000"/>
            </w:rPr>
            <w:t>5</w:t>
          </w:r>
          <w:r w:rsidR="0039450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871D8B">
          <w:pPr>
            <w:pStyle w:val="HeaderRegProc"/>
            <w:rPr>
              <w:color w:val="000000"/>
              <w:lang w:val="fr-CH"/>
            </w:rPr>
          </w:pPr>
          <w:r>
            <w:rPr>
              <w:color w:val="000000"/>
              <w:lang w:val="fr-CH"/>
            </w:rPr>
            <w:t>rev.</w:t>
          </w:r>
          <w:r>
            <w:rPr>
              <w:color w:val="000000"/>
            </w:rPr>
            <w:t xml:space="preserve"> 10</w:t>
          </w:r>
        </w:p>
      </w:tc>
    </w:tr>
  </w:tbl>
  <w:p w:rsidR="0039450D" w:rsidRPr="00BA2AB6" w:rsidRDefault="0039450D" w:rsidP="00BA2AB6">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71D8B">
      <w:trPr>
        <w:cantSplit/>
        <w:jc w:val="right"/>
      </w:trPr>
      <w:tc>
        <w:tcPr>
          <w:tcW w:w="1701" w:type="dxa"/>
          <w:tcBorders>
            <w:top w:val="single" w:sz="6" w:space="0" w:color="auto"/>
            <w:left w:val="single" w:sz="6" w:space="0" w:color="auto"/>
            <w:bottom w:val="single" w:sz="6" w:space="0" w:color="auto"/>
            <w:right w:val="single" w:sz="6" w:space="0" w:color="auto"/>
          </w:tcBorders>
        </w:tcPr>
        <w:p w:rsidR="00871D8B" w:rsidRDefault="00871D8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71D8B"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871D8B">
            <w:rPr>
              <w:color w:val="000000"/>
            </w:rPr>
            <w:fldChar w:fldCharType="begin"/>
          </w:r>
          <w:r w:rsidR="00871D8B">
            <w:rPr>
              <w:color w:val="000000"/>
              <w:lang w:val="en-US"/>
            </w:rPr>
            <w:instrText>styleref href2</w:instrText>
          </w:r>
          <w:r w:rsidR="00871D8B">
            <w:rPr>
              <w:color w:val="000000"/>
            </w:rPr>
            <w:fldChar w:fldCharType="separate"/>
          </w:r>
          <w:r>
            <w:rPr>
              <w:noProof/>
              <w:color w:val="000000"/>
            </w:rPr>
            <w:t>5</w:t>
          </w:r>
          <w:r w:rsidR="00871D8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71D8B" w:rsidRDefault="00871D8B">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9450D">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71D8B" w:rsidRDefault="00871D8B" w:rsidP="00871D8B">
          <w:pPr>
            <w:pStyle w:val="HeaderRegProc"/>
            <w:rPr>
              <w:color w:val="000000"/>
              <w:lang w:val="fr-CH"/>
            </w:rPr>
          </w:pPr>
          <w:r w:rsidRPr="00871D8B">
            <w:rPr>
              <w:lang w:val="fr-CH"/>
            </w:rPr>
            <w:t>rev.</w:t>
          </w:r>
          <w:r>
            <w:t xml:space="preserve"> 10</w:t>
          </w:r>
        </w:p>
      </w:tc>
    </w:tr>
  </w:tbl>
  <w:p w:rsidR="00871D8B" w:rsidRDefault="00871D8B">
    <w:pPr>
      <w:pStyle w:val="Header"/>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1D8B" w:rsidTr="00BA2AB6">
      <w:trPr>
        <w:cantSplit/>
      </w:trPr>
      <w:tc>
        <w:tcPr>
          <w:tcW w:w="1701" w:type="dxa"/>
          <w:tcBorders>
            <w:top w:val="single" w:sz="6" w:space="0" w:color="auto"/>
            <w:left w:val="single" w:sz="6" w:space="0" w:color="auto"/>
            <w:bottom w:val="single" w:sz="6" w:space="0" w:color="auto"/>
            <w:right w:val="single" w:sz="6" w:space="0" w:color="auto"/>
          </w:tcBorders>
        </w:tcPr>
        <w:p w:rsidR="00871D8B" w:rsidRDefault="00871D8B"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71D8B"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871D8B">
            <w:rPr>
              <w:color w:val="000000"/>
            </w:rPr>
            <w:fldChar w:fldCharType="begin"/>
          </w:r>
          <w:r w:rsidR="00871D8B">
            <w:rPr>
              <w:color w:val="000000"/>
              <w:lang w:val="en-US"/>
            </w:rPr>
            <w:instrText>styleref href2</w:instrText>
          </w:r>
          <w:r w:rsidR="00871D8B">
            <w:rPr>
              <w:color w:val="000000"/>
            </w:rPr>
            <w:fldChar w:fldCharType="separate"/>
          </w:r>
          <w:r>
            <w:rPr>
              <w:noProof/>
              <w:color w:val="000000"/>
            </w:rPr>
            <w:t>5</w:t>
          </w:r>
          <w:r w:rsidR="00871D8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71D8B" w:rsidRDefault="00871D8B"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660FB">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71D8B" w:rsidRDefault="00871D8B" w:rsidP="00871D8B">
          <w:pPr>
            <w:pStyle w:val="HeaderRegProc"/>
            <w:rPr>
              <w:color w:val="000000"/>
              <w:lang w:val="fr-CH"/>
            </w:rPr>
          </w:pPr>
          <w:r>
            <w:rPr>
              <w:color w:val="000000"/>
              <w:lang w:val="fr-CH"/>
            </w:rPr>
            <w:t>rev.</w:t>
          </w:r>
          <w:r>
            <w:rPr>
              <w:color w:val="000000"/>
            </w:rPr>
            <w:t>-</w:t>
          </w:r>
        </w:p>
      </w:tc>
    </w:tr>
  </w:tbl>
  <w:p w:rsidR="00871D8B" w:rsidRPr="00BA2AB6" w:rsidRDefault="00871D8B" w:rsidP="00BA2AB6">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9450D">
      <w:trPr>
        <w:cantSplit/>
        <w:jc w:val="right"/>
      </w:trPr>
      <w:tc>
        <w:tcPr>
          <w:tcW w:w="1701" w:type="dxa"/>
          <w:tcBorders>
            <w:top w:val="single" w:sz="6" w:space="0" w:color="auto"/>
            <w:left w:val="single" w:sz="6" w:space="0" w:color="auto"/>
            <w:bottom w:val="single" w:sz="6" w:space="0" w:color="auto"/>
            <w:right w:val="single" w:sz="6" w:space="0" w:color="auto"/>
          </w:tcBorders>
        </w:tcPr>
        <w:p w:rsidR="0039450D" w:rsidRDefault="0039450D">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39450D" w:rsidRDefault="004B0704">
          <w:pPr>
            <w:pStyle w:val="HeaderRegProc"/>
            <w:rPr>
              <w:color w:val="000000"/>
              <w:lang w:val="en-US"/>
            </w:rPr>
          </w:pPr>
          <w:fldSimple w:instr=" DOCPROPERTY &quot;Header&quot; \* MERGEFORMAT ">
            <w:r w:rsidR="003E0C43" w:rsidRPr="003E0C43">
              <w:rPr>
                <w:color w:val="000000"/>
                <w:lang w:val="en-US"/>
              </w:rPr>
              <w:t>AR</w:t>
            </w:r>
          </w:fldSimple>
          <w:r w:rsidR="0039450D">
            <w:rPr>
              <w:color w:val="000000"/>
            </w:rPr>
            <w:fldChar w:fldCharType="begin"/>
          </w:r>
          <w:r w:rsidR="0039450D">
            <w:rPr>
              <w:color w:val="000000"/>
              <w:lang w:val="en-US"/>
            </w:rPr>
            <w:instrText>styleref href2</w:instrText>
          </w:r>
          <w:r w:rsidR="0039450D">
            <w:rPr>
              <w:color w:val="000000"/>
            </w:rPr>
            <w:fldChar w:fldCharType="separate"/>
          </w:r>
          <w:r w:rsidR="003E0C43">
            <w:rPr>
              <w:noProof/>
              <w:color w:val="000000"/>
            </w:rPr>
            <w:t>5</w:t>
          </w:r>
          <w:r w:rsidR="0039450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9450D" w:rsidRDefault="0039450D" w:rsidP="0039450D">
          <w:pPr>
            <w:pStyle w:val="HeaderRegProc"/>
            <w:rPr>
              <w:color w:val="000000"/>
              <w:lang w:val="fr-CH"/>
            </w:rPr>
          </w:pPr>
          <w:r w:rsidRPr="00871D8B">
            <w:rPr>
              <w:lang w:val="fr-CH"/>
            </w:rPr>
            <w:t>rev.</w:t>
          </w:r>
          <w:r>
            <w:t>-</w:t>
          </w:r>
        </w:p>
      </w:tc>
    </w:tr>
  </w:tbl>
  <w:p w:rsidR="0039450D" w:rsidRDefault="0039450D">
    <w:pPr>
      <w:pStyle w:val="Header"/>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CF1" w:rsidRDefault="00EF3CF1">
    <w:pPr>
      <w:pStyle w:val="Header"/>
      <w:rPr>
        <w:color w:val="000000"/>
      </w:rPr>
    </w:pPr>
    <w:r>
      <w:rPr>
        <w:noProof/>
        <w:color w:val="000000"/>
        <w:sz w:val="20"/>
        <w:lang w:val="en-US" w:eastAsia="zh-CN"/>
      </w:rPr>
      <mc:AlternateContent>
        <mc:Choice Requires="wps">
          <w:drawing>
            <wp:anchor distT="0" distB="0" distL="114300" distR="114300" simplePos="0" relativeHeight="251658240" behindDoc="0" locked="0" layoutInCell="1" allowOverlap="1">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F3CF1">
                            <w:trPr>
                              <w:cantSplit/>
                              <w:trHeight w:hRule="exact" w:val="1605"/>
                              <w:jc w:val="right"/>
                            </w:trPr>
                            <w:tc>
                              <w:tcPr>
                                <w:tcW w:w="255" w:type="dxa"/>
                                <w:textDirection w:val="tbRl"/>
                              </w:tcPr>
                              <w:p w:rsidR="00EF3CF1" w:rsidRDefault="00EF3CF1">
                                <w:pPr>
                                  <w:pStyle w:val="HeaderRegProc"/>
                                  <w:spacing w:before="0"/>
                                  <w:ind w:left="0"/>
                                  <w:rPr>
                                    <w:lang w:val="en-US"/>
                                  </w:rPr>
                                </w:pPr>
                                <w:r>
                                  <w:rPr>
                                    <w:lang w:val="en-US"/>
                                  </w:rPr>
                                  <w:t>Part A1</w:t>
                                </w:r>
                              </w:p>
                            </w:tc>
                          </w:tr>
                          <w:tr w:rsidR="00EF3CF1">
                            <w:trPr>
                              <w:cantSplit/>
                              <w:trHeight w:hRule="exact" w:val="1605"/>
                              <w:jc w:val="right"/>
                            </w:trPr>
                            <w:tc>
                              <w:tcPr>
                                <w:tcW w:w="255" w:type="dxa"/>
                                <w:textDirection w:val="tbRl"/>
                              </w:tcPr>
                              <w:p w:rsidR="00EF3CF1" w:rsidRDefault="003E0C43">
                                <w:pPr>
                                  <w:pStyle w:val="HeaderRegProc"/>
                                  <w:spacing w:before="0"/>
                                  <w:ind w:left="0"/>
                                  <w:rPr>
                                    <w:lang w:val="fr-CH"/>
                                  </w:rPr>
                                </w:pPr>
                                <w:r>
                                  <w:fldChar w:fldCharType="begin"/>
                                </w:r>
                                <w:r>
                                  <w:instrText xml:space="preserve"> DOCPROPERTY "Header" \* MERGEFORMAT </w:instrText>
                                </w:r>
                                <w:r>
                                  <w:fldChar w:fldCharType="separate"/>
                                </w:r>
                                <w:r w:rsidRPr="003E0C43">
                                  <w:rPr>
                                    <w:lang w:val="fr-CH"/>
                                  </w:rPr>
                                  <w:t>AR</w:t>
                                </w:r>
                                <w:r>
                                  <w:rPr>
                                    <w:lang w:val="fr-CH"/>
                                  </w:rPr>
                                  <w:fldChar w:fldCharType="end"/>
                                </w:r>
                                <w:r w:rsidR="00EF3CF1">
                                  <w:fldChar w:fldCharType="begin"/>
                                </w:r>
                                <w:r w:rsidR="00EF3CF1">
                                  <w:rPr>
                                    <w:lang w:val="fr-CH"/>
                                  </w:rPr>
                                  <w:instrText>styleref href2</w:instrText>
                                </w:r>
                                <w:r w:rsidR="00EF3CF1">
                                  <w:fldChar w:fldCharType="separate"/>
                                </w:r>
                                <w:r>
                                  <w:rPr>
                                    <w:noProof/>
                                  </w:rPr>
                                  <w:t>5</w:t>
                                </w:r>
                                <w:r w:rsidR="00EF3CF1">
                                  <w:fldChar w:fldCharType="end"/>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3E0C43">
                                  <w:rPr>
                                    <w:rStyle w:val="PageNumber"/>
                                    <w:noProof/>
                                    <w:lang w:val="fr-CH"/>
                                  </w:rPr>
                                  <w:t>22</w:t>
                                </w:r>
                                <w:r>
                                  <w:rPr>
                                    <w:rStyle w:val="PageNumber"/>
                                  </w:rPr>
                                  <w:fldChar w:fldCharType="end"/>
                                </w:r>
                              </w:p>
                            </w:tc>
                          </w:tr>
                          <w:tr w:rsidR="00EF3CF1">
                            <w:trPr>
                              <w:cantSplit/>
                              <w:trHeight w:hRule="exact" w:val="1605"/>
                              <w:jc w:val="right"/>
                            </w:trPr>
                            <w:tc>
                              <w:tcPr>
                                <w:tcW w:w="255" w:type="dxa"/>
                                <w:textDirection w:val="tbRl"/>
                              </w:tcPr>
                              <w:p w:rsidR="00EF3CF1" w:rsidRDefault="00EF3CF1" w:rsidP="00400261">
                                <w:pPr>
                                  <w:pStyle w:val="HeaderRegProc"/>
                                  <w:spacing w:before="0"/>
                                  <w:ind w:left="0"/>
                                  <w:rPr>
                                    <w:lang w:val="fr-CH"/>
                                  </w:rPr>
                                </w:pPr>
                                <w:r>
                                  <w:rPr>
                                    <w:lang w:val="fr-CH"/>
                                  </w:rPr>
                                  <w:t>rev.-</w:t>
                                </w:r>
                              </w:p>
                            </w:tc>
                          </w:tr>
                        </w:tbl>
                        <w:p w:rsidR="00EF3CF1" w:rsidRDefault="00EF3CF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AD7iGSegIAAP8E&#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F3CF1">
                      <w:trPr>
                        <w:cantSplit/>
                        <w:trHeight w:hRule="exact" w:val="1605"/>
                        <w:jc w:val="right"/>
                      </w:trPr>
                      <w:tc>
                        <w:tcPr>
                          <w:tcW w:w="255" w:type="dxa"/>
                          <w:textDirection w:val="tbRl"/>
                        </w:tcPr>
                        <w:p w:rsidR="00EF3CF1" w:rsidRDefault="00EF3CF1">
                          <w:pPr>
                            <w:pStyle w:val="HeaderRegProc"/>
                            <w:spacing w:before="0"/>
                            <w:ind w:left="0"/>
                            <w:rPr>
                              <w:lang w:val="en-US"/>
                            </w:rPr>
                          </w:pPr>
                          <w:r>
                            <w:rPr>
                              <w:lang w:val="en-US"/>
                            </w:rPr>
                            <w:t>Part A1</w:t>
                          </w:r>
                        </w:p>
                      </w:tc>
                    </w:tr>
                    <w:tr w:rsidR="00EF3CF1">
                      <w:trPr>
                        <w:cantSplit/>
                        <w:trHeight w:hRule="exact" w:val="1605"/>
                        <w:jc w:val="right"/>
                      </w:trPr>
                      <w:tc>
                        <w:tcPr>
                          <w:tcW w:w="255" w:type="dxa"/>
                          <w:textDirection w:val="tbRl"/>
                        </w:tcPr>
                        <w:p w:rsidR="00EF3CF1" w:rsidRDefault="003E0C43">
                          <w:pPr>
                            <w:pStyle w:val="HeaderRegProc"/>
                            <w:spacing w:before="0"/>
                            <w:ind w:left="0"/>
                            <w:rPr>
                              <w:lang w:val="fr-CH"/>
                            </w:rPr>
                          </w:pPr>
                          <w:r>
                            <w:fldChar w:fldCharType="begin"/>
                          </w:r>
                          <w:r>
                            <w:instrText xml:space="preserve"> DOCPROPERTY "Header" \* MERGEFORMAT </w:instrText>
                          </w:r>
                          <w:r>
                            <w:fldChar w:fldCharType="separate"/>
                          </w:r>
                          <w:r w:rsidRPr="003E0C43">
                            <w:rPr>
                              <w:lang w:val="fr-CH"/>
                            </w:rPr>
                            <w:t>AR</w:t>
                          </w:r>
                          <w:r>
                            <w:rPr>
                              <w:lang w:val="fr-CH"/>
                            </w:rPr>
                            <w:fldChar w:fldCharType="end"/>
                          </w:r>
                          <w:r w:rsidR="00EF3CF1">
                            <w:fldChar w:fldCharType="begin"/>
                          </w:r>
                          <w:r w:rsidR="00EF3CF1">
                            <w:rPr>
                              <w:lang w:val="fr-CH"/>
                            </w:rPr>
                            <w:instrText>styleref href2</w:instrText>
                          </w:r>
                          <w:r w:rsidR="00EF3CF1">
                            <w:fldChar w:fldCharType="separate"/>
                          </w:r>
                          <w:r>
                            <w:rPr>
                              <w:noProof/>
                            </w:rPr>
                            <w:t>5</w:t>
                          </w:r>
                          <w:r w:rsidR="00EF3CF1">
                            <w:fldChar w:fldCharType="end"/>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3E0C43">
                            <w:rPr>
                              <w:rStyle w:val="PageNumber"/>
                              <w:noProof/>
                              <w:lang w:val="fr-CH"/>
                            </w:rPr>
                            <w:t>22</w:t>
                          </w:r>
                          <w:r>
                            <w:rPr>
                              <w:rStyle w:val="PageNumber"/>
                            </w:rPr>
                            <w:fldChar w:fldCharType="end"/>
                          </w:r>
                        </w:p>
                      </w:tc>
                    </w:tr>
                    <w:tr w:rsidR="00EF3CF1">
                      <w:trPr>
                        <w:cantSplit/>
                        <w:trHeight w:hRule="exact" w:val="1605"/>
                        <w:jc w:val="right"/>
                      </w:trPr>
                      <w:tc>
                        <w:tcPr>
                          <w:tcW w:w="255" w:type="dxa"/>
                          <w:textDirection w:val="tbRl"/>
                        </w:tcPr>
                        <w:p w:rsidR="00EF3CF1" w:rsidRDefault="00EF3CF1" w:rsidP="00400261">
                          <w:pPr>
                            <w:pStyle w:val="HeaderRegProc"/>
                            <w:spacing w:before="0"/>
                            <w:ind w:left="0"/>
                            <w:rPr>
                              <w:lang w:val="fr-CH"/>
                            </w:rPr>
                          </w:pPr>
                          <w:r>
                            <w:rPr>
                              <w:lang w:val="fr-CH"/>
                            </w:rPr>
                            <w:t>rev.-</w:t>
                          </w:r>
                        </w:p>
                      </w:tc>
                    </w:tr>
                  </w:tbl>
                  <w:p w:rsidR="00EF3CF1" w:rsidRDefault="00EF3CF1">
                    <w:pPr>
                      <w:rPr>
                        <w:lang w:val="fr-CH"/>
                      </w:rPr>
                    </w:pPr>
                  </w:p>
                </w:txbxContent>
              </v:textbox>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CF1" w:rsidRDefault="00EF3CF1">
    <w:pPr>
      <w:pStyle w:val="Header"/>
    </w:pPr>
    <w:r>
      <w:rPr>
        <w:noProof/>
        <w:sz w:val="20"/>
        <w:lang w:val="en-US" w:eastAsia="zh-CN"/>
      </w:rPr>
      <mc:AlternateContent>
        <mc:Choice Requires="wps">
          <w:drawing>
            <wp:anchor distT="0" distB="0" distL="114300" distR="114300" simplePos="0" relativeHeight="251659264" behindDoc="0" locked="0" layoutInCell="1" allowOverlap="1">
              <wp:simplePos x="0" y="0"/>
              <wp:positionH relativeFrom="page">
                <wp:posOffset>9940925</wp:posOffset>
              </wp:positionH>
              <wp:positionV relativeFrom="page">
                <wp:posOffset>826770</wp:posOffset>
              </wp:positionV>
              <wp:extent cx="457200" cy="5723890"/>
              <wp:effectExtent l="0" t="0" r="3175"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F3CF1">
                            <w:trPr>
                              <w:cantSplit/>
                              <w:trHeight w:hRule="exact" w:val="1605"/>
                              <w:jc w:val="right"/>
                            </w:trPr>
                            <w:tc>
                              <w:tcPr>
                                <w:tcW w:w="255" w:type="dxa"/>
                                <w:textDirection w:val="tbRl"/>
                              </w:tcPr>
                              <w:p w:rsidR="00EF3CF1" w:rsidRDefault="00EF3CF1" w:rsidP="005A6C8C">
                                <w:pPr>
                                  <w:pStyle w:val="HeaderRegProc"/>
                                  <w:spacing w:before="0"/>
                                  <w:ind w:left="0"/>
                                  <w:rPr>
                                    <w:lang w:val="en-US"/>
                                  </w:rPr>
                                </w:pPr>
                                <w:r>
                                  <w:rPr>
                                    <w:lang w:val="en-US"/>
                                  </w:rPr>
                                  <w:t>Part A1</w:t>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t>AR5</w:t>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C660FB">
                                  <w:rPr>
                                    <w:rStyle w:val="PageNumber"/>
                                    <w:noProof/>
                                    <w:lang w:val="fr-CH"/>
                                  </w:rPr>
                                  <w:t>23</w:t>
                                </w:r>
                                <w:r>
                                  <w:rPr>
                                    <w:rStyle w:val="PageNumber"/>
                                  </w:rPr>
                                  <w:fldChar w:fldCharType="end"/>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rPr>
                                    <w:lang w:val="fr-CH"/>
                                  </w:rPr>
                                  <w:t>rev.-</w:t>
                                </w:r>
                              </w:p>
                            </w:tc>
                          </w:tr>
                        </w:tbl>
                        <w:p w:rsidR="00EF3CF1" w:rsidRDefault="00EF3CF1"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782.75pt;margin-top:65.1pt;width:36pt;height:450.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765fAIAAAY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F3CF1">
                      <w:trPr>
                        <w:cantSplit/>
                        <w:trHeight w:hRule="exact" w:val="1605"/>
                        <w:jc w:val="right"/>
                      </w:trPr>
                      <w:tc>
                        <w:tcPr>
                          <w:tcW w:w="255" w:type="dxa"/>
                          <w:textDirection w:val="tbRl"/>
                        </w:tcPr>
                        <w:p w:rsidR="00EF3CF1" w:rsidRDefault="00EF3CF1" w:rsidP="005A6C8C">
                          <w:pPr>
                            <w:pStyle w:val="HeaderRegProc"/>
                            <w:spacing w:before="0"/>
                            <w:ind w:left="0"/>
                            <w:rPr>
                              <w:lang w:val="en-US"/>
                            </w:rPr>
                          </w:pPr>
                          <w:r>
                            <w:rPr>
                              <w:lang w:val="en-US"/>
                            </w:rPr>
                            <w:t>Part A1</w:t>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t>AR5</w:t>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C660FB">
                            <w:rPr>
                              <w:rStyle w:val="PageNumber"/>
                              <w:noProof/>
                              <w:lang w:val="fr-CH"/>
                            </w:rPr>
                            <w:t>23</w:t>
                          </w:r>
                          <w:r>
                            <w:rPr>
                              <w:rStyle w:val="PageNumber"/>
                            </w:rPr>
                            <w:fldChar w:fldCharType="end"/>
                          </w:r>
                        </w:p>
                      </w:tc>
                    </w:tr>
                    <w:tr w:rsidR="00EF3CF1">
                      <w:trPr>
                        <w:cantSplit/>
                        <w:trHeight w:hRule="exact" w:val="1605"/>
                        <w:jc w:val="right"/>
                      </w:trPr>
                      <w:tc>
                        <w:tcPr>
                          <w:tcW w:w="255" w:type="dxa"/>
                          <w:textDirection w:val="tbRl"/>
                        </w:tcPr>
                        <w:p w:rsidR="00EF3CF1" w:rsidRDefault="00EF3CF1">
                          <w:pPr>
                            <w:pStyle w:val="HeaderRegProc"/>
                            <w:spacing w:before="0"/>
                            <w:ind w:left="0"/>
                            <w:rPr>
                              <w:lang w:val="fr-CH"/>
                            </w:rPr>
                          </w:pPr>
                          <w:r>
                            <w:rPr>
                              <w:lang w:val="fr-CH"/>
                            </w:rPr>
                            <w:t>rev.-</w:t>
                          </w:r>
                        </w:p>
                      </w:tc>
                    </w:tr>
                  </w:tbl>
                  <w:p w:rsidR="00EF3CF1" w:rsidRDefault="00EF3CF1" w:rsidP="00C14FE8">
                    <w:pPr>
                      <w:rPr>
                        <w:lang w:val="fr-CH"/>
                      </w:rPr>
                    </w:pPr>
                  </w:p>
                </w:txbxContent>
              </v:textbox>
              <w10:wrap anchorx="page" anchory="page"/>
            </v:shape>
          </w:pict>
        </mc:Fallback>
      </mc:AlternateContent>
    </w:r>
    <w:r>
      <w:rPr>
        <w:noProof/>
        <w:sz w:val="20"/>
        <w:lang w:val="en-US" w:eastAsia="zh-CN"/>
      </w:rPr>
      <mc:AlternateContent>
        <mc:Choice Requires="wps">
          <w:drawing>
            <wp:anchor distT="0" distB="0" distL="114300" distR="114300" simplePos="0" relativeHeight="251657216" behindDoc="0" locked="0" layoutInCell="1" allowOverlap="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EF3CF1" w:rsidRDefault="00EF3CF1">
                          <w:pPr>
                            <w:pStyle w:val="listitem"/>
                            <w:keepLines w:val="0"/>
                            <w:rPr>
                              <w:sz w:val="16"/>
                            </w:rPr>
                          </w:pPr>
                        </w:p>
                        <w:p w:rsidR="00EF3CF1" w:rsidRDefault="00EF3CF1">
                          <w:pPr>
                            <w:pStyle w:val="listitem"/>
                            <w:keepLines w:val="0"/>
                            <w:spacing w:before="190"/>
                            <w:rPr>
                              <w:sz w:val="16"/>
                            </w:rPr>
                          </w:pPr>
                        </w:p>
                        <w:p w:rsidR="00EF3CF1" w:rsidRDefault="00EF3CF1">
                          <w:pPr>
                            <w:pStyle w:val="listitem"/>
                            <w:keepLines w:val="0"/>
                            <w:spacing w:before="190"/>
                            <w:rPr>
                              <w:sz w:val="16"/>
                            </w:rPr>
                          </w:pPr>
                        </w:p>
                        <w:p w:rsidR="00EF3CF1" w:rsidRDefault="00EF3CF1">
                          <w:pPr>
                            <w:pStyle w:val="listitem"/>
                            <w:keepLines w:val="0"/>
                            <w:spacing w:before="190"/>
                            <w:rPr>
                              <w:sz w:val="16"/>
                            </w:rPr>
                          </w:pPr>
                        </w:p>
                        <w:p w:rsidR="00EF3CF1" w:rsidRDefault="00EF3CF1">
                          <w:pPr>
                            <w:pStyle w:val="listitem"/>
                            <w:keepLines w:val="0"/>
                            <w:spacing w:before="190"/>
                            <w:rPr>
                              <w:sz w:val="16"/>
                            </w:rPr>
                          </w:pPr>
                        </w:p>
                        <w:p w:rsidR="00EF3CF1" w:rsidRDefault="00EF3CF1">
                          <w:pPr>
                            <w:pStyle w:val="listitem"/>
                            <w:keepLines w:val="0"/>
                            <w:rPr>
                              <w:sz w:val="16"/>
                            </w:rPr>
                          </w:pPr>
                        </w:p>
                        <w:p w:rsidR="00EF3CF1" w:rsidRDefault="00EF3CF1">
                          <w:pPr>
                            <w:pStyle w:val="listitem"/>
                            <w:keepLines w:val="0"/>
                            <w:spacing w:before="20"/>
                            <w:rPr>
                              <w:sz w:val="16"/>
                            </w:rPr>
                          </w:pPr>
                        </w:p>
                        <w:p w:rsidR="00EF3CF1" w:rsidRDefault="00EF3CF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left:0;text-align:left;margin-left:712.65pt;margin-top:67.7pt;width:36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" stroked="f" strokecolor="red">
              <v:textbox inset="0,0,0,0">
                <w:txbxContent>
                  <w:p w:rsidR="00EF3CF1" w:rsidRDefault="00EF3CF1">
                    <w:pPr>
                      <w:pStyle w:val="listitem"/>
                      <w:keepLines w:val="0"/>
                      <w:rPr>
                        <w:sz w:val="16"/>
                      </w:rPr>
                    </w:pPr>
                  </w:p>
                  <w:p w:rsidR="00EF3CF1" w:rsidRDefault="00EF3CF1">
                    <w:pPr>
                      <w:pStyle w:val="listitem"/>
                      <w:keepLines w:val="0"/>
                      <w:spacing w:before="190"/>
                      <w:rPr>
                        <w:sz w:val="16"/>
                      </w:rPr>
                    </w:pPr>
                  </w:p>
                  <w:p w:rsidR="00EF3CF1" w:rsidRDefault="00EF3CF1">
                    <w:pPr>
                      <w:pStyle w:val="listitem"/>
                      <w:keepLines w:val="0"/>
                      <w:spacing w:before="190"/>
                      <w:rPr>
                        <w:sz w:val="16"/>
                      </w:rPr>
                    </w:pPr>
                  </w:p>
                  <w:p w:rsidR="00EF3CF1" w:rsidRDefault="00EF3CF1">
                    <w:pPr>
                      <w:pStyle w:val="listitem"/>
                      <w:keepLines w:val="0"/>
                      <w:spacing w:before="190"/>
                      <w:rPr>
                        <w:sz w:val="16"/>
                      </w:rPr>
                    </w:pPr>
                  </w:p>
                  <w:p w:rsidR="00EF3CF1" w:rsidRDefault="00EF3CF1">
                    <w:pPr>
                      <w:pStyle w:val="listitem"/>
                      <w:keepLines w:val="0"/>
                      <w:spacing w:before="190"/>
                      <w:rPr>
                        <w:sz w:val="16"/>
                      </w:rPr>
                    </w:pPr>
                  </w:p>
                  <w:p w:rsidR="00EF3CF1" w:rsidRDefault="00EF3CF1">
                    <w:pPr>
                      <w:pStyle w:val="listitem"/>
                      <w:keepLines w:val="0"/>
                      <w:rPr>
                        <w:sz w:val="16"/>
                      </w:rPr>
                    </w:pPr>
                  </w:p>
                  <w:p w:rsidR="00EF3CF1" w:rsidRDefault="00EF3CF1">
                    <w:pPr>
                      <w:pStyle w:val="listitem"/>
                      <w:keepLines w:val="0"/>
                      <w:spacing w:before="20"/>
                      <w:rPr>
                        <w:sz w:val="16"/>
                      </w:rPr>
                    </w:pPr>
                  </w:p>
                  <w:p w:rsidR="00EF3CF1" w:rsidRDefault="00EF3CF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lang w:val="en-US"/>
            </w:rPr>
          </w:pPr>
          <w:r>
            <w:fldChar w:fldCharType="begin"/>
          </w:r>
          <w:r>
            <w:instrText xml:space="preserve"> DOCPROPERTY "Header" \* MERGEFORMAT </w:instrText>
          </w:r>
          <w:r>
            <w:fldChar w:fldCharType="separate"/>
          </w:r>
          <w:r w:rsidRPr="003E0C43">
            <w:rPr>
              <w:lang w:val="en-US"/>
            </w:rPr>
            <w:t>AR</w:t>
          </w:r>
          <w:r>
            <w:rPr>
              <w:lang w:val="en-US"/>
            </w:rPr>
            <w:fldChar w:fldCharType="end"/>
          </w:r>
          <w:r w:rsidR="00EF3CF1">
            <w:fldChar w:fldCharType="begin"/>
          </w:r>
          <w:r w:rsidR="00EF3CF1">
            <w:rPr>
              <w:lang w:val="en-US"/>
            </w:rPr>
            <w:instrText>styleref href2</w:instrText>
          </w:r>
          <w:r w:rsidR="00EF3CF1">
            <w:fldChar w:fldCharType="separate"/>
          </w:r>
          <w:r>
            <w:rPr>
              <w:noProof/>
            </w:rPr>
            <w:t>5</w:t>
          </w:r>
          <w:r w:rsidR="00EF3CF1">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lang w:val="fr-CH"/>
            </w:rPr>
          </w:pPr>
          <w:r>
            <w:rPr>
              <w:lang w:val="fr-CH"/>
            </w:rPr>
            <w:t>rev.</w:t>
          </w:r>
          <w:r w:rsidR="003E0C43">
            <w:fldChar w:fldCharType="begin"/>
          </w:r>
          <w:r w:rsidR="003E0C43">
            <w:instrText xml:space="preserve"> DOCPROPERTY "Header10" \* MERGEFORMAT </w:instrText>
          </w:r>
          <w:r w:rsidR="003E0C43">
            <w:fldChar w:fldCharType="separate"/>
          </w:r>
          <w:r w:rsidR="003E0C43" w:rsidRPr="003E0C43">
            <w:rPr>
              <w:lang w:val="fr-CH"/>
            </w:rPr>
            <w:t>-</w:t>
          </w:r>
          <w:r w:rsidR="003E0C43">
            <w:rPr>
              <w:lang w:val="fr-CH"/>
            </w:rPr>
            <w:fldChar w:fldCharType="end"/>
          </w:r>
        </w:p>
      </w:tc>
    </w:tr>
  </w:tbl>
  <w:p w:rsidR="00EF3CF1" w:rsidRDefault="00EF3CF1">
    <w:pPr>
      <w:rPr>
        <w:lang w:val="fr-CH"/>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555FE3">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555FE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555FE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55FE3">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55FE3">
          <w:pPr>
            <w:pStyle w:val="HeaderRegProc"/>
            <w:rPr>
              <w:color w:val="000000"/>
              <w:lang w:val="fr-CH"/>
            </w:rPr>
          </w:pPr>
          <w:r>
            <w:rPr>
              <w:color w:val="000000"/>
              <w:lang w:val="fr-CH"/>
            </w:rPr>
            <w:t>rev.</w:t>
          </w:r>
          <w:r>
            <w:rPr>
              <w:color w:val="000000"/>
            </w:rPr>
            <w:t>-</w:t>
          </w:r>
        </w:p>
      </w:tc>
    </w:tr>
  </w:tbl>
  <w:p w:rsidR="00EF3CF1" w:rsidRDefault="00EF3CF1" w:rsidP="00C14FE8">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CF1" w:rsidRDefault="00EF3CF1"/>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3CF1" w:rsidRDefault="00EF3CF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B83E5F">
          <w:pPr>
            <w:pStyle w:val="HeaderRegProc"/>
            <w:rPr>
              <w:color w:val="000000"/>
              <w:lang w:val="fr-CH"/>
            </w:rPr>
          </w:pPr>
          <w:r>
            <w:rPr>
              <w:color w:val="000000"/>
              <w:lang w:val="fr-CH"/>
            </w:rPr>
            <w:t xml:space="preserve">rev. </w:t>
          </w:r>
          <w:r>
            <w:rPr>
              <w:color w:val="000000"/>
            </w:rPr>
            <w:t>5</w:t>
          </w:r>
        </w:p>
      </w:tc>
    </w:tr>
  </w:tbl>
  <w:p w:rsidR="00EF3CF1" w:rsidRDefault="00EF3CF1">
    <w:pPr>
      <w:pStyle w:val="Header"/>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7F5A1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3E0C4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7F5A11">
          <w:pPr>
            <w:pStyle w:val="HeaderRegProc"/>
            <w:rPr>
              <w:color w:val="000000"/>
              <w:lang w:val="fr-CH"/>
            </w:rPr>
          </w:pPr>
          <w:r>
            <w:rPr>
              <w:color w:val="000000"/>
              <w:lang w:val="fr-CH"/>
            </w:rPr>
            <w:t>rev.</w:t>
          </w:r>
          <w:r>
            <w:rPr>
              <w:color w:val="000000"/>
            </w:rPr>
            <w:t>-</w:t>
          </w:r>
        </w:p>
      </w:tc>
    </w:tr>
  </w:tbl>
  <w:p w:rsidR="00EF3CF1" w:rsidRPr="00BA2AB6" w:rsidRDefault="00EF3CF1" w:rsidP="00BA2AB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Default="00EF3CF1">
    <w:pPr>
      <w:pStyle w:val="Header"/>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rsidTr="00BA2AB6">
      <w:trPr>
        <w:cantSplit/>
      </w:trPr>
      <w:tc>
        <w:tcPr>
          <w:tcW w:w="1701" w:type="dxa"/>
          <w:tcBorders>
            <w:top w:val="single" w:sz="6" w:space="0" w:color="auto"/>
            <w:left w:val="single" w:sz="6" w:space="0" w:color="auto"/>
            <w:bottom w:val="single" w:sz="6" w:space="0" w:color="auto"/>
            <w:right w:val="single" w:sz="6" w:space="0" w:color="auto"/>
          </w:tcBorders>
        </w:tcPr>
        <w:p w:rsidR="00EF3CF1" w:rsidRDefault="00EF3CF1"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675DFA">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4C3E81">
          <w:pPr>
            <w:pStyle w:val="HeaderRegProc"/>
            <w:rPr>
              <w:color w:val="000000"/>
              <w:lang w:val="fr-CH"/>
            </w:rPr>
          </w:pPr>
          <w:r>
            <w:rPr>
              <w:color w:val="000000"/>
              <w:lang w:val="fr-CH"/>
            </w:rPr>
            <w:t>rev.</w:t>
          </w:r>
          <w:r>
            <w:rPr>
              <w:color w:val="000000"/>
            </w:rPr>
            <w:t>-</w:t>
          </w:r>
        </w:p>
      </w:tc>
    </w:tr>
  </w:tbl>
  <w:p w:rsidR="00EF3CF1" w:rsidRPr="00BA2AB6" w:rsidRDefault="00EF3CF1" w:rsidP="00BA2AB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3CF1">
      <w:trPr>
        <w:cantSplit/>
        <w:jc w:val="right"/>
      </w:trPr>
      <w:tc>
        <w:tcPr>
          <w:tcW w:w="1701" w:type="dxa"/>
          <w:tcBorders>
            <w:top w:val="single" w:sz="6" w:space="0" w:color="auto"/>
            <w:left w:val="single" w:sz="6" w:space="0" w:color="auto"/>
            <w:bottom w:val="single" w:sz="6" w:space="0" w:color="auto"/>
            <w:right w:val="single" w:sz="6" w:space="0" w:color="auto"/>
          </w:tcBorders>
        </w:tcPr>
        <w:p w:rsidR="00EF3CF1" w:rsidRDefault="00EF3CF1">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EF3CF1" w:rsidRDefault="003E0C43">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EF3CF1">
            <w:rPr>
              <w:color w:val="000000"/>
            </w:rPr>
            <w:fldChar w:fldCharType="begin"/>
          </w:r>
          <w:r w:rsidR="00EF3CF1">
            <w:rPr>
              <w:color w:val="000000"/>
              <w:lang w:val="en-US"/>
            </w:rPr>
            <w:instrText>styleref href2</w:instrText>
          </w:r>
          <w:r w:rsidR="00EF3CF1">
            <w:rPr>
              <w:color w:val="000000"/>
            </w:rPr>
            <w:fldChar w:fldCharType="separate"/>
          </w:r>
          <w:r>
            <w:rPr>
              <w:noProof/>
              <w:color w:val="000000"/>
            </w:rPr>
            <w:t>5</w:t>
          </w:r>
          <w:r w:rsidR="00EF3CF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675DFA">
          <w:pPr>
            <w:pStyle w:val="HeaderRegProc"/>
            <w:rPr>
              <w:color w:val="000000"/>
              <w:lang w:val="fr-CH"/>
            </w:rPr>
          </w:pPr>
          <w:r>
            <w:rPr>
              <w:color w:val="000000"/>
              <w:lang w:val="fr-FR"/>
            </w:rPr>
            <w:t xml:space="preserve">page </w:t>
          </w:r>
          <w:r w:rsidR="00675DFA">
            <w:rPr>
              <w:rStyle w:val="PageNumber"/>
            </w:rPr>
            <w:t>4</w:t>
          </w:r>
          <w:r w:rsidR="00675DFA" w:rsidRPr="00675DFA">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EF3CF1" w:rsidRDefault="00EF3CF1" w:rsidP="00675DFA">
          <w:pPr>
            <w:pStyle w:val="HeaderRegProc"/>
            <w:rPr>
              <w:color w:val="000000"/>
              <w:lang w:val="fr-CH"/>
            </w:rPr>
          </w:pPr>
          <w:r>
            <w:rPr>
              <w:color w:val="000000"/>
              <w:lang w:val="fr-CH"/>
            </w:rPr>
            <w:t>rev.</w:t>
          </w:r>
          <w:r>
            <w:rPr>
              <w:color w:val="000000"/>
            </w:rPr>
            <w:t xml:space="preserve"> 1</w:t>
          </w:r>
          <w:r w:rsidR="00675DFA">
            <w:rPr>
              <w:color w:val="000000"/>
            </w:rPr>
            <w:t>1</w:t>
          </w:r>
        </w:p>
      </w:tc>
    </w:tr>
  </w:tbl>
  <w:p w:rsidR="00EF3CF1" w:rsidRDefault="00EF3CF1">
    <w:pPr>
      <w:pStyle w:val="Header"/>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75DFA" w:rsidTr="00BA2AB6">
      <w:trPr>
        <w:cantSplit/>
      </w:trPr>
      <w:tc>
        <w:tcPr>
          <w:tcW w:w="1701" w:type="dxa"/>
          <w:tcBorders>
            <w:top w:val="single" w:sz="6" w:space="0" w:color="auto"/>
            <w:left w:val="single" w:sz="6" w:space="0" w:color="auto"/>
            <w:bottom w:val="single" w:sz="6" w:space="0" w:color="auto"/>
            <w:right w:val="single" w:sz="6" w:space="0" w:color="auto"/>
          </w:tcBorders>
        </w:tcPr>
        <w:p w:rsidR="00675DFA" w:rsidRDefault="00675DFA"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675DFA" w:rsidRDefault="003E0C43" w:rsidP="00D02580">
          <w:pPr>
            <w:pStyle w:val="HeaderRegProc"/>
            <w:rPr>
              <w:color w:val="000000"/>
              <w:lang w:val="en-US"/>
            </w:rPr>
          </w:pPr>
          <w:r>
            <w:fldChar w:fldCharType="begin"/>
          </w:r>
          <w:r>
            <w:instrText xml:space="preserve"> DOCPROPERTY "Header" \* MERGEFORMAT </w:instrText>
          </w:r>
          <w:r>
            <w:fldChar w:fldCharType="separate"/>
          </w:r>
          <w:r w:rsidRPr="003E0C43">
            <w:rPr>
              <w:color w:val="000000"/>
              <w:lang w:val="en-US"/>
            </w:rPr>
            <w:t>AR</w:t>
          </w:r>
          <w:r>
            <w:rPr>
              <w:color w:val="000000"/>
              <w:lang w:val="en-US"/>
            </w:rPr>
            <w:fldChar w:fldCharType="end"/>
          </w:r>
          <w:r w:rsidR="00675DFA">
            <w:rPr>
              <w:color w:val="000000"/>
            </w:rPr>
            <w:fldChar w:fldCharType="begin"/>
          </w:r>
          <w:r w:rsidR="00675DFA">
            <w:rPr>
              <w:color w:val="000000"/>
              <w:lang w:val="en-US"/>
            </w:rPr>
            <w:instrText>styleref href2</w:instrText>
          </w:r>
          <w:r w:rsidR="00675DFA">
            <w:rPr>
              <w:color w:val="000000"/>
            </w:rPr>
            <w:fldChar w:fldCharType="separate"/>
          </w:r>
          <w:r>
            <w:rPr>
              <w:noProof/>
              <w:color w:val="000000"/>
            </w:rPr>
            <w:t>5</w:t>
          </w:r>
          <w:r w:rsidR="00675DF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75DFA" w:rsidRDefault="00675DFA"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75DFA" w:rsidRDefault="00675DFA" w:rsidP="004C3E81">
          <w:pPr>
            <w:pStyle w:val="HeaderRegProc"/>
            <w:rPr>
              <w:color w:val="000000"/>
              <w:lang w:val="fr-CH"/>
            </w:rPr>
          </w:pPr>
          <w:r>
            <w:rPr>
              <w:color w:val="000000"/>
              <w:lang w:val="fr-CH"/>
            </w:rPr>
            <w:t>rev.</w:t>
          </w:r>
          <w:r>
            <w:rPr>
              <w:color w:val="000000"/>
            </w:rPr>
            <w:t>-</w:t>
          </w:r>
        </w:p>
      </w:tc>
    </w:tr>
  </w:tbl>
  <w:p w:rsidR="00675DFA" w:rsidRPr="00BA2AB6" w:rsidRDefault="00675DFA" w:rsidP="00BA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C6"/>
    <w:rsid w:val="0002351C"/>
    <w:rsid w:val="000258DE"/>
    <w:rsid w:val="0003667F"/>
    <w:rsid w:val="00044477"/>
    <w:rsid w:val="00047B75"/>
    <w:rsid w:val="000513A2"/>
    <w:rsid w:val="0005689B"/>
    <w:rsid w:val="0005762E"/>
    <w:rsid w:val="000D172F"/>
    <w:rsid w:val="000D4CFF"/>
    <w:rsid w:val="000F1EF4"/>
    <w:rsid w:val="001106F3"/>
    <w:rsid w:val="0011221B"/>
    <w:rsid w:val="00115597"/>
    <w:rsid w:val="00144D92"/>
    <w:rsid w:val="001969C7"/>
    <w:rsid w:val="001C50C5"/>
    <w:rsid w:val="001C70B8"/>
    <w:rsid w:val="001F1740"/>
    <w:rsid w:val="00200136"/>
    <w:rsid w:val="00206635"/>
    <w:rsid w:val="0025042A"/>
    <w:rsid w:val="00256800"/>
    <w:rsid w:val="002853D9"/>
    <w:rsid w:val="002A0D4F"/>
    <w:rsid w:val="002B1B81"/>
    <w:rsid w:val="002C557F"/>
    <w:rsid w:val="00345017"/>
    <w:rsid w:val="00355605"/>
    <w:rsid w:val="003649C4"/>
    <w:rsid w:val="0039450D"/>
    <w:rsid w:val="003D65EE"/>
    <w:rsid w:val="003E0C43"/>
    <w:rsid w:val="003E4B8B"/>
    <w:rsid w:val="003E6B96"/>
    <w:rsid w:val="003F7A71"/>
    <w:rsid w:val="00400261"/>
    <w:rsid w:val="004060BD"/>
    <w:rsid w:val="00416A2A"/>
    <w:rsid w:val="00422C27"/>
    <w:rsid w:val="00435C04"/>
    <w:rsid w:val="00476B4C"/>
    <w:rsid w:val="00496DC6"/>
    <w:rsid w:val="0049768F"/>
    <w:rsid w:val="004B0704"/>
    <w:rsid w:val="004B79FB"/>
    <w:rsid w:val="004C3E81"/>
    <w:rsid w:val="004C55DF"/>
    <w:rsid w:val="00503F01"/>
    <w:rsid w:val="00517396"/>
    <w:rsid w:val="0052183F"/>
    <w:rsid w:val="0054520D"/>
    <w:rsid w:val="00555FE3"/>
    <w:rsid w:val="0059499E"/>
    <w:rsid w:val="005A6C8C"/>
    <w:rsid w:val="005B6EC7"/>
    <w:rsid w:val="005D07DC"/>
    <w:rsid w:val="005D0D07"/>
    <w:rsid w:val="006578FD"/>
    <w:rsid w:val="006718B9"/>
    <w:rsid w:val="00672F30"/>
    <w:rsid w:val="00675DFA"/>
    <w:rsid w:val="006823F3"/>
    <w:rsid w:val="006A4865"/>
    <w:rsid w:val="006B39E7"/>
    <w:rsid w:val="006B4D05"/>
    <w:rsid w:val="006D7A22"/>
    <w:rsid w:val="006F3B20"/>
    <w:rsid w:val="00704EC7"/>
    <w:rsid w:val="007274A2"/>
    <w:rsid w:val="00736B1D"/>
    <w:rsid w:val="00741856"/>
    <w:rsid w:val="007D052A"/>
    <w:rsid w:val="007D10B1"/>
    <w:rsid w:val="007D2C0A"/>
    <w:rsid w:val="007D497A"/>
    <w:rsid w:val="007F5A11"/>
    <w:rsid w:val="008049C8"/>
    <w:rsid w:val="00806C19"/>
    <w:rsid w:val="00815FAC"/>
    <w:rsid w:val="008556F6"/>
    <w:rsid w:val="00856632"/>
    <w:rsid w:val="00871D8B"/>
    <w:rsid w:val="0087510C"/>
    <w:rsid w:val="008C61CD"/>
    <w:rsid w:val="008C6B08"/>
    <w:rsid w:val="008E5494"/>
    <w:rsid w:val="009005C3"/>
    <w:rsid w:val="009015C1"/>
    <w:rsid w:val="009042FB"/>
    <w:rsid w:val="00905A68"/>
    <w:rsid w:val="009456F9"/>
    <w:rsid w:val="009A31AA"/>
    <w:rsid w:val="009B64EB"/>
    <w:rsid w:val="009C68C0"/>
    <w:rsid w:val="009D565B"/>
    <w:rsid w:val="009E1A26"/>
    <w:rsid w:val="009F2CE1"/>
    <w:rsid w:val="00A14EF7"/>
    <w:rsid w:val="00A46DA2"/>
    <w:rsid w:val="00A60ECE"/>
    <w:rsid w:val="00A70704"/>
    <w:rsid w:val="00A87925"/>
    <w:rsid w:val="00A9305A"/>
    <w:rsid w:val="00A9681D"/>
    <w:rsid w:val="00A96D46"/>
    <w:rsid w:val="00AB39EF"/>
    <w:rsid w:val="00AC64D2"/>
    <w:rsid w:val="00AD2E3F"/>
    <w:rsid w:val="00AF2E51"/>
    <w:rsid w:val="00B22EAF"/>
    <w:rsid w:val="00B30DD2"/>
    <w:rsid w:val="00B56FCD"/>
    <w:rsid w:val="00B646B2"/>
    <w:rsid w:val="00B83E5F"/>
    <w:rsid w:val="00B90C3F"/>
    <w:rsid w:val="00B93892"/>
    <w:rsid w:val="00BA14CD"/>
    <w:rsid w:val="00BA2AB6"/>
    <w:rsid w:val="00BB7A92"/>
    <w:rsid w:val="00BC1EDD"/>
    <w:rsid w:val="00BD2C25"/>
    <w:rsid w:val="00BE7A2C"/>
    <w:rsid w:val="00BF1FA3"/>
    <w:rsid w:val="00C14FE8"/>
    <w:rsid w:val="00C167E1"/>
    <w:rsid w:val="00C22927"/>
    <w:rsid w:val="00C371A2"/>
    <w:rsid w:val="00C438BF"/>
    <w:rsid w:val="00C44E41"/>
    <w:rsid w:val="00C660FB"/>
    <w:rsid w:val="00C6682E"/>
    <w:rsid w:val="00C81556"/>
    <w:rsid w:val="00CB5821"/>
    <w:rsid w:val="00CC60C8"/>
    <w:rsid w:val="00CF1F06"/>
    <w:rsid w:val="00CF2896"/>
    <w:rsid w:val="00D02580"/>
    <w:rsid w:val="00D04F22"/>
    <w:rsid w:val="00D27CAE"/>
    <w:rsid w:val="00D33D89"/>
    <w:rsid w:val="00D61793"/>
    <w:rsid w:val="00D62179"/>
    <w:rsid w:val="00D72C05"/>
    <w:rsid w:val="00DF54E0"/>
    <w:rsid w:val="00E155A9"/>
    <w:rsid w:val="00E43972"/>
    <w:rsid w:val="00E44507"/>
    <w:rsid w:val="00E63370"/>
    <w:rsid w:val="00EA7516"/>
    <w:rsid w:val="00EA7838"/>
    <w:rsid w:val="00EB1195"/>
    <w:rsid w:val="00EC545A"/>
    <w:rsid w:val="00EF3CF1"/>
    <w:rsid w:val="00EF7E61"/>
    <w:rsid w:val="00F11361"/>
    <w:rsid w:val="00F34531"/>
    <w:rsid w:val="00F53F17"/>
    <w:rsid w:val="00F54AAB"/>
    <w:rsid w:val="00F614F2"/>
    <w:rsid w:val="00F67F47"/>
    <w:rsid w:val="00F81875"/>
    <w:rsid w:val="00F96EDD"/>
    <w:rsid w:val="00FB3FD9"/>
    <w:rsid w:val="00FD108E"/>
    <w:rsid w:val="00FE282F"/>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9" Type="http://schemas.openxmlformats.org/officeDocument/2006/relationships/header" Target="header30.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41"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eader" Target="header22.xml"/><Relationship Id="rId44"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9818E-C696-4968-874B-A1DDEDA2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210</TotalTime>
  <Pages>30</Pages>
  <Words>9302</Words>
  <Characters>53022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09.02.2009/SdN_x000d_
Corr.:  23.02.2009/DD (dict. ok)_x000d_
Corr. ULT:   27.02.2009/DD</dc:description>
  <cp:lastModifiedBy>Al-Yammouni, Hala</cp:lastModifiedBy>
  <cp:revision>46</cp:revision>
  <cp:lastPrinted>2017-03-06T16:08:00Z</cp:lastPrinted>
  <dcterms:created xsi:type="dcterms:W3CDTF">2012-10-02T09:38:00Z</dcterms:created>
  <dcterms:modified xsi:type="dcterms:W3CDTF">2017-03-06T16:09:00Z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