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26D1" w:rsidRPr="00C40FB8" w:rsidRDefault="00C026D1">
      <w:pPr>
        <w:pStyle w:val="Heading1"/>
        <w:spacing w:before="300"/>
        <w:jc w:val="center"/>
      </w:pPr>
      <w:r w:rsidRPr="00C40FB8">
        <w:t>Rules concerning</w:t>
      </w:r>
    </w:p>
    <w:p w:rsidR="00C026D1" w:rsidRPr="00C40FB8" w:rsidRDefault="00C026D1">
      <w:pPr>
        <w:pStyle w:val="Heading2"/>
        <w:jc w:val="center"/>
      </w:pPr>
      <w:r w:rsidRPr="00C40FB8">
        <w:t xml:space="preserve">ARTICLE </w:t>
      </w:r>
      <w:r w:rsidR="00C40FB8" w:rsidRPr="00C40FB8">
        <w:t xml:space="preserve"> </w:t>
      </w:r>
      <w:r w:rsidRPr="00C40FB8">
        <w:rPr>
          <w:rStyle w:val="href"/>
        </w:rPr>
        <w:t>1</w:t>
      </w:r>
      <w:r w:rsidRPr="00C40FB8">
        <w:t xml:space="preserve"> of the RR</w:t>
      </w:r>
    </w:p>
    <w:p w:rsidR="00C026D1" w:rsidRPr="00C40FB8" w:rsidRDefault="00C026D1">
      <w:pPr>
        <w:pStyle w:val="Heading8"/>
      </w:pPr>
      <w:r w:rsidRPr="00C40FB8">
        <w:rPr>
          <w:rStyle w:val="href2"/>
        </w:rPr>
        <w:t>1</w:t>
      </w:r>
      <w:r w:rsidRPr="00C40FB8">
        <w:t>.23</w:t>
      </w:r>
    </w:p>
    <w:p w:rsidR="00C026D1" w:rsidRPr="00C40FB8" w:rsidRDefault="00C026D1">
      <w:r w:rsidRPr="00C40FB8">
        <w:t>1</w:t>
      </w:r>
      <w:r w:rsidRPr="00C40FB8">
        <w:tab/>
        <w:t xml:space="preserve">Number </w:t>
      </w:r>
      <w:r w:rsidRPr="00C40FB8">
        <w:rPr>
          <w:rStyle w:val="Artref"/>
          <w:b/>
          <w:bCs/>
          <w:color w:val="000000"/>
        </w:rPr>
        <w:t>1.23</w:t>
      </w:r>
      <w:r w:rsidRPr="00C40FB8">
        <w:t xml:space="preserve"> states that the functions of the space operation service (space tracking, space telemetry, space </w:t>
      </w:r>
      <w:proofErr w:type="spellStart"/>
      <w:r w:rsidRPr="00C40FB8">
        <w:t>telecommand</w:t>
      </w:r>
      <w:proofErr w:type="spellEnd"/>
      <w:r w:rsidRPr="00C40FB8">
        <w:t>) will normally be provided within the service in which the space station is operating. The question thus arises as to the appropriateness of considering frequency assignment notices with classes of stations performing these functions, to be in conformity with the Table of Frequency Allocations when the Table does not contain an allocation to the space operation service.</w:t>
      </w:r>
    </w:p>
    <w:p w:rsidR="00C026D1" w:rsidRPr="00C40FB8" w:rsidRDefault="00C026D1">
      <w:r w:rsidRPr="00C40FB8">
        <w:t>2</w:t>
      </w:r>
      <w:r w:rsidRPr="00C40FB8">
        <w:tab/>
        <w:t>In the No. </w:t>
      </w:r>
      <w:r w:rsidRPr="00C40FB8">
        <w:rPr>
          <w:rStyle w:val="Artref"/>
          <w:b/>
          <w:bCs/>
          <w:color w:val="000000"/>
        </w:rPr>
        <w:t>11.31</w:t>
      </w:r>
      <w:r w:rsidRPr="00C40FB8">
        <w:rPr>
          <w:b/>
        </w:rPr>
        <w:t xml:space="preserve"> </w:t>
      </w:r>
      <w:r w:rsidRPr="00C40FB8">
        <w:t>examinations, notices concerned with space operation functions will be considered in conformity with the Table of Frequency Allocations (favourable Finding) in the case where the assigned frequency (and the assigned frequency band) lies in a frequency band allocated to the:</w:t>
      </w:r>
    </w:p>
    <w:p w:rsidR="00C026D1" w:rsidRPr="00C40FB8" w:rsidRDefault="00C026D1">
      <w:pPr>
        <w:pStyle w:val="enumlev1"/>
      </w:pPr>
      <w:r w:rsidRPr="00C40FB8">
        <w:t>–</w:t>
      </w:r>
      <w:r w:rsidRPr="00C40FB8">
        <w:tab/>
        <w:t>space operation service, or</w:t>
      </w:r>
    </w:p>
    <w:p w:rsidR="00C026D1" w:rsidRPr="00C40FB8" w:rsidRDefault="00C026D1">
      <w:pPr>
        <w:pStyle w:val="enumlev1"/>
      </w:pPr>
      <w:r w:rsidRPr="00C40FB8">
        <w:t>–</w:t>
      </w:r>
      <w:r w:rsidRPr="00C40FB8">
        <w:tab/>
        <w:t>the main service in which the space station is operating (e.g. fixed-satellite service (FSS), broadcasting-satellite service (BSS), mobile-satellite service (MSS)).</w:t>
      </w:r>
    </w:p>
    <w:p w:rsidR="00C026D1" w:rsidRPr="00C40FB8" w:rsidRDefault="00C026D1">
      <w:r w:rsidRPr="00C40FB8">
        <w:t>3</w:t>
      </w:r>
      <w:r w:rsidRPr="00C40FB8">
        <w:tab/>
        <w:t xml:space="preserve">In the case where the assigned frequency concerning space operation functions lies in a frequency band allocated to a service in which the space station has no operating function the No. </w:t>
      </w:r>
      <w:r w:rsidRPr="00C40FB8">
        <w:rPr>
          <w:rStyle w:val="Artref"/>
          <w:b/>
          <w:bCs/>
          <w:color w:val="000000"/>
        </w:rPr>
        <w:t>11.31</w:t>
      </w:r>
      <w:r w:rsidRPr="00C40FB8">
        <w:rPr>
          <w:b/>
        </w:rPr>
        <w:t xml:space="preserve"> </w:t>
      </w:r>
      <w:r w:rsidRPr="00C40FB8">
        <w:t>Finding will be unfavourable.</w:t>
      </w:r>
    </w:p>
    <w:p w:rsidR="00C026D1" w:rsidRPr="00C40FB8" w:rsidRDefault="00C026D1">
      <w:pPr>
        <w:pStyle w:val="Heading8"/>
      </w:pPr>
      <w:r w:rsidRPr="00C40FB8">
        <w:t>1.61</w:t>
      </w:r>
    </w:p>
    <w:p w:rsidR="00C026D1" w:rsidRPr="00C40FB8" w:rsidRDefault="00C026D1">
      <w:r w:rsidRPr="00C40FB8">
        <w:t xml:space="preserve">When, in a given location or aboard a satellite, transmitters or receivers are used for different </w:t>
      </w:r>
      <w:proofErr w:type="spellStart"/>
      <w:r w:rsidRPr="00C40FB8">
        <w:t>radiocommunication</w:t>
      </w:r>
      <w:proofErr w:type="spellEnd"/>
      <w:r w:rsidRPr="00C40FB8">
        <w:t xml:space="preserve"> services, this constitutes several stations each correspon</w:t>
      </w:r>
      <w:r w:rsidRPr="00C40FB8">
        <w:softHyphen/>
        <w:t xml:space="preserve">ding to a separate </w:t>
      </w:r>
      <w:proofErr w:type="spellStart"/>
      <w:r w:rsidRPr="00C40FB8">
        <w:t>radiocommunication</w:t>
      </w:r>
      <w:proofErr w:type="spellEnd"/>
      <w:r w:rsidRPr="00C40FB8">
        <w:t xml:space="preserve"> service. This distinction is essential in space </w:t>
      </w:r>
      <w:proofErr w:type="spellStart"/>
      <w:r w:rsidRPr="00C40FB8">
        <w:t>radio</w:t>
      </w:r>
      <w:r w:rsidRPr="00C40FB8">
        <w:softHyphen/>
        <w:t>communications</w:t>
      </w:r>
      <w:proofErr w:type="spellEnd"/>
      <w:r w:rsidRPr="00C40FB8">
        <w:t xml:space="preserve"> when a unique spacecraft is used for several services. (For the symbols of the different classes of station used in the notice forms for the services in which a station is operating, see Table No. 3 of the Preface to the BR IFIC.)</w:t>
      </w:r>
    </w:p>
    <w:p w:rsidR="000E2655" w:rsidRDefault="000E2655" w:rsidP="00C574FF"/>
    <w:p w:rsidR="00C574FF" w:rsidRPr="00C574FF" w:rsidRDefault="00C574FF" w:rsidP="00C574FF">
      <w:pPr>
        <w:sectPr w:rsidR="00C574FF" w:rsidRPr="00C574FF">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rsidR="00C026D1" w:rsidRPr="00C40FB8" w:rsidRDefault="00C026D1">
      <w:pPr>
        <w:pStyle w:val="Heading8"/>
      </w:pPr>
      <w:r w:rsidRPr="00C40FB8">
        <w:lastRenderedPageBreak/>
        <w:t>1.63</w:t>
      </w:r>
    </w:p>
    <w:p w:rsidR="00C026D1" w:rsidRPr="00C40FB8" w:rsidRDefault="00C026D1">
      <w:r w:rsidRPr="00C40FB8">
        <w:rPr>
          <w:i/>
          <w:iCs/>
        </w:rPr>
        <w:t>Transportable earth station:</w:t>
      </w:r>
      <w:r w:rsidRPr="00C40FB8">
        <w:t xml:space="preserve"> The Board considers a transportable earth station in the fixed-satellite service (see No. </w:t>
      </w:r>
      <w:r w:rsidRPr="00C40FB8">
        <w:rPr>
          <w:rStyle w:val="Artref"/>
          <w:b/>
          <w:bCs/>
          <w:color w:val="000000"/>
        </w:rPr>
        <w:t>1.21</w:t>
      </w:r>
      <w:r w:rsidRPr="00C40FB8">
        <w:t>) (or i</w:t>
      </w:r>
      <w:bookmarkStart w:id="0" w:name="_GoBack"/>
      <w:bookmarkEnd w:id="0"/>
      <w:r w:rsidRPr="00C40FB8">
        <w:t>n any other space service) to be an earth station to be used only at fixed points. Consequently, its notice form is considered incomplete when it does not contain the geographical coordinates.</w:t>
      </w:r>
    </w:p>
    <w:p w:rsidR="00C026D1" w:rsidRPr="00C40FB8" w:rsidRDefault="00C026D1" w:rsidP="00EC6010">
      <w:pPr>
        <w:pStyle w:val="Heading8"/>
      </w:pPr>
      <w:r w:rsidRPr="00C40FB8">
        <w:t>1.112</w:t>
      </w:r>
      <w:r w:rsidR="0017327D">
        <w:tab/>
      </w:r>
      <w:r w:rsidR="0017327D">
        <w:tab/>
      </w:r>
      <w:r w:rsidR="0017327D" w:rsidRPr="005431EC">
        <w:rPr>
          <w:b w:val="0"/>
          <w:bCs/>
          <w:sz w:val="16"/>
          <w:szCs w:val="16"/>
        </w:rPr>
        <w:t>(</w:t>
      </w:r>
      <w:r w:rsidR="005431EC" w:rsidRPr="005431EC">
        <w:rPr>
          <w:b w:val="0"/>
          <w:bCs/>
          <w:sz w:val="16"/>
          <w:szCs w:val="16"/>
        </w:rPr>
        <w:t>MOD RRB1</w:t>
      </w:r>
      <w:r w:rsidR="00EC6010">
        <w:rPr>
          <w:b w:val="0"/>
          <w:bCs/>
          <w:sz w:val="16"/>
          <w:szCs w:val="16"/>
        </w:rPr>
        <w:t>7</w:t>
      </w:r>
      <w:r w:rsidR="005431EC" w:rsidRPr="005431EC">
        <w:rPr>
          <w:b w:val="0"/>
          <w:bCs/>
          <w:sz w:val="16"/>
          <w:szCs w:val="16"/>
        </w:rPr>
        <w:t>/</w:t>
      </w:r>
      <w:r w:rsidR="00EC6010">
        <w:rPr>
          <w:b w:val="0"/>
          <w:bCs/>
          <w:sz w:val="16"/>
          <w:szCs w:val="16"/>
        </w:rPr>
        <w:t>74</w:t>
      </w:r>
      <w:r w:rsidR="0017327D" w:rsidRPr="005431EC">
        <w:rPr>
          <w:b w:val="0"/>
          <w:bCs/>
          <w:sz w:val="16"/>
          <w:szCs w:val="16"/>
        </w:rPr>
        <w:t>)</w:t>
      </w:r>
    </w:p>
    <w:p w:rsidR="00EC6010" w:rsidRPr="00EC6010" w:rsidRDefault="00EC6010" w:rsidP="00EC6010">
      <w:r w:rsidRPr="00EC6010">
        <w:t>According to this definition, when a satellite system is composed of only one satellite it is at the same time a satellite network and when it is composed of more than one satellite each of its parts containing one satellite is a satellite network. The title of Annex 2 of Appendix </w:t>
      </w:r>
      <w:r w:rsidRPr="00EC6010">
        <w:rPr>
          <w:b/>
          <w:bCs/>
        </w:rPr>
        <w:t>4</w:t>
      </w:r>
      <w:r w:rsidRPr="00EC6010">
        <w:t xml:space="preserve"> (as well as the sub-titles of § A and A1 of this Annex) indicates that the information contained in that Appendix shall be provided for each satellite network. Consequently the advance publication or coordination procedure, as appropriate, is to be applied for each satellite network. Taking into account Section A.4.b of Appendix </w:t>
      </w:r>
      <w:r w:rsidRPr="00EC6010">
        <w:rPr>
          <w:b/>
          <w:bCs/>
        </w:rPr>
        <w:t>4,</w:t>
      </w:r>
      <w:r w:rsidRPr="00EC6010">
        <w:t xml:space="preserve"> one notice for a non-geostationary satellite network may cover one or more orbital planes and one or more satellites per orbital plane. </w:t>
      </w:r>
    </w:p>
    <w:p w:rsidR="000E2655" w:rsidRPr="000E2655" w:rsidRDefault="00EC6010" w:rsidP="00EC6010">
      <w:r w:rsidRPr="00EC6010">
        <w:t>On the basis of the above:</w:t>
      </w:r>
    </w:p>
    <w:p w:rsidR="000E2655" w:rsidRPr="000E2655" w:rsidRDefault="000E2655" w:rsidP="00EC6010">
      <w:r w:rsidRPr="009B4F27">
        <w:rPr>
          <w:i/>
          <w:iCs/>
        </w:rPr>
        <w:t>a)</w:t>
      </w:r>
      <w:r w:rsidRPr="000E2655">
        <w:tab/>
      </w:r>
      <w:r w:rsidR="00EC6010" w:rsidRPr="00EC6010">
        <w:t>a geostationary-satellite system using one satellite and two or more earth stations</w:t>
      </w:r>
      <w:r w:rsidR="00EC6010" w:rsidRPr="00EC6010">
        <w:t xml:space="preserve"> is a satellite network</w:t>
      </w:r>
      <w:r w:rsidRPr="000E2655">
        <w:t>;</w:t>
      </w:r>
    </w:p>
    <w:p w:rsidR="000E2655" w:rsidRPr="000E2655" w:rsidRDefault="000E2655" w:rsidP="00EC6010">
      <w:r w:rsidRPr="009B4F27">
        <w:rPr>
          <w:i/>
          <w:iCs/>
        </w:rPr>
        <w:t>b)</w:t>
      </w:r>
      <w:r w:rsidRPr="000E2655">
        <w:tab/>
      </w:r>
      <w:r w:rsidR="00EC6010" w:rsidRPr="00EC6010">
        <w:t>in the case of a geostationary-satellite system in which the radio link between two earth stations use</w:t>
      </w:r>
      <w:r w:rsidR="00EC6010" w:rsidRPr="00EC6010">
        <w:t>s</w:t>
      </w:r>
      <w:r w:rsidR="00EC6010" w:rsidRPr="00EC6010">
        <w:t xml:space="preserve"> two or more satellites communicating through </w:t>
      </w:r>
      <w:proofErr w:type="spellStart"/>
      <w:r w:rsidR="00EC6010" w:rsidRPr="00EC6010">
        <w:t>intersatellite</w:t>
      </w:r>
      <w:proofErr w:type="spellEnd"/>
      <w:r w:rsidR="00EC6010" w:rsidRPr="00EC6010">
        <w:t xml:space="preserve">-links, each satellite with its associated earth </w:t>
      </w:r>
      <w:r w:rsidR="00EC6010" w:rsidRPr="00EC6010">
        <w:t xml:space="preserve">and space </w:t>
      </w:r>
      <w:r w:rsidR="00EC6010" w:rsidRPr="00EC6010">
        <w:t>stations</w:t>
      </w:r>
      <w:r w:rsidR="00EC6010" w:rsidRPr="00EC6010">
        <w:t>, as appropriate,</w:t>
      </w:r>
      <w:r w:rsidR="00EC6010" w:rsidRPr="00EC6010">
        <w:t xml:space="preserve"> is considered as a separate </w:t>
      </w:r>
      <w:r w:rsidR="00EC6010" w:rsidRPr="00EC6010">
        <w:t xml:space="preserve">satellite </w:t>
      </w:r>
      <w:r w:rsidR="00EC6010" w:rsidRPr="00EC6010">
        <w:t xml:space="preserve">network. The </w:t>
      </w:r>
      <w:proofErr w:type="spellStart"/>
      <w:r w:rsidR="00EC6010" w:rsidRPr="00EC6010">
        <w:t>intersatellite</w:t>
      </w:r>
      <w:proofErr w:type="spellEnd"/>
      <w:r w:rsidR="00EC6010" w:rsidRPr="00EC6010">
        <w:t xml:space="preserve"> links connecting these satellites are to be notified for each of the satellites of the system;</w:t>
      </w:r>
    </w:p>
    <w:p w:rsidR="000E2655" w:rsidRPr="000E2655" w:rsidRDefault="000E2655" w:rsidP="00EC6010">
      <w:r w:rsidRPr="009B4F27">
        <w:rPr>
          <w:i/>
          <w:iCs/>
        </w:rPr>
        <w:t>c)</w:t>
      </w:r>
      <w:r w:rsidRPr="000E2655">
        <w:tab/>
      </w:r>
      <w:r w:rsidR="00EC6010" w:rsidRPr="00EC6010">
        <w:t xml:space="preserve">a non-geostationary-satellite system composed of </w:t>
      </w:r>
      <w:r w:rsidR="00EC6010" w:rsidRPr="00EC6010">
        <w:t xml:space="preserve">one or </w:t>
      </w:r>
      <w:r w:rsidR="00EC6010" w:rsidRPr="00EC6010">
        <w:t xml:space="preserve">more </w:t>
      </w:r>
      <w:r w:rsidR="00EC6010" w:rsidRPr="00EC6010">
        <w:t xml:space="preserve">orbital planes, each of them with one or more </w:t>
      </w:r>
      <w:r w:rsidR="00EC6010" w:rsidRPr="00EC6010">
        <w:t>satellite</w:t>
      </w:r>
      <w:r w:rsidR="00EC6010" w:rsidRPr="00EC6010">
        <w:t xml:space="preserve">s </w:t>
      </w:r>
      <w:r w:rsidR="00EC6010" w:rsidRPr="00EC6010">
        <w:t>having identical characteristics</w:t>
      </w:r>
      <w:r w:rsidR="00EC6010" w:rsidRPr="00EC6010">
        <w:t xml:space="preserve">, is treated as one satellite network. When these non-geostationary satellites are connected to each other by </w:t>
      </w:r>
      <w:proofErr w:type="spellStart"/>
      <w:r w:rsidR="00EC6010" w:rsidRPr="00EC6010">
        <w:t>intersatellite</w:t>
      </w:r>
      <w:proofErr w:type="spellEnd"/>
      <w:r w:rsidR="00EC6010" w:rsidRPr="00EC6010">
        <w:t xml:space="preserve"> links, these links may be notified as part of this satellite network</w:t>
      </w:r>
      <w:r w:rsidR="00EC6010" w:rsidRPr="00EC6010">
        <w:t>;</w:t>
      </w:r>
    </w:p>
    <w:p w:rsidR="000E2655" w:rsidRPr="000E2655" w:rsidRDefault="000E2655" w:rsidP="00EC6010">
      <w:r w:rsidRPr="009B4F27">
        <w:rPr>
          <w:i/>
          <w:iCs/>
        </w:rPr>
        <w:t>d)</w:t>
      </w:r>
      <w:r w:rsidRPr="000E2655">
        <w:tab/>
      </w:r>
      <w:r w:rsidR="00EC6010" w:rsidRPr="00EC6010">
        <w:t xml:space="preserve">in the case of </w:t>
      </w:r>
      <w:r w:rsidR="00EC6010" w:rsidRPr="00EC6010">
        <w:t xml:space="preserve">a combined </w:t>
      </w:r>
      <w:r w:rsidR="00EC6010" w:rsidRPr="00EC6010">
        <w:t xml:space="preserve">satellite </w:t>
      </w:r>
      <w:r w:rsidR="00EC6010" w:rsidRPr="00EC6010">
        <w:t>system consisting of one geostationary satellite and a number of non-geostationary satellites</w:t>
      </w:r>
      <w:r w:rsidR="00EC6010" w:rsidRPr="00EC6010">
        <w:t xml:space="preserve"> communicating through non-GSO/GSO </w:t>
      </w:r>
      <w:proofErr w:type="spellStart"/>
      <w:r w:rsidR="00EC6010" w:rsidRPr="00EC6010">
        <w:t>intersatellite</w:t>
      </w:r>
      <w:proofErr w:type="spellEnd"/>
      <w:r w:rsidR="00EC6010" w:rsidRPr="00EC6010">
        <w:t>-links, the geostationary satellite and the non-geostationary satellites, each with their respective associated earth and space stations, as appropriate, are considered as separate satellite networks</w:t>
      </w:r>
      <w:r w:rsidR="00EC6010" w:rsidRPr="00EC6010">
        <w:t>.</w:t>
      </w:r>
      <w:r w:rsidR="00EC6010" w:rsidRPr="00EC6010">
        <w:t xml:space="preserve"> The </w:t>
      </w:r>
      <w:proofErr w:type="spellStart"/>
      <w:r w:rsidR="00EC6010" w:rsidRPr="00EC6010">
        <w:t>intersatellite</w:t>
      </w:r>
      <w:proofErr w:type="spellEnd"/>
      <w:r w:rsidR="00EC6010" w:rsidRPr="00EC6010">
        <w:t xml:space="preserve"> links connecting the non-geostationary satellites to the geostationary satellite of the system are to be notified for each of the satellite networks of the system.</w:t>
      </w:r>
    </w:p>
    <w:p w:rsidR="000E2655" w:rsidRPr="000E2655" w:rsidRDefault="000E2655" w:rsidP="009B4F27">
      <w:pPr>
        <w:rPr>
          <w:i/>
        </w:rPr>
      </w:pPr>
      <w:r w:rsidRPr="000E2655">
        <w:rPr>
          <w:i/>
        </w:rPr>
        <w:t xml:space="preserve">(See also comments under </w:t>
      </w:r>
      <w:r w:rsidR="009B4F27">
        <w:rPr>
          <w:i/>
        </w:rPr>
        <w:t>footnote (*)</w:t>
      </w:r>
      <w:r w:rsidRPr="000E2655">
        <w:rPr>
          <w:i/>
        </w:rPr>
        <w:t xml:space="preserve"> and §</w:t>
      </w:r>
      <w:r w:rsidR="009B4F27">
        <w:rPr>
          <w:i/>
        </w:rPr>
        <w:t> </w:t>
      </w:r>
      <w:r w:rsidRPr="000E2655">
        <w:rPr>
          <w:i/>
        </w:rPr>
        <w:t>4.2 of the Rules of Procedure concerning</w:t>
      </w:r>
      <w:r w:rsidRPr="000E2655">
        <w:rPr>
          <w:b/>
          <w:bCs/>
        </w:rPr>
        <w:t xml:space="preserve"> </w:t>
      </w:r>
      <w:r w:rsidRPr="000E2655">
        <w:rPr>
          <w:i/>
        </w:rPr>
        <w:t xml:space="preserve">the </w:t>
      </w:r>
      <w:proofErr w:type="spellStart"/>
      <w:r w:rsidRPr="000E2655">
        <w:rPr>
          <w:i/>
        </w:rPr>
        <w:t>Receivability</w:t>
      </w:r>
      <w:proofErr w:type="spellEnd"/>
      <w:r w:rsidRPr="000E2655">
        <w:rPr>
          <w:i/>
        </w:rPr>
        <w:t xml:space="preserve"> of forms of notice)</w:t>
      </w:r>
    </w:p>
    <w:p w:rsidR="00C026D1" w:rsidRPr="00C40FB8" w:rsidRDefault="00C026D1"/>
    <w:p w:rsidR="00C40FB8" w:rsidRPr="00C40FB8" w:rsidRDefault="00C026D1" w:rsidP="001B451D">
      <w:pPr>
        <w:jc w:val="center"/>
      </w:pPr>
      <w:r w:rsidRPr="00C40FB8">
        <w:t>____________________</w:t>
      </w:r>
    </w:p>
    <w:p w:rsidR="00C026D1" w:rsidRPr="00C40FB8" w:rsidRDefault="00C026D1" w:rsidP="00C40FB8">
      <w:pPr>
        <w:sectPr w:rsidR="00C026D1" w:rsidRPr="00C40FB8">
          <w:headerReference w:type="even" r:id="rId8"/>
          <w:footnotePr>
            <w:pos w:val="beneathText"/>
          </w:footnotePr>
          <w:pgSz w:w="11907" w:h="16840" w:code="9"/>
          <w:pgMar w:top="1701" w:right="851" w:bottom="1134" w:left="1985" w:header="720" w:footer="482" w:gutter="0"/>
          <w:cols w:space="720"/>
          <w:vAlign w:val="both"/>
        </w:sectPr>
      </w:pPr>
    </w:p>
    <w:p w:rsidR="00C026D1" w:rsidRPr="00C40FB8" w:rsidRDefault="00C026D1" w:rsidP="00C40FB8"/>
    <w:sectPr w:rsidR="00C026D1" w:rsidRPr="00C40FB8" w:rsidSect="00883B0C">
      <w:headerReference w:type="even"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4E20" w:rsidRDefault="00624E20">
      <w:r>
        <w:separator/>
      </w:r>
    </w:p>
  </w:endnote>
  <w:endnote w:type="continuationSeparator" w:id="0">
    <w:p w:rsidR="00624E20" w:rsidRDefault="00624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4E20" w:rsidRDefault="00624E20">
      <w:r>
        <w:rPr>
          <w:b/>
        </w:rPr>
        <w:t>_______________</w:t>
      </w:r>
    </w:p>
    <w:p w:rsidR="00624E20" w:rsidRDefault="00624E20"/>
  </w:footnote>
  <w:footnote w:type="continuationSeparator" w:id="0">
    <w:p w:rsidR="00624E20" w:rsidRDefault="00624E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026D1">
      <w:trPr>
        <w:cantSplit/>
      </w:trPr>
      <w:tc>
        <w:tcPr>
          <w:tcW w:w="1701" w:type="dxa"/>
          <w:tcBorders>
            <w:top w:val="single" w:sz="6" w:space="0" w:color="auto"/>
            <w:left w:val="single" w:sz="6" w:space="0" w:color="auto"/>
            <w:bottom w:val="single" w:sz="6" w:space="0" w:color="auto"/>
            <w:right w:val="single" w:sz="6" w:space="0" w:color="auto"/>
          </w:tcBorders>
        </w:tcPr>
        <w:p w:rsidR="00C026D1" w:rsidRDefault="00C026D1">
          <w:pPr>
            <w:pStyle w:val="HeaderRegProc"/>
            <w:rPr>
              <w:lang w:val="en-US"/>
            </w:rPr>
          </w:pPr>
          <w:r>
            <w:rPr>
              <w:lang w:val="en-US"/>
            </w:rPr>
            <w:t>Part A</w:t>
          </w:r>
          <w:r>
            <w:fldChar w:fldCharType="begin"/>
          </w:r>
          <w:r>
            <w:rPr>
              <w:lang w:val="en-US"/>
            </w:rPr>
            <w:instrText>styleref href</w:instrText>
          </w:r>
          <w:r>
            <w:fldChar w:fldCharType="separate"/>
          </w:r>
          <w:r w:rsidR="004D3447">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C026D1" w:rsidRDefault="004D3447">
          <w:pPr>
            <w:pStyle w:val="HeaderRegProc"/>
            <w:rPr>
              <w:lang w:val="en-US"/>
            </w:rPr>
          </w:pPr>
          <w:r>
            <w:fldChar w:fldCharType="begin"/>
          </w:r>
          <w:r>
            <w:instrText xml:space="preserve"> DOCPROPERTY "Header" \* MERGEFORMAT </w:instrText>
          </w:r>
          <w:r>
            <w:fldChar w:fldCharType="separate"/>
          </w:r>
          <w:r w:rsidRPr="004D3447">
            <w:rPr>
              <w:lang w:val="en-US"/>
            </w:rPr>
            <w:t>AR</w:t>
          </w:r>
          <w:r>
            <w:rPr>
              <w:lang w:val="en-US"/>
            </w:rPr>
            <w:fldChar w:fldCharType="end"/>
          </w:r>
          <w:r w:rsidR="00C026D1">
            <w:fldChar w:fldCharType="begin"/>
          </w:r>
          <w:r w:rsidR="00C026D1">
            <w:rPr>
              <w:lang w:val="en-US"/>
            </w:rPr>
            <w:instrText>styleref href2</w:instrText>
          </w:r>
          <w:r w:rsidR="00C026D1">
            <w:fldChar w:fldCharType="separate"/>
          </w:r>
          <w:r>
            <w:rPr>
              <w:noProof/>
            </w:rPr>
            <w:t>1</w:t>
          </w:r>
          <w:r w:rsidR="00C026D1">
            <w:fldChar w:fldCharType="end"/>
          </w:r>
        </w:p>
      </w:tc>
      <w:tc>
        <w:tcPr>
          <w:tcW w:w="1701" w:type="dxa"/>
          <w:tcBorders>
            <w:top w:val="single" w:sz="6" w:space="0" w:color="auto"/>
            <w:left w:val="single" w:sz="6" w:space="0" w:color="auto"/>
            <w:bottom w:val="single" w:sz="6" w:space="0" w:color="auto"/>
            <w:right w:val="single" w:sz="6" w:space="0" w:color="auto"/>
          </w:tcBorders>
        </w:tcPr>
        <w:p w:rsidR="00C026D1" w:rsidRDefault="00C026D1">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0E2655">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C026D1" w:rsidRDefault="00C026D1">
          <w:pPr>
            <w:pStyle w:val="HeaderRegProc"/>
            <w:rPr>
              <w:lang w:val="fr-CH"/>
            </w:rPr>
          </w:pPr>
          <w:proofErr w:type="spellStart"/>
          <w:r>
            <w:rPr>
              <w:lang w:val="fr-CH"/>
            </w:rPr>
            <w:t>rev</w:t>
          </w:r>
          <w:proofErr w:type="spellEnd"/>
          <w:r>
            <w:rPr>
              <w:lang w:val="fr-CH"/>
            </w:rPr>
            <w:t>.</w:t>
          </w:r>
          <w:r w:rsidR="004D3447">
            <w:fldChar w:fldCharType="begin"/>
          </w:r>
          <w:r w:rsidR="004D3447">
            <w:instrText xml:space="preserve"> DOCPROPERTY "Header10" \* MERGEFORMAT </w:instrText>
          </w:r>
          <w:r w:rsidR="004D3447">
            <w:fldChar w:fldCharType="separate"/>
          </w:r>
          <w:r w:rsidR="004D3447" w:rsidRPr="004D3447">
            <w:rPr>
              <w:lang w:val="fr-CH"/>
            </w:rPr>
            <w:t>-</w:t>
          </w:r>
          <w:r w:rsidR="004D3447">
            <w:rPr>
              <w:lang w:val="fr-CH"/>
            </w:rPr>
            <w:fldChar w:fldCharType="end"/>
          </w:r>
        </w:p>
      </w:tc>
    </w:tr>
  </w:tbl>
  <w:p w:rsidR="00C026D1" w:rsidRDefault="00C026D1">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026D1">
      <w:trPr>
        <w:cantSplit/>
        <w:jc w:val="right"/>
      </w:trPr>
      <w:tc>
        <w:tcPr>
          <w:tcW w:w="1701" w:type="dxa"/>
          <w:tcBorders>
            <w:top w:val="single" w:sz="6" w:space="0" w:color="auto"/>
            <w:left w:val="single" w:sz="6" w:space="0" w:color="auto"/>
            <w:bottom w:val="single" w:sz="6" w:space="0" w:color="auto"/>
            <w:right w:val="single" w:sz="6" w:space="0" w:color="auto"/>
          </w:tcBorders>
        </w:tcPr>
        <w:p w:rsidR="00C026D1" w:rsidRDefault="00C026D1">
          <w:pPr>
            <w:pStyle w:val="HeaderRegProc"/>
            <w:rPr>
              <w:lang w:val="en-US"/>
            </w:rPr>
          </w:pPr>
          <w:r>
            <w:rPr>
              <w:lang w:val="en-US"/>
            </w:rPr>
            <w:t>Part A</w:t>
          </w:r>
          <w:r>
            <w:fldChar w:fldCharType="begin"/>
          </w:r>
          <w:r>
            <w:rPr>
              <w:lang w:val="en-US"/>
            </w:rPr>
            <w:instrText>styleref href</w:instrText>
          </w:r>
          <w:r>
            <w:fldChar w:fldCharType="separate"/>
          </w:r>
          <w:r w:rsidR="004D3447">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C026D1" w:rsidRDefault="004D3447">
          <w:pPr>
            <w:pStyle w:val="HeaderRegProc"/>
            <w:rPr>
              <w:lang w:val="en-US"/>
            </w:rPr>
          </w:pPr>
          <w:r>
            <w:fldChar w:fldCharType="begin"/>
          </w:r>
          <w:r>
            <w:instrText xml:space="preserve"> DOCPROPERTY "Header" \* MERGEFORMAT </w:instrText>
          </w:r>
          <w:r>
            <w:fldChar w:fldCharType="separate"/>
          </w:r>
          <w:r w:rsidRPr="004D3447">
            <w:rPr>
              <w:lang w:val="en-US"/>
            </w:rPr>
            <w:t>AR</w:t>
          </w:r>
          <w:r>
            <w:rPr>
              <w:lang w:val="en-US"/>
            </w:rPr>
            <w:fldChar w:fldCharType="end"/>
          </w:r>
          <w:r w:rsidR="00C026D1">
            <w:fldChar w:fldCharType="begin"/>
          </w:r>
          <w:r w:rsidR="00C026D1">
            <w:rPr>
              <w:lang w:val="en-US"/>
            </w:rPr>
            <w:instrText>styleref href2</w:instrText>
          </w:r>
          <w:r w:rsidR="00C026D1">
            <w:fldChar w:fldCharType="separate"/>
          </w:r>
          <w:r>
            <w:rPr>
              <w:noProof/>
            </w:rPr>
            <w:t>1</w:t>
          </w:r>
          <w:r w:rsidR="00C026D1">
            <w:fldChar w:fldCharType="end"/>
          </w:r>
        </w:p>
      </w:tc>
      <w:tc>
        <w:tcPr>
          <w:tcW w:w="1701" w:type="dxa"/>
          <w:tcBorders>
            <w:top w:val="single" w:sz="6" w:space="0" w:color="auto"/>
            <w:left w:val="single" w:sz="6" w:space="0" w:color="auto"/>
            <w:bottom w:val="single" w:sz="6" w:space="0" w:color="auto"/>
            <w:right w:val="single" w:sz="6" w:space="0" w:color="auto"/>
          </w:tcBorders>
        </w:tcPr>
        <w:p w:rsidR="00C026D1" w:rsidRDefault="00C026D1">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4D3447">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C026D1" w:rsidRDefault="00C026D1">
          <w:pPr>
            <w:pStyle w:val="HeaderRegProc"/>
            <w:rPr>
              <w:lang w:val="fr-CH"/>
            </w:rPr>
          </w:pPr>
          <w:proofErr w:type="spellStart"/>
          <w:r>
            <w:rPr>
              <w:lang w:val="fr-CH"/>
            </w:rPr>
            <w:t>rev</w:t>
          </w:r>
          <w:proofErr w:type="spellEnd"/>
          <w:r>
            <w:rPr>
              <w:lang w:val="fr-CH"/>
            </w:rPr>
            <w:t>.</w:t>
          </w:r>
          <w:r w:rsidR="004D3447">
            <w:fldChar w:fldCharType="begin"/>
          </w:r>
          <w:r w:rsidR="004D3447">
            <w:instrText xml:space="preserve"> DOCPROPERTY "Header10" \* MERGEFORMAT </w:instrText>
          </w:r>
          <w:r w:rsidR="004D3447">
            <w:fldChar w:fldCharType="separate"/>
          </w:r>
          <w:r w:rsidR="004D3447" w:rsidRPr="004D3447">
            <w:rPr>
              <w:lang w:val="fr-CH"/>
            </w:rPr>
            <w:t>-</w:t>
          </w:r>
          <w:r w:rsidR="004D3447">
            <w:rPr>
              <w:lang w:val="fr-CH"/>
            </w:rPr>
            <w:fldChar w:fldCharType="end"/>
          </w:r>
        </w:p>
      </w:tc>
    </w:tr>
  </w:tbl>
  <w:p w:rsidR="00C026D1" w:rsidRDefault="00C026D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E2655">
      <w:trPr>
        <w:cantSplit/>
      </w:trPr>
      <w:tc>
        <w:tcPr>
          <w:tcW w:w="1701" w:type="dxa"/>
          <w:tcBorders>
            <w:top w:val="single" w:sz="6" w:space="0" w:color="auto"/>
            <w:left w:val="single" w:sz="6" w:space="0" w:color="auto"/>
            <w:bottom w:val="single" w:sz="6" w:space="0" w:color="auto"/>
            <w:right w:val="single" w:sz="6" w:space="0" w:color="auto"/>
          </w:tcBorders>
        </w:tcPr>
        <w:p w:rsidR="000E2655" w:rsidRDefault="000E2655">
          <w:pPr>
            <w:pStyle w:val="HeaderRegProc"/>
            <w:rPr>
              <w:lang w:val="en-US"/>
            </w:rPr>
          </w:pPr>
          <w:r>
            <w:rPr>
              <w:lang w:val="en-US"/>
            </w:rPr>
            <w:t>Part A</w:t>
          </w:r>
          <w:r>
            <w:fldChar w:fldCharType="begin"/>
          </w:r>
          <w:r>
            <w:rPr>
              <w:lang w:val="en-US"/>
            </w:rPr>
            <w:instrText>styleref href</w:instrText>
          </w:r>
          <w:r>
            <w:fldChar w:fldCharType="separate"/>
          </w:r>
          <w:r w:rsidR="004D3447">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0E2655" w:rsidRDefault="00991BF5">
          <w:pPr>
            <w:pStyle w:val="HeaderRegProc"/>
            <w:rPr>
              <w:lang w:val="en-US"/>
            </w:rPr>
          </w:pPr>
          <w:fldSimple w:instr=" DOCPROPERTY &quot;Header&quot; \* MERGEFORMAT ">
            <w:r w:rsidR="004D3447" w:rsidRPr="004D3447">
              <w:rPr>
                <w:lang w:val="en-US"/>
              </w:rPr>
              <w:t>AR</w:t>
            </w:r>
          </w:fldSimple>
          <w:r w:rsidR="000E2655">
            <w:fldChar w:fldCharType="begin"/>
          </w:r>
          <w:r w:rsidR="000E2655">
            <w:rPr>
              <w:lang w:val="en-US"/>
            </w:rPr>
            <w:instrText>styleref href2</w:instrText>
          </w:r>
          <w:r w:rsidR="000E2655">
            <w:fldChar w:fldCharType="separate"/>
          </w:r>
          <w:r w:rsidR="004D3447">
            <w:rPr>
              <w:noProof/>
            </w:rPr>
            <w:t>1</w:t>
          </w:r>
          <w:r w:rsidR="000E2655">
            <w:fldChar w:fldCharType="end"/>
          </w:r>
        </w:p>
      </w:tc>
      <w:tc>
        <w:tcPr>
          <w:tcW w:w="1701" w:type="dxa"/>
          <w:tcBorders>
            <w:top w:val="single" w:sz="6" w:space="0" w:color="auto"/>
            <w:left w:val="single" w:sz="6" w:space="0" w:color="auto"/>
            <w:bottom w:val="single" w:sz="6" w:space="0" w:color="auto"/>
            <w:right w:val="single" w:sz="6" w:space="0" w:color="auto"/>
          </w:tcBorders>
        </w:tcPr>
        <w:p w:rsidR="000E2655" w:rsidRDefault="000E2655">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4D3447">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E2655" w:rsidRDefault="000E2655" w:rsidP="00EC6010">
          <w:pPr>
            <w:pStyle w:val="HeaderRegProc"/>
            <w:rPr>
              <w:lang w:val="fr-CH"/>
            </w:rPr>
          </w:pPr>
          <w:proofErr w:type="spellStart"/>
          <w:r>
            <w:rPr>
              <w:lang w:val="fr-CH"/>
            </w:rPr>
            <w:t>rev</w:t>
          </w:r>
          <w:proofErr w:type="spellEnd"/>
          <w:r>
            <w:rPr>
              <w:lang w:val="fr-CH"/>
            </w:rPr>
            <w:t>.</w:t>
          </w:r>
          <w:r>
            <w:t xml:space="preserve"> 1</w:t>
          </w:r>
          <w:r w:rsidR="00EC6010">
            <w:t>1</w:t>
          </w:r>
        </w:p>
      </w:tc>
    </w:tr>
  </w:tbl>
  <w:p w:rsidR="000E2655" w:rsidRDefault="000E2655">
    <w:pPr>
      <w:rPr>
        <w:lang w:val="fr-C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26D1" w:rsidRDefault="00C026D1"/>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mirrorMargin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C026D1"/>
    <w:rsid w:val="000E2655"/>
    <w:rsid w:val="0017327D"/>
    <w:rsid w:val="001B451D"/>
    <w:rsid w:val="00210045"/>
    <w:rsid w:val="00454A48"/>
    <w:rsid w:val="004D3447"/>
    <w:rsid w:val="005431EC"/>
    <w:rsid w:val="00624E20"/>
    <w:rsid w:val="00883B0C"/>
    <w:rsid w:val="00991BF5"/>
    <w:rsid w:val="009B4F27"/>
    <w:rsid w:val="00C026D1"/>
    <w:rsid w:val="00C40FB8"/>
    <w:rsid w:val="00C574FF"/>
    <w:rsid w:val="00CF429D"/>
    <w:rsid w:val="00E34238"/>
    <w:rsid w:val="00EC601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C4EC321-FA45-4265-BEE6-E94680E63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15</TotalTime>
  <Pages>3</Pages>
  <Words>670</Words>
  <Characters>3821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4483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1</dc:subject>
  <dc:creator>Composition des Publications</dc:creator>
  <cp:keywords>Folios: 1 - 2</cp:keywords>
  <dc:description>Edition 2009:  10.02.09/SdN_x000d_
Corr.:     23.02.2009/ DD (dict. ok)</dc:description>
  <cp:lastModifiedBy>Al-Yammouni, Hala</cp:lastModifiedBy>
  <cp:revision>11</cp:revision>
  <cp:lastPrinted>2017-03-01T09:14:00Z</cp:lastPrinted>
  <dcterms:created xsi:type="dcterms:W3CDTF">2016-11-10T13:18:00Z</dcterms:created>
  <dcterms:modified xsi:type="dcterms:W3CDTF">2017-03-01T09:15:00Z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