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0E47" w:rsidRPr="0069500F" w:rsidRDefault="00DF0E47" w:rsidP="0069500F">
      <w:pPr>
        <w:pStyle w:val="Heading1"/>
        <w:spacing w:before="300"/>
        <w:jc w:val="center"/>
      </w:pPr>
      <w:r w:rsidRPr="0069500F">
        <w:rPr>
          <w:rStyle w:val="href"/>
        </w:rPr>
        <w:t>PART  A10</w:t>
      </w:r>
    </w:p>
    <w:p w:rsidR="00DF0E47" w:rsidRPr="0069500F" w:rsidRDefault="00DF0E47" w:rsidP="0069500F">
      <w:pPr>
        <w:pStyle w:val="Heading1"/>
        <w:ind w:left="0" w:firstLine="0"/>
        <w:jc w:val="center"/>
      </w:pPr>
      <w:r w:rsidRPr="0069500F">
        <w:t>Rules concerning the Regional Agreement relating to the planning of</w:t>
      </w:r>
      <w:r w:rsidR="0069500F" w:rsidRPr="0069500F">
        <w:t xml:space="preserve"> </w:t>
      </w:r>
      <w:r w:rsidRPr="0069500F">
        <w:t>the</w:t>
      </w:r>
      <w:r w:rsidR="0069500F" w:rsidRPr="0069500F">
        <w:br/>
      </w:r>
      <w:r w:rsidRPr="0069500F">
        <w:t>digital terrestrial broadcasting service in parts of Regions 1 and 3,</w:t>
      </w:r>
      <w:r w:rsidRPr="0069500F">
        <w:br/>
        <w:t>in the frequency bands 174-230 MHz and 470-862 MHz</w:t>
      </w:r>
      <w:r w:rsidRPr="0069500F">
        <w:br/>
        <w:t>(Geneva, 2006) (</w:t>
      </w:r>
      <w:r w:rsidRPr="0069500F">
        <w:rPr>
          <w:rStyle w:val="href2"/>
        </w:rPr>
        <w:t>GE06</w:t>
      </w:r>
      <w:r w:rsidRPr="0069500F">
        <w:t>)</w:t>
      </w:r>
    </w:p>
    <w:p w:rsidR="00DF0E47" w:rsidRPr="0069500F" w:rsidRDefault="00DF0E47" w:rsidP="0069500F"/>
    <w:p w:rsidR="00DF0E47" w:rsidRPr="0069500F" w:rsidRDefault="00DF0E47">
      <w:pPr>
        <w:pStyle w:val="Heading1"/>
      </w:pPr>
      <w:r w:rsidRPr="0069500F">
        <w:t>1</w:t>
      </w:r>
      <w:r w:rsidRPr="0069500F">
        <w:tab/>
        <w:t>Receivability of notices</w:t>
      </w:r>
    </w:p>
    <w:p w:rsidR="00DF0E47" w:rsidRPr="0069500F" w:rsidRDefault="00DF0E47" w:rsidP="0069500F">
      <w:r w:rsidRPr="0069500F">
        <w:t>In the application of the Regional Agreement relating to the planning of the digital terrestrial broadcasting service in Region 1 (parts of Region 1 situated to the west of meridian 170°</w:t>
      </w:r>
      <w:r w:rsidR="0069500F" w:rsidRPr="0069500F">
        <w:t> </w:t>
      </w:r>
      <w:r w:rsidR="00C94CCD" w:rsidRPr="0069500F">
        <w:t xml:space="preserve">E and to north of parallel 40° </w:t>
      </w:r>
      <w:r w:rsidR="005034D7" w:rsidRPr="0069500F">
        <w:t>S</w:t>
      </w:r>
      <w:r w:rsidRPr="0069500F">
        <w:t>, except the territory of Mongolia) and in the Islamic Republic of Iran, in the frequency bands 174-230 MHz and 470-862 MHz (Geneva, 2006), the Bureau will apply the procedures contained in Articles 4 and 5 of the Agreement and associated technical criteria with respect to the notices from all administrations having territories in the planning area, provided that the station concerned (or the allotment area concerned) is situated within the planning area.</w:t>
      </w:r>
    </w:p>
    <w:p w:rsidR="0069500F" w:rsidRPr="0069500F" w:rsidRDefault="0069500F" w:rsidP="0069500F"/>
    <w:p w:rsidR="00DF0E47" w:rsidRPr="0069500F" w:rsidRDefault="00DF0E47" w:rsidP="0069500F">
      <w:pPr>
        <w:pStyle w:val="Heading8"/>
      </w:pPr>
      <w:r w:rsidRPr="0069500F">
        <w:t>Art. 4</w:t>
      </w:r>
    </w:p>
    <w:p w:rsidR="00DF0E47" w:rsidRPr="0069500F" w:rsidRDefault="00DF0E47" w:rsidP="0069500F">
      <w:pPr>
        <w:pStyle w:val="Heading2"/>
        <w:spacing w:before="240"/>
        <w:ind w:left="0" w:firstLine="0"/>
        <w:jc w:val="center"/>
      </w:pPr>
      <w:r w:rsidRPr="0069500F">
        <w:t>Procedure for modifications to the Plans and procedure for</w:t>
      </w:r>
      <w:r w:rsidRPr="0069500F">
        <w:br/>
        <w:t>coordination of other primary terrestrial services</w:t>
      </w:r>
    </w:p>
    <w:p w:rsidR="00DF0E47" w:rsidRPr="0069500F" w:rsidRDefault="00DF0E47">
      <w:pPr>
        <w:pStyle w:val="Heading9"/>
      </w:pPr>
      <w:r w:rsidRPr="0069500F">
        <w:t>4.1.1</w:t>
      </w:r>
    </w:p>
    <w:p w:rsidR="00DF0E47" w:rsidRPr="0069500F" w:rsidRDefault="00DF0E47" w:rsidP="0069500F">
      <w:r w:rsidRPr="0069500F">
        <w:t>1)</w:t>
      </w:r>
      <w:r w:rsidRPr="0069500F">
        <w:tab/>
        <w:t>This provision specifies the various cases envisaged in the procedure for modifications to the Plans. Essentially, the procedure provides a phased approach in the case when an administration wishes to add to the digital Plan an allotment and assignment(s) stemming from that allotment: the administration firstly needs to successfully complete the Plan modification procedure for the allotment and, once the allotment is entered in the digital Plan, the administration could apply the procedure referred to in No.</w:t>
      </w:r>
      <w:r w:rsidR="0069500F" w:rsidRPr="0069500F">
        <w:t> </w:t>
      </w:r>
      <w:r w:rsidRPr="0069500F">
        <w:t xml:space="preserve">4.1.1 </w:t>
      </w:r>
      <w:r w:rsidRPr="0069500F">
        <w:rPr>
          <w:i/>
          <w:iCs/>
        </w:rPr>
        <w:t>c)</w:t>
      </w:r>
      <w:r w:rsidRPr="0069500F">
        <w:t xml:space="preserve">. Therefore, the Board concluded that there was no possibility for simultaneous application of the procedure for adding an allotment to the Plan and the procedure of adding assignment(s) stemming from that allotment and instructed the Bureau to act accordingly. </w:t>
      </w:r>
    </w:p>
    <w:p w:rsidR="00DF0E47" w:rsidRPr="0069500F" w:rsidRDefault="00DF0E47">
      <w:r w:rsidRPr="0069500F">
        <w:br w:type="page"/>
      </w:r>
      <w:r w:rsidRPr="0069500F">
        <w:lastRenderedPageBreak/>
        <w:t>2)</w:t>
      </w:r>
      <w:r w:rsidRPr="0069500F">
        <w:tab/>
        <w:t>In the case of proposed changes to the characteristics of an allotment already included in the Plan, which also comprises one or several assignments stemming from the allotment already included in the Plan, the Bureau will follow the following procedure:</w:t>
      </w:r>
    </w:p>
    <w:p w:rsidR="00DF0E47" w:rsidRPr="0069500F" w:rsidRDefault="00DF0E47" w:rsidP="0069500F">
      <w:pPr>
        <w:pStyle w:val="enumlev1"/>
      </w:pPr>
      <w:r w:rsidRPr="0069500F">
        <w:t>–</w:t>
      </w:r>
      <w:r w:rsidRPr="0069500F">
        <w:tab/>
        <w:t>in the application of No.</w:t>
      </w:r>
      <w:r w:rsidR="0069500F" w:rsidRPr="0069500F">
        <w:t> </w:t>
      </w:r>
      <w:r w:rsidRPr="0069500F">
        <w:t xml:space="preserve">4.1.1 </w:t>
      </w:r>
      <w:r w:rsidRPr="0069500F">
        <w:rPr>
          <w:i/>
          <w:iCs/>
        </w:rPr>
        <w:t>a)</w:t>
      </w:r>
      <w:r w:rsidRPr="0069500F">
        <w:t>, the Bureau will publish the characteristics of the modified allotment; to this end, the Bureau will include such notes in the concerned Special Section, as may be appropriate, to indicate the applicable situations, notably: (1) </w:t>
      </w:r>
      <w:r w:rsidR="0069500F" w:rsidRPr="0069500F">
        <w:t> </w:t>
      </w:r>
      <w:r w:rsidRPr="0069500F">
        <w:t>that the Plan contains one or more assignments stemming from the original allotment which would be reviewed after the successful completion of the Plan modification procedure in respect of the concerned allotment, and (2) that the administration concerned announced a submission of other assignments stemming from the modified allotment, which would be examined after the successful completion of the Plan modification procedure for the modified allotment and appropriately reflected in another Special Section;</w:t>
      </w:r>
    </w:p>
    <w:p w:rsidR="00DF0E47" w:rsidRPr="0069500F" w:rsidRDefault="00DF0E47">
      <w:pPr>
        <w:pStyle w:val="enumlev1"/>
      </w:pPr>
      <w:r w:rsidRPr="0069500F">
        <w:t>–</w:t>
      </w:r>
      <w:r w:rsidRPr="0069500F">
        <w:tab/>
        <w:t>until the successful completion of the Plan modification procedure for the modified allotment, the Bureau will retain the previous allotment (together with the assignments stemming from that allotment);</w:t>
      </w:r>
    </w:p>
    <w:p w:rsidR="00DF0E47" w:rsidRPr="0069500F" w:rsidRDefault="00DF0E47" w:rsidP="0069500F">
      <w:pPr>
        <w:pStyle w:val="enumlev1"/>
      </w:pPr>
      <w:r w:rsidRPr="0069500F">
        <w:t>–</w:t>
      </w:r>
      <w:r w:rsidRPr="0069500F">
        <w:tab/>
        <w:t>after the successful completion of the Plan modification procedure for the modified allotment, the Bureau will include it in the Plan (as a replacement for the previous allotment) and will examine all the assignments stemming from the previous allotment, if any, with respect to their conformity with the replacement allotment. If the assignments are in conformity with the replacement allotment, they will be maintained in the Plan; otherwise they will be deleted from the Plan and the administration concerned will be informed accordingly. The notifying administration, if it so wishes, may submit other assignment(s) stemming from the modified allotment under provision No.</w:t>
      </w:r>
      <w:r w:rsidR="0069500F" w:rsidRPr="0069500F">
        <w:t> </w:t>
      </w:r>
      <w:r w:rsidRPr="0069500F">
        <w:t xml:space="preserve">4.1.1 </w:t>
      </w:r>
      <w:r w:rsidRPr="0069500F">
        <w:rPr>
          <w:i/>
          <w:iCs/>
        </w:rPr>
        <w:t>c)</w:t>
      </w:r>
      <w:r w:rsidRPr="0069500F">
        <w:t>; upon receipt of these other assignments stemming from the modified allotment, the Bureau will examine them under No.</w:t>
      </w:r>
      <w:r w:rsidR="0069500F" w:rsidRPr="0069500F">
        <w:t> </w:t>
      </w:r>
      <w:r w:rsidRPr="0069500F">
        <w:t>4.1.2.7 and will act accordingly.</w:t>
      </w:r>
    </w:p>
    <w:p w:rsidR="0069500F" w:rsidRPr="0069500F" w:rsidRDefault="0069500F" w:rsidP="0069500F"/>
    <w:p w:rsidR="00DF0E47" w:rsidRPr="0069500F" w:rsidRDefault="00DF0E47">
      <w:pPr>
        <w:pStyle w:val="Heading8"/>
      </w:pPr>
      <w:r w:rsidRPr="0069500F">
        <w:t>Art. 5</w:t>
      </w:r>
    </w:p>
    <w:p w:rsidR="00DF0E47" w:rsidRPr="0069500F" w:rsidRDefault="00DF0E47">
      <w:pPr>
        <w:pStyle w:val="Heading2"/>
        <w:spacing w:before="240"/>
        <w:ind w:left="0" w:firstLine="0"/>
        <w:jc w:val="center"/>
      </w:pPr>
      <w:r w:rsidRPr="0069500F">
        <w:t>Notification of frequency assignments</w:t>
      </w:r>
    </w:p>
    <w:p w:rsidR="00DF0E47" w:rsidRPr="0069500F" w:rsidRDefault="00DF0E47">
      <w:pPr>
        <w:pStyle w:val="Heading9"/>
      </w:pPr>
      <w:r w:rsidRPr="0069500F">
        <w:t>5.1.2</w:t>
      </w:r>
    </w:p>
    <w:p w:rsidR="00DF0E47" w:rsidRDefault="00DF0E47" w:rsidP="0069500F">
      <w:r w:rsidRPr="0069500F">
        <w:t>1)</w:t>
      </w:r>
      <w:r w:rsidRPr="0069500F">
        <w:tab/>
        <w:t>This provision deals with the examination by the Bureau of the assignment with respect to No.</w:t>
      </w:r>
      <w:r w:rsidR="0069500F" w:rsidRPr="0069500F">
        <w:t> </w:t>
      </w:r>
      <w:r w:rsidRPr="0069500F">
        <w:rPr>
          <w:rStyle w:val="Artref"/>
          <w:b/>
          <w:color w:val="auto"/>
        </w:rPr>
        <w:t>11.34</w:t>
      </w:r>
      <w:r w:rsidRPr="0069500F">
        <w:t xml:space="preserve"> of the Radio Regulations (RR), i.e., its conformity with the Plans and the associated provisions. For the case of an analogue television assignment, sub-paragraph</w:t>
      </w:r>
      <w:r w:rsidR="0069500F" w:rsidRPr="0069500F">
        <w:t> </w:t>
      </w:r>
      <w:r w:rsidRPr="0069500F">
        <w:t>a) applies and it requires that the conditions of Section II of Annex 4 be met. However, Section </w:t>
      </w:r>
      <w:r w:rsidR="0069500F" w:rsidRPr="0069500F">
        <w:rPr>
          <w:rFonts w:ascii="Tms Rmn" w:hAnsi="Tms Rmn"/>
          <w:sz w:val="12"/>
        </w:rPr>
        <w:t> </w:t>
      </w:r>
      <w:r w:rsidRPr="0069500F">
        <w:t>II of Annex 4 deals only with the examination of conformity with the digital Plan entry. The Board concluded that, by analogy with § 4.2 of Section II of Annex 4 (dealing with digital plan entry comprising one assignment only), the notified frequency assignment to an analogue television assignment will be considered as compliant with the analogue television Plan if it fulfils the conditions specified in § 4.2 of Section II of Annex 4, as adapted to the case of analogue television assignment.</w:t>
      </w:r>
    </w:p>
    <w:p w:rsidR="00B63DC3" w:rsidRPr="0069500F" w:rsidRDefault="00B63DC3" w:rsidP="00B63DC3">
      <w:r>
        <w:br w:type="page"/>
      </w:r>
      <w:r w:rsidRPr="0069500F">
        <w:lastRenderedPageBreak/>
        <w:t>2)</w:t>
      </w:r>
      <w:r w:rsidRPr="0069500F">
        <w:tab/>
        <w:t xml:space="preserve">In addition, the Board concluded that the analogue television assignments in the bands 174-230 MHz (for Morocco 170-230 MHz) and 470-862 MHz, which were recorded in the Master Register at the time of the establishment of the GE06 analogue Plan with favourable findings under No. </w:t>
      </w:r>
      <w:r w:rsidRPr="0069500F">
        <w:rPr>
          <w:rStyle w:val="Artref"/>
          <w:b/>
          <w:color w:val="auto"/>
        </w:rPr>
        <w:t>11.34</w:t>
      </w:r>
      <w:r w:rsidRPr="0069500F">
        <w:t xml:space="preserve"> of the RR, shall retain such favourable findings as long as their characteristics and the characteristics of the equivalent entry in the analogue television plan of the GE06 Agreement remain unchanged.</w:t>
      </w:r>
    </w:p>
    <w:p w:rsidR="00B63DC3" w:rsidRPr="0069500F" w:rsidRDefault="00B63DC3" w:rsidP="00B63DC3">
      <w:pPr>
        <w:pStyle w:val="Heading9"/>
      </w:pPr>
      <w:r w:rsidRPr="0069500F">
        <w:t xml:space="preserve">5.1.2 </w:t>
      </w:r>
      <w:r w:rsidRPr="0069500F">
        <w:rPr>
          <w:i/>
          <w:iCs/>
        </w:rPr>
        <w:t>e)</w:t>
      </w:r>
    </w:p>
    <w:p w:rsidR="00B63DC3" w:rsidRPr="0069500F" w:rsidRDefault="00B63DC3" w:rsidP="00C535A6">
      <w:r>
        <w:t>1)</w:t>
      </w:r>
      <w:r>
        <w:tab/>
      </w:r>
      <w:r w:rsidRPr="0069500F">
        <w:t xml:space="preserve">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5.1.2 </w:t>
      </w:r>
      <w:r w:rsidRPr="0069500F">
        <w:rPr>
          <w:i/>
          <w:iCs/>
        </w:rPr>
        <w:t>e)</w:t>
      </w:r>
      <w:r w:rsidRPr="0069500F">
        <w:t xml:space="preserve"> shall be favourable if all the necessary agreements have been obtained and if the conditions specified in Section II of Annex 4 are met.</w:t>
      </w:r>
    </w:p>
    <w:p w:rsidR="00B63DC3" w:rsidRDefault="00B63DC3" w:rsidP="00C535A6">
      <w:r>
        <w:t>2)</w:t>
      </w:r>
      <w:r>
        <w:tab/>
      </w:r>
      <w:r w:rsidRPr="0069500F">
        <w:t xml:space="preserve">If the digital Plan entry bears a remark with respect to entries in the digital Plan, the finding of the notified frequency assignment referring to this digital Plan entry and being within the scope of provision No. 5.1.2 </w:t>
      </w:r>
      <w:r w:rsidRPr="0069500F">
        <w:rPr>
          <w:i/>
          <w:iCs/>
        </w:rPr>
        <w:t>e)</w:t>
      </w:r>
      <w:r w:rsidRPr="0069500F">
        <w:t xml:space="preserve"> shall be favourable if the notifying administration states that all conditions associated with the remark are fully met, and the conditions of Section II of Annex 4 are met.</w:t>
      </w:r>
    </w:p>
    <w:p w:rsidR="00B63DC3" w:rsidRPr="00B5368A" w:rsidRDefault="00B63DC3" w:rsidP="00C535A6">
      <w:pPr>
        <w:rPr>
          <w:sz w:val="16"/>
          <w:szCs w:val="16"/>
        </w:rPr>
      </w:pPr>
      <w:r>
        <w:t>3)</w:t>
      </w:r>
      <w:r>
        <w:tab/>
      </w:r>
      <w:r w:rsidRPr="006045D2">
        <w:t xml:space="preserve">For the case of a T-DAB frequency assignment, notified under No. 5.1.2 </w:t>
      </w:r>
      <w:r w:rsidRPr="006045D2">
        <w:rPr>
          <w:i/>
        </w:rPr>
        <w:t>e)</w:t>
      </w:r>
      <w:r w:rsidRPr="006045D2">
        <w:t xml:space="preserve"> of the</w:t>
      </w:r>
      <w:r>
        <w:t> </w:t>
      </w:r>
      <w:r w:rsidRPr="006045D2">
        <w:t xml:space="preserve">GE06 Agreement, using a DVB-T single assignment Plan entry in the digital Plan, </w:t>
      </w:r>
      <w:r>
        <w:t xml:space="preserve">if </w:t>
      </w:r>
      <w:r w:rsidRPr="006045D2">
        <w:t xml:space="preserve">the notified frequency assignment </w:t>
      </w:r>
      <w:r>
        <w:t>uses</w:t>
      </w:r>
      <w:r w:rsidRPr="006045D2">
        <w:t xml:space="preserve"> the same</w:t>
      </w:r>
      <w:r>
        <w:t xml:space="preserve"> part of the</w:t>
      </w:r>
      <w:r w:rsidRPr="006045D2">
        <w:t xml:space="preserve"> spectrum of the DVB-T Plan assignment more than once</w:t>
      </w:r>
      <w:r>
        <w:t>, the finding of the notified assignment will be unfavourable and the notice will be returned to the notifying administration</w:t>
      </w:r>
      <w:r w:rsidRPr="006045D2">
        <w:t>.</w:t>
      </w:r>
    </w:p>
    <w:p w:rsidR="00B63DC3" w:rsidRDefault="00B63DC3" w:rsidP="00B63DC3">
      <w:r w:rsidRPr="006045D2">
        <w:t>4)</w:t>
      </w:r>
      <w:r w:rsidRPr="006045D2">
        <w:tab/>
        <w:t xml:space="preserve">For the case of a T-DAB frequency assignment, notified under No. 5.1.2 </w:t>
      </w:r>
      <w:r w:rsidRPr="006045D2">
        <w:rPr>
          <w:i/>
          <w:iCs/>
        </w:rPr>
        <w:t>e)</w:t>
      </w:r>
      <w:r w:rsidRPr="006045D2">
        <w:t xml:space="preserve"> of the GE06 Agreement, using a DVB-T Plan (assignment or allotment) entry, when examining if the conditions in Section II of Annex 4 of the GE06 Agreement are met, the Bureau </w:t>
      </w:r>
      <w:r>
        <w:t>will</w:t>
      </w:r>
      <w:r w:rsidRPr="006045D2">
        <w:t xml:space="preserve"> augment the notified e.r.p. of the T-DAB assignment by a corresponding correction factor</w:t>
      </w:r>
      <w:r>
        <w:t xml:space="preserve"> indicated in the table below</w:t>
      </w:r>
      <w:r w:rsidRPr="006045D2">
        <w:t xml:space="preserve"> to take into account the difference in spectral power densities as a result of the different bandwidths of the T-DAB assignment and the DVB-T Plan entry.</w:t>
      </w:r>
      <w:r>
        <w:t xml:space="preserve"> </w:t>
      </w:r>
      <w:r w:rsidRPr="006045D2">
        <w:t>The values of the correction factor are calculated as the ratio of the digital television broadcasting Plan entry bandwidth and the necessary bandwidth of the notified assignment.</w:t>
      </w:r>
    </w:p>
    <w:p w:rsidR="000A2CD9" w:rsidRDefault="000A2CD9">
      <w:pPr>
        <w:tabs>
          <w:tab w:val="clear" w:pos="1134"/>
          <w:tab w:val="clear" w:pos="1871"/>
          <w:tab w:val="clear" w:pos="2268"/>
        </w:tabs>
        <w:overflowPunct/>
        <w:autoSpaceDE/>
        <w:autoSpaceDN/>
        <w:adjustRightInd/>
        <w:spacing w:before="0"/>
        <w:jc w:val="left"/>
        <w:textAlignment w:val="auto"/>
        <w:rPr>
          <w:b/>
        </w:rPr>
      </w:pPr>
      <w:r>
        <w:br w:type="page"/>
      </w:r>
    </w:p>
    <w:p w:rsidR="00B63DC3" w:rsidRDefault="00B63DC3" w:rsidP="00B63DC3">
      <w:pPr>
        <w:pStyle w:val="TabletitleBR"/>
        <w:spacing w:before="320" w:after="160"/>
      </w:pPr>
      <w:r w:rsidRPr="006045D2">
        <w:lastRenderedPageBreak/>
        <w:t xml:space="preserve">Correction factor to be applied to the e.r.p. </w:t>
      </w:r>
      <w:r>
        <w:br/>
      </w:r>
      <w:r w:rsidRPr="006045D2">
        <w:t>of notified T-DAB assignments</w:t>
      </w:r>
    </w:p>
    <w:tbl>
      <w:tblPr>
        <w:tblW w:w="89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5"/>
        <w:gridCol w:w="3095"/>
        <w:gridCol w:w="2740"/>
      </w:tblGrid>
      <w:tr w:rsidR="00B63DC3" w:rsidRP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lang w:val="en-GB"/>
              </w:rPr>
            </w:pPr>
          </w:p>
        </w:tc>
        <w:tc>
          <w:tcPr>
            <w:tcW w:w="5835" w:type="dxa"/>
            <w:gridSpan w:val="2"/>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DVB-T Plan entry channel arrangement</w:t>
            </w:r>
          </w:p>
        </w:tc>
      </w:tr>
      <w:tr w:rsid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lang w:val="en-GB"/>
              </w:rPr>
            </w:pPr>
          </w:p>
        </w:tc>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7 MHz</w:t>
            </w:r>
          </w:p>
        </w:tc>
        <w:tc>
          <w:tcPr>
            <w:tcW w:w="2740"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8 MHz</w:t>
            </w:r>
          </w:p>
        </w:tc>
      </w:tr>
      <w:tr w:rsidR="00B63DC3" w:rsidTr="00B63DC3">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Correction factor</w:t>
            </w:r>
          </w:p>
        </w:tc>
        <w:tc>
          <w:tcPr>
            <w:tcW w:w="3095"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6.371 dB</w:t>
            </w:r>
          </w:p>
        </w:tc>
        <w:tc>
          <w:tcPr>
            <w:tcW w:w="2740" w:type="dxa"/>
            <w:vAlign w:val="center"/>
          </w:tcPr>
          <w:p w:rsidR="00B63DC3" w:rsidRPr="00B63DC3" w:rsidRDefault="00B63DC3" w:rsidP="00B63DC3">
            <w:pPr>
              <w:pStyle w:val="Tablehead0"/>
              <w:framePr w:hSpace="181" w:wrap="around" w:vAnchor="text" w:hAnchor="margin" w:xAlign="center" w:y="1"/>
              <w:ind w:left="-604"/>
              <w:rPr>
                <w:b w:val="0"/>
                <w:bCs/>
                <w:lang w:val="en-GB"/>
              </w:rPr>
            </w:pPr>
            <w:r w:rsidRPr="00B63DC3">
              <w:rPr>
                <w:b w:val="0"/>
                <w:bCs/>
              </w:rPr>
              <w:t>6.950 dB</w:t>
            </w:r>
          </w:p>
        </w:tc>
      </w:tr>
    </w:tbl>
    <w:p w:rsidR="000A2CD9" w:rsidRDefault="00B63DC3" w:rsidP="00C535A6">
      <w:pPr>
        <w:spacing w:before="240"/>
        <w:rPr>
          <w:sz w:val="22"/>
          <w:szCs w:val="22"/>
        </w:rPr>
      </w:pPr>
      <w:r w:rsidRPr="00D45967">
        <w:rPr>
          <w:sz w:val="22"/>
          <w:szCs w:val="22"/>
        </w:rPr>
        <w:t>NOTE − If there is one or more DVB-T Plan entries using system variant of 64</w:t>
      </w:r>
      <w:r>
        <w:rPr>
          <w:sz w:val="22"/>
          <w:szCs w:val="22"/>
        </w:rPr>
        <w:t>-</w:t>
      </w:r>
      <w:r w:rsidRPr="00D45967">
        <w:rPr>
          <w:sz w:val="22"/>
          <w:szCs w:val="22"/>
        </w:rPr>
        <w:t>QAM 7/8, located within 1000 km (the limit of the propagation model described in Annex 2 of the Agreement) of the transmitter site of the notified T-DAB assignment, a correction factor of 8.1 dB will be used.</w:t>
      </w:r>
    </w:p>
    <w:p w:rsidR="00B63DC3" w:rsidRPr="0069500F" w:rsidRDefault="00B63DC3" w:rsidP="00B63DC3">
      <w:pPr>
        <w:pStyle w:val="Heading9"/>
      </w:pPr>
      <w:r w:rsidRPr="0069500F">
        <w:t>5.1.3</w:t>
      </w:r>
    </w:p>
    <w:p w:rsidR="00B63DC3" w:rsidRPr="0069500F" w:rsidRDefault="00B63DC3" w:rsidP="00B63DC3">
      <w:r w:rsidRPr="0069500F">
        <w:t>1)</w:t>
      </w:r>
      <w:r w:rsidRPr="0069500F">
        <w:tab/>
        <w:t>This provision deals with notification of a digital broadcasting entry in the Plan with characteristics different from those appearing in the Plan. The definition of the “digital Plan entry”, as contained in No. 1.3.18 of Annex 1 to the GE06 Agreement, includes both assignments and allotments. However, and in view of the formulation of No. 5.1 of the GE06 Agreement, the Board concluded that, in the application of No. 5.1.3 of the GE06 Agreement, administrations can notify only frequency assignments.</w:t>
      </w:r>
    </w:p>
    <w:p w:rsidR="00B63DC3" w:rsidRDefault="00B63DC3" w:rsidP="00B63DC3">
      <w:r w:rsidRPr="0069500F">
        <w:t>2)</w:t>
      </w:r>
      <w:r w:rsidRPr="0069500F">
        <w:tab/>
        <w:t xml:space="preserve">For the examination of the conformity of the frequency assignment </w:t>
      </w:r>
      <w:r>
        <w:t xml:space="preserve">in the broadcasting service or </w:t>
      </w:r>
      <w:r w:rsidRPr="0069500F">
        <w:t>in other primary services, notified under No. 5.1.3 of the GE06 Agreement, with the corresponding “digital entry in the Plan”, the Bureau would need to ascertain that the notified frequency assignment does not exceed the interference potential of the corresponding digital broad</w:t>
      </w:r>
      <w:r w:rsidRPr="0069500F">
        <w:softHyphen/>
        <w:t xml:space="preserve">casting entry in the Plan. Provision No. 5.1.3 indicates only the condition that the peak power density of the notified frequency assignment, in any 4 kHz, shall not exceed the spectral power density in the same 4 kHz of the digital broadcasting entry in the Plan. Item 5.6 of Table 3 of Annex 3 to the GE06 Agreement indicates that this is the spectral power density delivered to the antenna transmission line. The Board understands that </w:t>
      </w:r>
      <w:r w:rsidRPr="006045D2">
        <w:t>the maximum spectral power-density (dB(W/Hz)) (Item 8AC,</w:t>
      </w:r>
      <w:r>
        <w:t xml:space="preserve"> Annex 1 of</w:t>
      </w:r>
      <w:r w:rsidRPr="006045D2">
        <w:t xml:space="preserve"> Appendix </w:t>
      </w:r>
      <w:r w:rsidRPr="00232FB0">
        <w:rPr>
          <w:b/>
          <w:bCs/>
        </w:rPr>
        <w:t>4</w:t>
      </w:r>
      <w:r w:rsidRPr="006045D2">
        <w:t xml:space="preserve"> </w:t>
      </w:r>
      <w:r>
        <w:t>(Rev.</w:t>
      </w:r>
      <w:r w:rsidRPr="006045D2">
        <w:t>WRC</w:t>
      </w:r>
      <w:r w:rsidRPr="006045D2">
        <w:noBreakHyphen/>
        <w:t>07</w:t>
      </w:r>
      <w:r>
        <w:t>)</w:t>
      </w:r>
      <w:r w:rsidRPr="006045D2">
        <w:t xml:space="preserve">) averaged over the worst 4 kHz band is based on the maximum effective radiated power. The Bureau </w:t>
      </w:r>
      <w:r>
        <w:t>will</w:t>
      </w:r>
      <w:r w:rsidRPr="006045D2">
        <w:t xml:space="preserve"> take into account the spectral power-density of the notified assignment by first calculating the equivalent maximum effective radiated power (e.r.p.) of the notified frequency assignment to which is applied a correction factor that takes into account the difference in spectral power-densities as a result of the different necessary bandwidths of the frequency assignment and the corresponding Plan entry.</w:t>
      </w:r>
      <w:r w:rsidRPr="006045D2" w:rsidDel="00353C5B">
        <w:t xml:space="preserve"> </w:t>
      </w:r>
      <w:r w:rsidRPr="006045D2">
        <w:t>The equivalent effective radiated power is derived from the necessary bandwidth and the peak spectral power-density of the notified assignment and the bandwidth of the digital broadcasting Plan entry, as given in the equation below:</w:t>
      </w:r>
    </w:p>
    <w:p w:rsidR="00B63DC3" w:rsidRPr="006045D2" w:rsidRDefault="00B63DC3" w:rsidP="00B63DC3">
      <w:pPr>
        <w:pStyle w:val="Questiontitle"/>
      </w:pPr>
      <w:r w:rsidRPr="006F5691">
        <w:rPr>
          <w:b w:val="0"/>
          <w:bCs/>
          <w:position w:val="-32"/>
        </w:rPr>
        <w:object w:dxaOrig="7479"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25pt;height:38.05pt" o:ole="">
            <v:imagedata r:id="rId8" o:title=""/>
          </v:shape>
          <o:OLEObject Type="Embed" ProgID="Equation.3" ShapeID="_x0000_i1025" DrawAspect="Content" ObjectID="_1448801578" r:id="rId9"/>
        </w:object>
      </w:r>
    </w:p>
    <w:p w:rsidR="000A2CD9" w:rsidRDefault="000A2CD9">
      <w:pPr>
        <w:tabs>
          <w:tab w:val="clear" w:pos="1134"/>
          <w:tab w:val="clear" w:pos="1871"/>
          <w:tab w:val="clear" w:pos="2268"/>
        </w:tabs>
        <w:overflowPunct/>
        <w:autoSpaceDE/>
        <w:autoSpaceDN/>
        <w:adjustRightInd/>
        <w:spacing w:before="0"/>
        <w:jc w:val="left"/>
        <w:textAlignment w:val="auto"/>
      </w:pPr>
      <w:r>
        <w:br w:type="page"/>
      </w:r>
    </w:p>
    <w:p w:rsidR="00B63DC3" w:rsidRPr="006045D2" w:rsidRDefault="00B63DC3" w:rsidP="00B63DC3">
      <w:r w:rsidRPr="006045D2">
        <w:lastRenderedPageBreak/>
        <w:t>where:</w:t>
      </w:r>
    </w:p>
    <w:p w:rsidR="00B63DC3" w:rsidRPr="006045D2" w:rsidRDefault="00B63DC3" w:rsidP="00B63DC3">
      <w:pPr>
        <w:pStyle w:val="enumlev1"/>
        <w:tabs>
          <w:tab w:val="clear" w:pos="1871"/>
          <w:tab w:val="left" w:pos="1560"/>
        </w:tabs>
      </w:pPr>
      <w:r w:rsidRPr="006045D2">
        <w:tab/>
      </w:r>
      <w:r w:rsidRPr="006045D2">
        <w:rPr>
          <w:i/>
        </w:rPr>
        <w:t>SPD</w:t>
      </w:r>
      <w:r w:rsidRPr="00232FB0">
        <w:rPr>
          <w:i/>
          <w:iCs/>
          <w:vertAlign w:val="subscript"/>
        </w:rPr>
        <w:t>max</w:t>
      </w:r>
      <w:r>
        <w:t>:</w:t>
      </w:r>
      <w:r>
        <w:tab/>
      </w:r>
      <w:r w:rsidRPr="006045D2">
        <w:t xml:space="preserve">maximum spectral power density (dB(W/Hz)) (Item 8AC, </w:t>
      </w:r>
      <w:r>
        <w:t xml:space="preserve">Annex 1 to </w:t>
      </w:r>
      <w:r>
        <w:br/>
      </w:r>
      <w:r>
        <w:tab/>
      </w:r>
      <w:r>
        <w:tab/>
      </w:r>
      <w:r w:rsidRPr="006045D2">
        <w:t>Appendix</w:t>
      </w:r>
      <w:r>
        <w:t> </w:t>
      </w:r>
      <w:r w:rsidRPr="003E4F92">
        <w:rPr>
          <w:b/>
          <w:bCs/>
        </w:rPr>
        <w:t>4</w:t>
      </w:r>
      <w:r>
        <w:t xml:space="preserve"> (Rev.</w:t>
      </w:r>
      <w:r w:rsidRPr="006045D2">
        <w:t>WRC</w:t>
      </w:r>
      <w:r w:rsidRPr="006045D2">
        <w:noBreakHyphen/>
        <w:t>07</w:t>
      </w:r>
      <w:r>
        <w:t>)</w:t>
      </w:r>
      <w:r w:rsidRPr="006045D2">
        <w:t xml:space="preserve">) averaged over the worst 4 kHz band and based </w:t>
      </w:r>
      <w:r>
        <w:tab/>
      </w:r>
      <w:r>
        <w:tab/>
      </w:r>
      <w:r w:rsidRPr="006045D2">
        <w:t>on</w:t>
      </w:r>
      <w:r>
        <w:t xml:space="preserve"> </w:t>
      </w:r>
      <w:r w:rsidRPr="006045D2">
        <w:t>the m</w:t>
      </w:r>
      <w:r>
        <w:t>aximum effective radiated power</w:t>
      </w:r>
    </w:p>
    <w:p w:rsidR="00B63DC3" w:rsidRPr="006045D2" w:rsidRDefault="00B63DC3" w:rsidP="00B63DC3">
      <w:pPr>
        <w:pStyle w:val="enumlev1"/>
        <w:tabs>
          <w:tab w:val="clear" w:pos="1871"/>
          <w:tab w:val="left" w:pos="1560"/>
        </w:tabs>
      </w:pPr>
      <w:r w:rsidRPr="006045D2">
        <w:tab/>
      </w:r>
      <w:r w:rsidRPr="006045D2">
        <w:rPr>
          <w:i/>
        </w:rPr>
        <w:t>BW</w:t>
      </w:r>
      <w:r w:rsidRPr="006045D2">
        <w:rPr>
          <w:i/>
          <w:vertAlign w:val="subscript"/>
        </w:rPr>
        <w:t>NA</w:t>
      </w:r>
      <w:r>
        <w:t>:</w:t>
      </w:r>
      <w:r w:rsidRPr="006045D2">
        <w:t xml:space="preserve"> </w:t>
      </w:r>
      <w:r>
        <w:tab/>
      </w:r>
      <w:r>
        <w:tab/>
      </w:r>
      <w:r w:rsidRPr="006045D2">
        <w:t xml:space="preserve">notified necessary bandwidth </w:t>
      </w:r>
      <w:r>
        <w:t xml:space="preserve">(Hz) </w:t>
      </w:r>
      <w:r w:rsidRPr="006045D2">
        <w:t>(Item 7AB,</w:t>
      </w:r>
      <w:r>
        <w:t xml:space="preserve"> Annex 1 to</w:t>
      </w:r>
      <w:r w:rsidRPr="006045D2">
        <w:t xml:space="preserve"> Appendix </w:t>
      </w:r>
      <w:r w:rsidRPr="003E4F92">
        <w:rPr>
          <w:b/>
          <w:bCs/>
        </w:rPr>
        <w:t>4</w:t>
      </w:r>
      <w:r w:rsidRPr="006045D2">
        <w:t xml:space="preserve"> </w:t>
      </w:r>
      <w:r>
        <w:br/>
      </w:r>
      <w:r>
        <w:tab/>
      </w:r>
      <w:r>
        <w:tab/>
        <w:t>(Rev.WRC-07))</w:t>
      </w:r>
      <w:r w:rsidRPr="006045D2">
        <w:t>;</w:t>
      </w:r>
    </w:p>
    <w:p w:rsidR="00B63DC3" w:rsidRPr="006045D2" w:rsidRDefault="00B63DC3" w:rsidP="00B63DC3">
      <w:pPr>
        <w:pStyle w:val="enumlev1"/>
        <w:tabs>
          <w:tab w:val="clear" w:pos="1871"/>
          <w:tab w:val="left" w:pos="1560"/>
        </w:tabs>
      </w:pPr>
      <w:r w:rsidRPr="006045D2">
        <w:tab/>
      </w:r>
      <w:r w:rsidRPr="006045D2">
        <w:rPr>
          <w:i/>
        </w:rPr>
        <w:t>BW</w:t>
      </w:r>
      <w:r w:rsidRPr="006045D2">
        <w:rPr>
          <w:i/>
          <w:vertAlign w:val="subscript"/>
        </w:rPr>
        <w:t>PE</w:t>
      </w:r>
      <w:r>
        <w:t>:</w:t>
      </w:r>
      <w:r w:rsidRPr="006045D2">
        <w:t xml:space="preserve"> </w:t>
      </w:r>
      <w:r>
        <w:tab/>
      </w:r>
      <w:r>
        <w:tab/>
      </w:r>
      <w:r w:rsidRPr="006045D2">
        <w:t xml:space="preserve">bandwidth </w:t>
      </w:r>
      <w:r>
        <w:t>(</w:t>
      </w:r>
      <w:r w:rsidRPr="006045D2">
        <w:t>Hz</w:t>
      </w:r>
      <w:r>
        <w:t>)</w:t>
      </w:r>
      <w:r w:rsidRPr="006045D2">
        <w:t xml:space="preserve"> for the relevant system of the digital broadcasting Plan </w:t>
      </w:r>
      <w:r>
        <w:br/>
      </w:r>
      <w:r>
        <w:tab/>
      </w:r>
      <w:r>
        <w:tab/>
      </w:r>
      <w:r w:rsidRPr="006045D2">
        <w:t>entry. For DVB-T Plan entries the bandwidth is 7.61 × 10</w:t>
      </w:r>
      <w:r w:rsidRPr="006045D2">
        <w:rPr>
          <w:vertAlign w:val="superscript"/>
        </w:rPr>
        <w:t>6 </w:t>
      </w:r>
      <w:r w:rsidRPr="006045D2">
        <w:t xml:space="preserve">Hz in the case of </w:t>
      </w:r>
      <w:r>
        <w:tab/>
      </w:r>
      <w:r>
        <w:tab/>
      </w:r>
      <w:r w:rsidRPr="006045D2">
        <w:t>8 MHz systems and 6.66 × 10</w:t>
      </w:r>
      <w:r w:rsidRPr="006045D2">
        <w:rPr>
          <w:vertAlign w:val="superscript"/>
        </w:rPr>
        <w:t>6</w:t>
      </w:r>
      <w:r w:rsidRPr="006045D2">
        <w:t xml:space="preserve"> Hz for 7 MHz systems, and for T-DAB Plan </w:t>
      </w:r>
      <w:r>
        <w:tab/>
      </w:r>
      <w:r>
        <w:tab/>
      </w:r>
      <w:r w:rsidRPr="006045D2">
        <w:t>entries, 1.536 × 10</w:t>
      </w:r>
      <w:r w:rsidRPr="006045D2">
        <w:rPr>
          <w:vertAlign w:val="superscript"/>
        </w:rPr>
        <w:t>6 </w:t>
      </w:r>
      <w:r w:rsidRPr="006045D2">
        <w:t>Hz.</w:t>
      </w:r>
    </w:p>
    <w:p w:rsidR="00B63DC3" w:rsidRPr="0069500F" w:rsidRDefault="00B63DC3" w:rsidP="00C535A6">
      <w:r w:rsidRPr="006045D2">
        <w:t>In order to ascertain that the field strength produced by the notified frequency assignment(s), in any direction, does not create more interference than the corresponding digital broadcasting Plan entry,</w:t>
      </w:r>
      <w:r w:rsidRPr="0069500F">
        <w:t xml:space="preserve"> the Bureau would need complete characteristics of the notified frequency assignment, such as geographical information (effective antenna heights in 36 azimuths) and transmission information (polarization, e.r.p., including antenna attenuation in the horizontal</w:t>
      </w:r>
      <w:r>
        <w:t xml:space="preserve"> </w:t>
      </w:r>
      <w:r w:rsidRPr="0069500F">
        <w:t xml:space="preserve">and vertical planes if, for example, the digital broadcasting Plan entry has a directional antenna pattern). Therefore, when notifying frequency assignments under No. 5.1.3 of the GE06 Agreement, administrations need to supply all the relevant characteristics that are necessary, for the Bureau, to ascertain that the notified frequency assignment is within the envelope of the digital broadcasting </w:t>
      </w:r>
      <w:r>
        <w:t>P</w:t>
      </w:r>
      <w:r w:rsidRPr="0069500F">
        <w:t>lan entry.</w:t>
      </w:r>
    </w:p>
    <w:p w:rsidR="00B63DC3" w:rsidRPr="0069500F" w:rsidRDefault="00B63DC3" w:rsidP="00B63DC3">
      <w:r w:rsidRPr="0069500F">
        <w:t>3)</w:t>
      </w:r>
      <w:r w:rsidRPr="0069500F">
        <w:tab/>
        <w:t>If the digital Plan entry bears a remark with respect to assignments in the analogue Plan or to existing assignments to other primary terrestrial services, the finding of the notified frequency assignment referring to this digital Plan entry and being within the scope of provision No. 5.1.3 shall be favourable if all the necessary agreements have been obtained and if the results of all the required examinations are favourable.</w:t>
      </w:r>
    </w:p>
    <w:p w:rsidR="00B63DC3" w:rsidRDefault="00B63DC3" w:rsidP="00B63DC3">
      <w:r w:rsidRPr="0069500F">
        <w:t>If the digital Plan entry bears a remark with respect to entries in the digital Plan, the finding of the notified frequency assignment referring to this digital Plan entry and being within the scope of provision No. 5.1.3 shall be favourable if the notifying administration states that all conditions associated with the remark are fully met and if the results of all the required examinations are favourable.</w:t>
      </w:r>
    </w:p>
    <w:p w:rsidR="000A2CD9" w:rsidRDefault="000A2CD9" w:rsidP="00B63DC3"/>
    <w:p w:rsidR="000A2CD9" w:rsidRDefault="000A2CD9" w:rsidP="00B63DC3"/>
    <w:p w:rsidR="000A2CD9" w:rsidRPr="0069500F" w:rsidRDefault="000A2CD9" w:rsidP="00B63DC3">
      <w:pPr>
        <w:rPr>
          <w:sz w:val="16"/>
          <w:szCs w:val="16"/>
        </w:rPr>
      </w:pPr>
    </w:p>
    <w:p w:rsidR="000A2CD9" w:rsidRDefault="000A2CD9">
      <w:pPr>
        <w:tabs>
          <w:tab w:val="clear" w:pos="1134"/>
          <w:tab w:val="clear" w:pos="1871"/>
          <w:tab w:val="clear" w:pos="2268"/>
        </w:tabs>
        <w:overflowPunct/>
        <w:autoSpaceDE/>
        <w:autoSpaceDN/>
        <w:adjustRightInd/>
        <w:spacing w:before="0"/>
        <w:jc w:val="left"/>
        <w:textAlignment w:val="auto"/>
        <w:rPr>
          <w:b/>
        </w:rPr>
      </w:pPr>
      <w:r>
        <w:br w:type="page"/>
      </w:r>
    </w:p>
    <w:p w:rsidR="00B63DC3" w:rsidRPr="0069500F" w:rsidRDefault="00B63DC3" w:rsidP="00B63DC3">
      <w:pPr>
        <w:pStyle w:val="Heading8"/>
        <w:spacing w:before="240"/>
      </w:pPr>
      <w:r w:rsidRPr="0069500F">
        <w:lastRenderedPageBreak/>
        <w:t>Art. 12</w:t>
      </w:r>
    </w:p>
    <w:p w:rsidR="00B63DC3" w:rsidRPr="0069500F" w:rsidRDefault="00B63DC3" w:rsidP="00B63DC3">
      <w:pPr>
        <w:pStyle w:val="Heading2"/>
        <w:spacing w:before="240"/>
        <w:ind w:left="0" w:firstLine="0"/>
        <w:jc w:val="center"/>
      </w:pPr>
      <w:r w:rsidRPr="0069500F">
        <w:t>Entry into force, duration and provisional application of the Agreement</w:t>
      </w:r>
    </w:p>
    <w:p w:rsidR="00B63DC3" w:rsidRPr="0069500F" w:rsidRDefault="00B63DC3" w:rsidP="00B63DC3">
      <w:pPr>
        <w:pStyle w:val="Heading9"/>
        <w:spacing w:before="360"/>
      </w:pPr>
      <w:r w:rsidRPr="0069500F">
        <w:t>12.6</w:t>
      </w:r>
    </w:p>
    <w:p w:rsidR="00B63DC3" w:rsidRDefault="00B63DC3" w:rsidP="00B63DC3">
      <w:r w:rsidRPr="0069500F">
        <w:t>Footnote 7, associated with this provision, lists the countries for which the transition period for the VHF band (174-230 MHz; for Morocco: 170-230 MHz) shall end on 17 June 2020 at 0001 hours UTC. The same footnote further specifies the option, for the administrations which were not present at RRC</w:t>
      </w:r>
      <w:r w:rsidRPr="0069500F">
        <w:noBreakHyphen/>
        <w:t>06 and whose names are listed in footnote 7, of selecting another date for the end of the transition period in the VHF band (notably 17 June 2015 at 0001 hours UTC), provided that these administrations communicate such a decision to the Bureau within a 90-day period from the end of RRC</w:t>
      </w:r>
      <w:r w:rsidRPr="0069500F">
        <w:noBreakHyphen/>
        <w:t>06.</w:t>
      </w:r>
    </w:p>
    <w:p w:rsidR="00B63DC3" w:rsidRDefault="00B63DC3" w:rsidP="00B63DC3">
      <w:r w:rsidRPr="0069500F">
        <w:t>After the end of RRC-06, the Bureau contacted the administrations of the Member States listed in footnote 7 of this provision which were not present at RRC</w:t>
      </w:r>
      <w:r w:rsidRPr="0069500F">
        <w:noBreakHyphen/>
        <w:t>06 and informed them of the decisions of RRC-06 in this respect. No administration of the Member States concerned informed the Bureau, within the specified period, that it selected 17 June 2015 for the end of the transition period. Therefore, for all countries listed in footnote 7, the transition period for the VHF band shall end on 17 June 2020 at 0001 hours UTC.</w:t>
      </w:r>
    </w:p>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0A2CD9" w:rsidRDefault="000A2CD9" w:rsidP="00B63DC3"/>
    <w:p w:rsidR="00F857B2" w:rsidRDefault="00F857B2">
      <w:pPr>
        <w:tabs>
          <w:tab w:val="clear" w:pos="1134"/>
          <w:tab w:val="clear" w:pos="1871"/>
          <w:tab w:val="clear" w:pos="2268"/>
        </w:tabs>
        <w:overflowPunct/>
        <w:autoSpaceDE/>
        <w:autoSpaceDN/>
        <w:adjustRightInd/>
        <w:spacing w:before="0"/>
        <w:jc w:val="left"/>
        <w:textAlignment w:val="auto"/>
        <w:sectPr w:rsidR="00F857B2" w:rsidSect="00C82C70">
          <w:headerReference w:type="even" r:id="rId10"/>
          <w:headerReference w:type="default" r:id="rId11"/>
          <w:footnotePr>
            <w:pos w:val="beneathText"/>
          </w:footnotePr>
          <w:type w:val="oddPage"/>
          <w:pgSz w:w="11907" w:h="16840" w:code="9"/>
          <w:pgMar w:top="1701" w:right="851" w:bottom="1134" w:left="1985" w:header="720" w:footer="482" w:gutter="0"/>
          <w:pgNumType w:start="1"/>
          <w:cols w:space="720"/>
          <w:vAlign w:val="both"/>
        </w:sectPr>
      </w:pPr>
    </w:p>
    <w:p w:rsidR="00B63DC3" w:rsidRPr="0069500F" w:rsidRDefault="00B63DC3" w:rsidP="00F857B2">
      <w:pPr>
        <w:pStyle w:val="Heading8"/>
        <w:spacing w:before="0"/>
      </w:pPr>
      <w:r w:rsidRPr="0069500F">
        <w:lastRenderedPageBreak/>
        <w:t>Annex 2</w:t>
      </w:r>
    </w:p>
    <w:p w:rsidR="00B63DC3" w:rsidRPr="0069500F" w:rsidRDefault="00B63DC3" w:rsidP="00B63DC3">
      <w:pPr>
        <w:pStyle w:val="Heading2"/>
        <w:ind w:left="0" w:firstLine="0"/>
        <w:jc w:val="center"/>
      </w:pPr>
      <w:r w:rsidRPr="0069500F">
        <w:t>Technical elements and criteria used in the development of the Plan</w:t>
      </w:r>
      <w:r w:rsidRPr="0069500F">
        <w:br/>
        <w:t>and the implementation of the Agreement</w:t>
      </w:r>
    </w:p>
    <w:p w:rsidR="00F857B2" w:rsidRPr="00326947" w:rsidRDefault="00F857B2" w:rsidP="00F857B2">
      <w:pPr>
        <w:keepNext/>
        <w:keepLines/>
        <w:pBdr>
          <w:top w:val="single" w:sz="6" w:space="1" w:color="auto"/>
          <w:left w:val="single" w:sz="6" w:space="1" w:color="auto"/>
          <w:bottom w:val="single" w:sz="6" w:space="1" w:color="auto"/>
          <w:right w:val="single" w:sz="6" w:space="1" w:color="auto"/>
        </w:pBdr>
        <w:spacing w:before="280"/>
        <w:ind w:left="85" w:right="7258"/>
        <w:jc w:val="left"/>
        <w:textAlignment w:val="auto"/>
        <w:outlineLvl w:val="8"/>
        <w:rPr>
          <w:b/>
          <w:szCs w:val="24"/>
        </w:rPr>
      </w:pPr>
      <w:r w:rsidRPr="00326947">
        <w:rPr>
          <w:b/>
          <w:szCs w:val="24"/>
        </w:rPr>
        <w:t>Appendix 2.1</w:t>
      </w:r>
      <w:r w:rsidRPr="00326947">
        <w:rPr>
          <w:b/>
          <w:szCs w:val="24"/>
        </w:rPr>
        <w:br/>
        <w:t>Section A2.1.8.1</w:t>
      </w:r>
      <w:r>
        <w:rPr>
          <w:b/>
          <w:szCs w:val="24"/>
        </w:rPr>
        <w:tab/>
      </w:r>
      <w:r>
        <w:rPr>
          <w:b/>
          <w:szCs w:val="24"/>
        </w:rPr>
        <w:tab/>
      </w:r>
      <w:r w:rsidRPr="00F857B2">
        <w:rPr>
          <w:bCs/>
          <w:sz w:val="16"/>
          <w:szCs w:val="16"/>
        </w:rPr>
        <w:t>(ADD RRB13/64)</w:t>
      </w:r>
    </w:p>
    <w:p w:rsidR="00F857B2" w:rsidRPr="00326947" w:rsidRDefault="00F857B2" w:rsidP="00F857B2">
      <w:pPr>
        <w:rPr>
          <w:rFonts w:eastAsia="SimSun"/>
          <w:szCs w:val="24"/>
          <w:lang w:eastAsia="zh-CN"/>
        </w:rPr>
      </w:pPr>
      <w:r w:rsidRPr="00326947">
        <w:rPr>
          <w:rFonts w:eastAsia="SimSun"/>
          <w:szCs w:val="24"/>
          <w:lang w:eastAsia="zh-CN"/>
        </w:rPr>
        <w:t xml:space="preserve">This Section deals with the mixed path interpolation factor </w:t>
      </w:r>
      <w:r w:rsidRPr="00326947">
        <w:rPr>
          <w:rFonts w:eastAsia="SimSun"/>
          <w:i/>
          <w:iCs/>
          <w:szCs w:val="24"/>
          <w:lang w:eastAsia="zh-CN"/>
        </w:rPr>
        <w:t>A</w:t>
      </w:r>
      <w:r w:rsidRPr="00326947">
        <w:rPr>
          <w:rFonts w:eastAsia="SimSun"/>
          <w:i/>
          <w:iCs/>
          <w:szCs w:val="24"/>
          <w:vertAlign w:val="subscript"/>
          <w:lang w:eastAsia="zh-CN"/>
        </w:rPr>
        <w:t xml:space="preserve"> </w:t>
      </w:r>
      <w:r w:rsidRPr="00326947">
        <w:rPr>
          <w:rFonts w:eastAsia="SimSun"/>
          <w:szCs w:val="24"/>
          <w:lang w:eastAsia="zh-CN"/>
        </w:rPr>
        <w:t xml:space="preserve">used for calculating the field strength for path crossing multiple propagation zones. The interpolation factor </w:t>
      </w:r>
      <w:r w:rsidRPr="00326947">
        <w:rPr>
          <w:rFonts w:eastAsia="SimSun"/>
          <w:i/>
          <w:iCs/>
          <w:szCs w:val="24"/>
          <w:lang w:eastAsia="zh-CN"/>
        </w:rPr>
        <w:t>A</w:t>
      </w:r>
      <w:r w:rsidRPr="00326947">
        <w:rPr>
          <w:rFonts w:eastAsia="SimSun"/>
          <w:szCs w:val="24"/>
          <w:lang w:eastAsia="zh-CN"/>
        </w:rPr>
        <w:t xml:space="preserve"> is a function of basic interpolation factor </w:t>
      </w:r>
      <w:r w:rsidRPr="00326947">
        <w:rPr>
          <w:rFonts w:eastAsia="SimSun"/>
          <w:i/>
          <w:iCs/>
          <w:szCs w:val="24"/>
          <w:lang w:eastAsia="zh-CN"/>
        </w:rPr>
        <w:t>A</w:t>
      </w:r>
      <w:r w:rsidRPr="00326947">
        <w:rPr>
          <w:rFonts w:eastAsia="SimSun"/>
          <w:i/>
          <w:iCs/>
          <w:szCs w:val="24"/>
          <w:vertAlign w:val="subscript"/>
          <w:lang w:eastAsia="zh-CN"/>
        </w:rPr>
        <w:t>0</w:t>
      </w:r>
      <w:r w:rsidRPr="00326947">
        <w:rPr>
          <w:rFonts w:eastAsia="SimSun"/>
          <w:szCs w:val="24"/>
          <w:lang w:eastAsia="zh-CN"/>
        </w:rPr>
        <w:t xml:space="preserve"> whose value is determined by reading from the curve in Figure A.2.1-2. This may result in different interpretations of A</w:t>
      </w:r>
      <w:r w:rsidRPr="00326947">
        <w:rPr>
          <w:rFonts w:eastAsia="SimSun"/>
          <w:szCs w:val="24"/>
          <w:vertAlign w:val="subscript"/>
          <w:lang w:eastAsia="zh-CN"/>
        </w:rPr>
        <w:t xml:space="preserve">0 </w:t>
      </w:r>
      <w:r w:rsidRPr="00326947">
        <w:rPr>
          <w:rFonts w:eastAsia="SimSun"/>
          <w:szCs w:val="24"/>
          <w:lang w:eastAsia="zh-CN"/>
        </w:rPr>
        <w:t xml:space="preserve">values. Such situation could lead to different field </w:t>
      </w:r>
      <w:r w:rsidRPr="00F857B2">
        <w:t>strength</w:t>
      </w:r>
      <w:r w:rsidRPr="00326947">
        <w:rPr>
          <w:rFonts w:eastAsia="SimSun"/>
          <w:szCs w:val="24"/>
          <w:lang w:eastAsia="zh-CN"/>
        </w:rPr>
        <w:t xml:space="preserve"> values calculated for path crossing multiple propagation zones and therefore different list of administrations potentially affected by proposed modifications to the Plans.</w:t>
      </w:r>
      <w:r w:rsidRPr="00326947">
        <w:rPr>
          <w:rFonts w:eastAsia="SimSun"/>
          <w:i/>
          <w:iCs/>
          <w:szCs w:val="24"/>
          <w:lang w:eastAsia="zh-CN"/>
        </w:rPr>
        <w:t xml:space="preserve"> </w:t>
      </w:r>
      <w:r w:rsidRPr="00326947">
        <w:rPr>
          <w:rFonts w:eastAsia="SimSun"/>
          <w:szCs w:val="24"/>
          <w:lang w:eastAsia="zh-CN"/>
        </w:rPr>
        <w:t xml:space="preserve">Therefore, the Board concluded that the basic interpolation factor </w:t>
      </w:r>
      <w:r w:rsidRPr="00326947">
        <w:rPr>
          <w:rFonts w:eastAsia="SimSun"/>
          <w:i/>
          <w:iCs/>
          <w:szCs w:val="24"/>
          <w:lang w:eastAsia="zh-CN"/>
        </w:rPr>
        <w:t>A</w:t>
      </w:r>
      <w:r w:rsidRPr="00326947">
        <w:rPr>
          <w:rFonts w:eastAsia="SimSun"/>
          <w:i/>
          <w:iCs/>
          <w:szCs w:val="24"/>
          <w:vertAlign w:val="subscript"/>
          <w:lang w:eastAsia="zh-CN"/>
        </w:rPr>
        <w:t xml:space="preserve">0 </w:t>
      </w:r>
      <w:r w:rsidRPr="00326947">
        <w:rPr>
          <w:rFonts w:eastAsia="SimSun"/>
          <w:i/>
          <w:iCs/>
          <w:szCs w:val="24"/>
          <w:lang w:eastAsia="zh-CN"/>
        </w:rPr>
        <w:t>(F</w:t>
      </w:r>
      <w:r w:rsidRPr="00326947">
        <w:rPr>
          <w:rFonts w:eastAsia="SimSun"/>
          <w:i/>
          <w:iCs/>
          <w:szCs w:val="24"/>
          <w:vertAlign w:val="subscript"/>
          <w:lang w:eastAsia="zh-CN"/>
        </w:rPr>
        <w:t>s</w:t>
      </w:r>
      <w:r w:rsidRPr="00326947">
        <w:rPr>
          <w:rFonts w:eastAsia="SimSun"/>
          <w:i/>
          <w:iCs/>
          <w:szCs w:val="24"/>
          <w:lang w:eastAsia="zh-CN"/>
        </w:rPr>
        <w:t xml:space="preserve">) </w:t>
      </w:r>
      <w:r w:rsidRPr="00326947">
        <w:rPr>
          <w:rFonts w:eastAsia="SimSun"/>
          <w:szCs w:val="24"/>
          <w:lang w:eastAsia="zh-CN"/>
        </w:rPr>
        <w:t>as shown in Fig. A.2.1-2 shall be calculated using the following formula:</w:t>
      </w:r>
    </w:p>
    <w:p w:rsidR="00F857B2" w:rsidRPr="00326947" w:rsidRDefault="00F857B2" w:rsidP="00F857B2">
      <w:pPr>
        <w:jc w:val="center"/>
      </w:pPr>
      <w:r w:rsidRPr="00326947">
        <w:rPr>
          <w:position w:val="-12"/>
        </w:rPr>
        <w:object w:dxaOrig="2220" w:dyaOrig="405">
          <v:shape id="_x0000_i1026" type="#_x0000_t75" style="width:110.7pt;height:20.4pt" o:ole="">
            <v:imagedata r:id="rId12" o:title=""/>
          </v:shape>
          <o:OLEObject Type="Embed" ProgID="Equation.3" ShapeID="_x0000_i1026" DrawAspect="Content" ObjectID="_1448801579" r:id="rId13"/>
        </w:object>
      </w:r>
    </w:p>
    <w:p w:rsidR="00F857B2" w:rsidRPr="00326947" w:rsidRDefault="00F857B2" w:rsidP="00F857B2">
      <w:pPr>
        <w:rPr>
          <w:rFonts w:eastAsia="SimSun"/>
          <w:szCs w:val="24"/>
          <w:lang w:eastAsia="zh-CN"/>
        </w:rPr>
      </w:pPr>
      <w:r w:rsidRPr="00326947">
        <w:rPr>
          <w:rFonts w:eastAsia="SimSun"/>
          <w:szCs w:val="24"/>
          <w:lang w:eastAsia="zh-CN"/>
        </w:rPr>
        <w:t xml:space="preserve">The application of this formula is consistent with the method adopted by RRC-06 Conference, recommended in </w:t>
      </w:r>
      <w:r w:rsidRPr="00F857B2">
        <w:t>Recommendation</w:t>
      </w:r>
      <w:r w:rsidRPr="00326947">
        <w:rPr>
          <w:rFonts w:eastAsia="SimSun"/>
          <w:szCs w:val="24"/>
          <w:lang w:eastAsia="zh-CN"/>
        </w:rPr>
        <w:t xml:space="preserve"> ITU-R P.1546 and currently used by the Bureau in implementing the GE06 Agreement.</w:t>
      </w:r>
    </w:p>
    <w:p w:rsidR="00B63DC3" w:rsidRPr="0069500F" w:rsidRDefault="00B63DC3" w:rsidP="00B63DC3">
      <w:pPr>
        <w:pStyle w:val="Heading9"/>
        <w:ind w:right="7258"/>
        <w:jc w:val="left"/>
      </w:pPr>
      <w:r w:rsidRPr="0069500F">
        <w:t>Appendix 3.1</w:t>
      </w:r>
      <w:r w:rsidRPr="0069500F">
        <w:br/>
        <w:t>Table A3.1-3</w:t>
      </w:r>
    </w:p>
    <w:p w:rsidR="00B63DC3" w:rsidRPr="0069500F" w:rsidRDefault="00B63DC3" w:rsidP="00B63DC3">
      <w:r w:rsidRPr="0069500F">
        <w:t>This Table also applies to the geographical areas XGZ and XWB.</w:t>
      </w:r>
    </w:p>
    <w:p w:rsidR="00B63DC3" w:rsidRPr="0069500F" w:rsidRDefault="00B63DC3" w:rsidP="00B63DC3">
      <w:pPr>
        <w:pStyle w:val="Heading9"/>
        <w:ind w:right="7258"/>
        <w:jc w:val="left"/>
      </w:pPr>
      <w:r w:rsidRPr="0069500F">
        <w:t>Appendix 3.1</w:t>
      </w:r>
      <w:r w:rsidRPr="0069500F">
        <w:br/>
        <w:t>Table A3.1-8</w:t>
      </w:r>
    </w:p>
    <w:p w:rsidR="00B63DC3" w:rsidRPr="0069500F" w:rsidRDefault="00B63DC3" w:rsidP="00B63DC3">
      <w:r w:rsidRPr="0069500F">
        <w:t>This Table also applies to the geographical area AOE, except channels 4 and 5.</w:t>
      </w:r>
    </w:p>
    <w:p w:rsidR="00B63DC3" w:rsidRPr="0069500F" w:rsidRDefault="00B63DC3" w:rsidP="00B63DC3">
      <w:pPr>
        <w:pStyle w:val="Heading9"/>
        <w:ind w:right="7258"/>
        <w:jc w:val="left"/>
      </w:pPr>
      <w:r w:rsidRPr="0069500F">
        <w:t>Appendix 3.3</w:t>
      </w:r>
    </w:p>
    <w:p w:rsidR="00B63DC3" w:rsidRPr="0069500F" w:rsidRDefault="00B63DC3" w:rsidP="00B63DC3">
      <w:r w:rsidRPr="0069500F">
        <w:t>Section A.3.3.4 of this Appendix provides information on the protection ratios for analogue television. However, this section does not provide any information on the protection ratios for the case when the analogue television is interfered with by assignments in other primary terrestrial services. Calculations requested in application of § 4.2.4.11 and 4.2.4.12 of the Agreement shall be made by using Recommendation ITU-R SM.851-1, for the cases covered by this Recommendation. For the other cases not covered by that Recommendation, the pertinent ITU-R Recommendations may be used.</w:t>
      </w:r>
    </w:p>
    <w:p w:rsidR="00B63DC3" w:rsidRPr="0069500F" w:rsidRDefault="00B63DC3" w:rsidP="00B63DC3">
      <w:pPr>
        <w:pStyle w:val="Heading8"/>
        <w:jc w:val="left"/>
      </w:pPr>
      <w:r w:rsidRPr="0069500F">
        <w:lastRenderedPageBreak/>
        <w:t>Annex 3</w:t>
      </w:r>
      <w:r w:rsidRPr="0069500F">
        <w:br/>
        <w:t>Table 3</w:t>
      </w:r>
    </w:p>
    <w:p w:rsidR="00B63DC3" w:rsidRPr="0069500F" w:rsidRDefault="00B63DC3" w:rsidP="00B63DC3">
      <w:pPr>
        <w:pStyle w:val="Heading2"/>
        <w:ind w:left="0" w:firstLine="0"/>
        <w:jc w:val="center"/>
      </w:pPr>
      <w:r w:rsidRPr="0069500F">
        <w:t>Data for assignments to stations of other primary terrestrial services</w:t>
      </w:r>
    </w:p>
    <w:p w:rsidR="00B63DC3" w:rsidRPr="0069500F" w:rsidRDefault="00B63DC3" w:rsidP="00B63DC3">
      <w:r w:rsidRPr="0069500F">
        <w:t>N</w:t>
      </w:r>
      <w:r>
        <w:t>o.</w:t>
      </w:r>
      <w:r w:rsidRPr="0069500F">
        <w:t xml:space="preserve"> 7.1 of this Table specifies that, for the application of Article 4 of the Agreement, the regular hours (UTC) of operation of the frequency assignment (cross-referenced as item 10B in Appendix </w:t>
      </w:r>
      <w:r w:rsidRPr="0069500F">
        <w:rPr>
          <w:rStyle w:val="Appref"/>
          <w:b/>
          <w:color w:val="auto"/>
        </w:rPr>
        <w:t>4</w:t>
      </w:r>
      <w:r w:rsidRPr="0069500F">
        <w:t xml:space="preserve"> of the RR) are mandatory if used as a basis to effect coordination with another administration (character “C”). On the other hand, this data item is indicated as mandatory for the application of Article 5 of the Agreement (character “X”). Therefore, for the examinations under § 5.2.2 of the Agreement, where the regular hours of operation are mandatory, the Bureau needs to ascertain that the notified hours of operation are compliant with those resulting from the successful application of the procedure contained in § 4.2 of the Agreement. In view of the above, the Board concluded that the item “regular hours (UTC) of operation of the frequency assignment” would need to be considered as mandatory for all submissions under Article 4 of the Agreement for assignments to stations of other primary terrestrial services.</w:t>
      </w:r>
    </w:p>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Default="00F857B2" w:rsidP="00F857B2"/>
    <w:p w:rsidR="00F857B2" w:rsidRPr="00F857B2" w:rsidRDefault="00F857B2" w:rsidP="00F857B2">
      <w:pPr>
        <w:sectPr w:rsidR="00F857B2" w:rsidRPr="00F857B2" w:rsidSect="00F857B2">
          <w:headerReference w:type="even" r:id="rId14"/>
          <w:headerReference w:type="default" r:id="rId15"/>
          <w:footnotePr>
            <w:pos w:val="beneathText"/>
          </w:footnotePr>
          <w:pgSz w:w="11907" w:h="16840" w:code="9"/>
          <w:pgMar w:top="1701" w:right="851" w:bottom="1134" w:left="1985" w:header="720" w:footer="482" w:gutter="0"/>
          <w:cols w:space="720"/>
          <w:vAlign w:val="both"/>
        </w:sectPr>
      </w:pPr>
    </w:p>
    <w:p w:rsidR="00B63DC3" w:rsidRPr="0069500F" w:rsidRDefault="00B63DC3" w:rsidP="00F857B2">
      <w:pPr>
        <w:pStyle w:val="Heading8"/>
        <w:spacing w:before="0"/>
      </w:pPr>
      <w:r w:rsidRPr="0069500F">
        <w:lastRenderedPageBreak/>
        <w:t>Annex 4</w:t>
      </w:r>
    </w:p>
    <w:p w:rsidR="00B63DC3" w:rsidRPr="0069500F" w:rsidRDefault="00B63DC3" w:rsidP="00B63DC3">
      <w:pPr>
        <w:pStyle w:val="Heading2"/>
        <w:ind w:left="0" w:firstLine="0"/>
        <w:jc w:val="center"/>
      </w:pPr>
      <w:r w:rsidRPr="0069500F">
        <w:t>Section I: Limits and methodology for determining when agreement</w:t>
      </w:r>
      <w:r w:rsidRPr="0069500F">
        <w:br/>
        <w:t>with another administration is required</w:t>
      </w:r>
    </w:p>
    <w:p w:rsidR="00B63DC3" w:rsidRPr="0069500F" w:rsidRDefault="00B63DC3" w:rsidP="00B63DC3">
      <w:pPr>
        <w:pStyle w:val="Heading9"/>
      </w:pPr>
      <w:r w:rsidRPr="0069500F">
        <w:t>2.1</w:t>
      </w:r>
    </w:p>
    <w:p w:rsidR="00B63DC3" w:rsidRPr="0069500F" w:rsidRDefault="00B63DC3" w:rsidP="00B63DC3">
      <w:r w:rsidRPr="0069500F">
        <w:t>Step 3 of this Section specifies that any assignment in the other primary service is selected for consideration, if it belongs to an administration within the 1</w:t>
      </w:r>
      <w:r w:rsidRPr="0069500F">
        <w:rPr>
          <w:rFonts w:ascii="Tms Rmn" w:hAnsi="Tms Rmn"/>
          <w:sz w:val="12"/>
        </w:rPr>
        <w:t> </w:t>
      </w:r>
      <w:r w:rsidRPr="0069500F">
        <w:t>000 km contour, provided that the assignment is contained in the List or the coordination procedure under Article 4 of the GE06 Agreement for its inclusion into the List has already been initiated. The Board concluded that Bureau shall take into account only those eligible frequency assignments in other primary services that have frequency overlap with relevant broadcasting assignment/allotment (i.e., the proposed modification to the Plan).</w:t>
      </w:r>
    </w:p>
    <w:p w:rsidR="00B63DC3" w:rsidRPr="0069500F" w:rsidRDefault="00B63DC3" w:rsidP="00B63DC3">
      <w:pPr>
        <w:pStyle w:val="Heading9"/>
      </w:pPr>
      <w:r w:rsidRPr="0069500F">
        <w:t>2.2</w:t>
      </w:r>
    </w:p>
    <w:p w:rsidR="00B63DC3" w:rsidRPr="0069500F" w:rsidRDefault="00B63DC3" w:rsidP="00B63DC3">
      <w:r w:rsidRPr="0069500F">
        <w:t>This Section specifies the general methodology for constructing the coordination contours for the application of the coordination procedure referred to in § 4.2 of the Agreement. Given the fact that the frequency assignments in the other primary service (OPS) include transmitting and receiving stations, the methodology takes account of the impact of the transmitting station in the OPS to the broadcasting service, as well as the likely impact of the broadcasting service to the receiving stations in the OPS. Therefore, this Section specifies the need for constructing separate coordination contours for the same assignment: for the transmitting stations and for the receiving stations. This Section further specifies that, for identification of affected administrations, the larger of the two contours is to be taken into account.</w:t>
      </w:r>
    </w:p>
    <w:p w:rsidR="00B63DC3" w:rsidRPr="0069500F" w:rsidRDefault="00B63DC3" w:rsidP="00B63DC3">
      <w:r w:rsidRPr="0069500F">
        <w:t>Given the variety of situations which could be covered by assignments in OPS, there may be situations where the constructed coordination contours for the transmitting stations and for receiving stations of the same assignment are not overlapped or partially overlapped. Therefore, the Board decided that for the cases where the coordination contours for the transmitting stations and for receiving stations of the same assignment are not overlapped or partially overlapped, the combined result of the two coordination contours is to be taken into account for the identification of affected administrations.</w:t>
      </w:r>
    </w:p>
    <w:p w:rsidR="00B63DC3" w:rsidRPr="0069500F" w:rsidRDefault="00B63DC3" w:rsidP="00B63DC3">
      <w:pPr>
        <w:pStyle w:val="Heading9"/>
      </w:pPr>
      <w:r w:rsidRPr="0069500F">
        <w:t>5.1.2</w:t>
      </w:r>
    </w:p>
    <w:p w:rsidR="00E1111E" w:rsidRDefault="00B63DC3" w:rsidP="000D4791">
      <w:r w:rsidRPr="0069500F">
        <w:t xml:space="preserve">This Section indicates Tables A.1.2 to A.1.8 of Appendix 1 to this Section as tables that contain the coordination trigger field-strength values for protection of other primary terrestrial services, applying the procedure of Article 4 of the GE06 Agreement (construction of coordination contours). However, § A.2 to A.4 of Appendix 1 to Section I, which include Tables A.1.2 to A.1.8, do not provide information on the trigger values to be used for protection of other primary terrestrial services from analogue television assignments. Such values are necessary for the application of the procedure of Article 4 of the GE06 Agreement (see § 4.1.2.8 </w:t>
      </w:r>
      <w:r w:rsidRPr="0069500F">
        <w:rPr>
          <w:i/>
          <w:iCs/>
        </w:rPr>
        <w:t>a)</w:t>
      </w:r>
      <w:r w:rsidRPr="0069500F">
        <w:t xml:space="preserve"> and 4.1.2.3). Calculations requested in application of § 4.1.2.8 </w:t>
      </w:r>
      <w:r w:rsidRPr="0069500F">
        <w:rPr>
          <w:i/>
          <w:iCs/>
        </w:rPr>
        <w:t>a)</w:t>
      </w:r>
      <w:r w:rsidRPr="0069500F">
        <w:t xml:space="preserve"> of the Agreement shall be made using the pertinent ITU-R Recommendations and the indications therein. Recommendations ITU-R F.758-4, ITU-R F.759, and ITU-R SM.851-1 are to be used in this regard. As Recommendation ITU-R F.758-4 does not contain information relating to </w:t>
      </w:r>
      <w:r w:rsidR="00C77365">
        <w:br/>
      </w:r>
      <w:bookmarkStart w:id="0" w:name="_GoBack"/>
      <w:bookmarkEnd w:id="0"/>
      <w:r w:rsidR="00E1111E">
        <w:br w:type="page"/>
      </w:r>
    </w:p>
    <w:p w:rsidR="00B63DC3" w:rsidRPr="0069500F" w:rsidRDefault="00B63DC3" w:rsidP="000D4791">
      <w:r w:rsidRPr="0069500F">
        <w:lastRenderedPageBreak/>
        <w:t>analogue systems in the fixed service, and given the indications therein, the Board concluded that version ITU-R F.758-2 shall be used in the case of analogue systems in the fixed service. For cases not covered by any ITU-R Recommendation, the Board concluded that the calculations shall be made using the trigger values for DVB-T in combination with the  approach of relative protection ratios for analogue television as described in Recommen</w:t>
      </w:r>
      <w:r w:rsidRPr="0069500F">
        <w:softHyphen/>
        <w:t>dation ITU-R SM.851-1.</w:t>
      </w:r>
    </w:p>
    <w:p w:rsidR="00B63DC3" w:rsidRPr="0069500F" w:rsidRDefault="00B63DC3" w:rsidP="00B63DC3">
      <w:r w:rsidRPr="0069500F">
        <w:t>Therefore, trigger values to be used for protection of other primary terrestrial services from analogue television assignments for cases not covered by any ITU-R Recommendation shall be calculated using the following formula:</w:t>
      </w:r>
    </w:p>
    <w:p w:rsidR="00B63DC3" w:rsidRPr="0069500F" w:rsidRDefault="00B63DC3" w:rsidP="00B63DC3">
      <w:pPr>
        <w:pStyle w:val="Equation"/>
        <w:jc w:val="center"/>
        <w:rPr>
          <w:rFonts w:eastAsia="SimSun"/>
          <w:lang w:eastAsia="zh-CN"/>
        </w:rPr>
      </w:pPr>
      <w:r w:rsidRPr="0069500F">
        <w:rPr>
          <w:rFonts w:eastAsia="SimSun"/>
          <w:i/>
          <w:szCs w:val="24"/>
          <w:lang w:eastAsia="zh-CN"/>
        </w:rPr>
        <w:t>F</w:t>
      </w:r>
      <w:r w:rsidRPr="0069500F">
        <w:rPr>
          <w:rFonts w:eastAsia="SimSun"/>
          <w:i/>
          <w:szCs w:val="24"/>
          <w:vertAlign w:val="subscript"/>
          <w:lang w:eastAsia="zh-CN"/>
        </w:rPr>
        <w:t>trigger</w:t>
      </w:r>
      <w:r w:rsidRPr="0069500F">
        <w:rPr>
          <w:rFonts w:eastAsia="SimSun"/>
          <w:i/>
          <w:szCs w:val="24"/>
          <w:lang w:eastAsia="zh-CN"/>
        </w:rPr>
        <w:t xml:space="preserve"> ATV</w:t>
      </w:r>
      <w:r w:rsidRPr="0069500F">
        <w:rPr>
          <w:rFonts w:eastAsia="SimSun"/>
          <w:lang w:eastAsia="zh-CN"/>
        </w:rPr>
        <w:t xml:space="preserve">  =  </w:t>
      </w:r>
      <w:r w:rsidRPr="0069500F">
        <w:rPr>
          <w:rFonts w:eastAsia="SimSun"/>
          <w:i/>
          <w:lang w:eastAsia="zh-CN"/>
        </w:rPr>
        <w:t>F</w:t>
      </w:r>
      <w:r w:rsidRPr="0069500F">
        <w:rPr>
          <w:rFonts w:eastAsia="SimSun"/>
          <w:i/>
          <w:szCs w:val="24"/>
          <w:vertAlign w:val="subscript"/>
          <w:lang w:eastAsia="zh-CN"/>
        </w:rPr>
        <w:t>trigger</w:t>
      </w:r>
      <w:r w:rsidRPr="0069500F">
        <w:rPr>
          <w:rFonts w:eastAsia="SimSun"/>
          <w:i/>
          <w:szCs w:val="24"/>
          <w:lang w:eastAsia="zh-CN"/>
        </w:rPr>
        <w:t xml:space="preserve"> </w:t>
      </w:r>
      <w:r w:rsidRPr="0069500F">
        <w:rPr>
          <w:rFonts w:eastAsia="SimSun"/>
          <w:i/>
          <w:szCs w:val="24"/>
          <w:vertAlign w:val="subscript"/>
          <w:lang w:eastAsia="zh-CN"/>
        </w:rPr>
        <w:t>DVB-T</w:t>
      </w:r>
      <w:r w:rsidRPr="0069500F">
        <w:rPr>
          <w:rFonts w:eastAsia="SimSun"/>
          <w:szCs w:val="24"/>
          <w:lang w:eastAsia="zh-CN"/>
        </w:rPr>
        <w:t xml:space="preserve">  </w:t>
      </w:r>
      <w:r w:rsidRPr="0069500F">
        <w:rPr>
          <w:rFonts w:eastAsia="SimSun"/>
          <w:lang w:eastAsia="zh-CN"/>
        </w:rPr>
        <w:t xml:space="preserve">–  </w:t>
      </w:r>
      <w:r w:rsidRPr="0069500F">
        <w:rPr>
          <w:rFonts w:eastAsia="SimSun"/>
          <w:i/>
          <w:lang w:eastAsia="zh-CN"/>
        </w:rPr>
        <w:t>RPR</w:t>
      </w:r>
    </w:p>
    <w:p w:rsidR="00B63DC3" w:rsidRPr="0069500F" w:rsidRDefault="00B63DC3" w:rsidP="00B63DC3">
      <w:pPr>
        <w:rPr>
          <w:rFonts w:eastAsia="SimSun"/>
          <w:lang w:eastAsia="zh-CN"/>
        </w:rPr>
      </w:pPr>
      <w:r w:rsidRPr="0069500F">
        <w:rPr>
          <w:rFonts w:eastAsia="SimSun"/>
          <w:lang w:eastAsia="zh-CN"/>
        </w:rPr>
        <w:t>where:</w:t>
      </w:r>
    </w:p>
    <w:p w:rsidR="00B63DC3" w:rsidRPr="0069500F" w:rsidRDefault="00B63DC3" w:rsidP="00B63DC3">
      <w:pPr>
        <w:pStyle w:val="EquationLegend"/>
        <w:tabs>
          <w:tab w:val="clear" w:pos="1871"/>
          <w:tab w:val="clear" w:pos="2268"/>
          <w:tab w:val="left" w:pos="2552"/>
        </w:tabs>
        <w:rPr>
          <w:rFonts w:eastAsia="SimSun"/>
          <w:lang w:eastAsia="zh-CN"/>
        </w:rPr>
      </w:pPr>
      <w:r w:rsidRPr="0069500F">
        <w:rPr>
          <w:rFonts w:eastAsia="SimSun"/>
          <w:i/>
          <w:lang w:eastAsia="zh-CN"/>
        </w:rPr>
        <w:t>F</w:t>
      </w:r>
      <w:r w:rsidRPr="0069500F">
        <w:rPr>
          <w:rFonts w:eastAsia="SimSun"/>
          <w:i/>
          <w:szCs w:val="24"/>
          <w:vertAlign w:val="subscript"/>
          <w:lang w:eastAsia="zh-CN"/>
        </w:rPr>
        <w:t>trigger ATV</w:t>
      </w:r>
      <w:r w:rsidRPr="0069500F">
        <w:rPr>
          <w:rFonts w:eastAsia="SimSun"/>
          <w:i/>
          <w:sz w:val="12"/>
          <w:szCs w:val="12"/>
          <w:vertAlign w:val="subscript"/>
          <w:lang w:eastAsia="zh-CN"/>
        </w:rPr>
        <w:t xml:space="preserve"> </w:t>
      </w:r>
      <w:r w:rsidRPr="0069500F">
        <w:rPr>
          <w:rFonts w:eastAsia="SimSun"/>
          <w:lang w:eastAsia="zh-CN"/>
        </w:rPr>
        <w:t>:</w:t>
      </w:r>
      <w:r w:rsidRPr="0069500F">
        <w:rPr>
          <w:rFonts w:eastAsia="SimSun"/>
          <w:lang w:eastAsia="zh-CN"/>
        </w:rPr>
        <w:tab/>
        <w:t>trigger value for analogue television</w:t>
      </w:r>
    </w:p>
    <w:p w:rsidR="00B63DC3" w:rsidRPr="0069500F" w:rsidRDefault="00B63DC3" w:rsidP="00B63DC3">
      <w:pPr>
        <w:pStyle w:val="EquationLegend"/>
        <w:tabs>
          <w:tab w:val="clear" w:pos="1871"/>
          <w:tab w:val="clear" w:pos="2268"/>
          <w:tab w:val="left" w:pos="2552"/>
        </w:tabs>
        <w:rPr>
          <w:rFonts w:eastAsia="SimSun"/>
          <w:lang w:eastAsia="zh-CN"/>
        </w:rPr>
      </w:pPr>
      <w:r w:rsidRPr="0069500F">
        <w:rPr>
          <w:rFonts w:eastAsia="SimSun"/>
          <w:i/>
          <w:lang w:eastAsia="zh-CN"/>
        </w:rPr>
        <w:t>F</w:t>
      </w:r>
      <w:r w:rsidRPr="0069500F">
        <w:rPr>
          <w:rFonts w:eastAsia="SimSun"/>
          <w:i/>
          <w:szCs w:val="24"/>
          <w:vertAlign w:val="subscript"/>
          <w:lang w:eastAsia="zh-CN"/>
        </w:rPr>
        <w:t>trigger DVB-T</w:t>
      </w:r>
      <w:r w:rsidRPr="0069500F">
        <w:rPr>
          <w:rFonts w:eastAsia="SimSun"/>
          <w:i/>
          <w:sz w:val="12"/>
          <w:szCs w:val="12"/>
          <w:vertAlign w:val="subscript"/>
          <w:lang w:eastAsia="zh-CN"/>
        </w:rPr>
        <w:t xml:space="preserve"> </w:t>
      </w:r>
      <w:r w:rsidRPr="0069500F">
        <w:rPr>
          <w:rFonts w:eastAsia="SimSun"/>
          <w:lang w:eastAsia="zh-CN"/>
        </w:rPr>
        <w:t>:</w:t>
      </w:r>
      <w:r w:rsidRPr="0069500F">
        <w:rPr>
          <w:rFonts w:eastAsia="SimSun"/>
          <w:lang w:eastAsia="zh-CN"/>
        </w:rPr>
        <w:tab/>
        <w:t>trigger value for digital television</w:t>
      </w:r>
    </w:p>
    <w:p w:rsidR="00B63DC3" w:rsidRPr="0069500F" w:rsidRDefault="00B63DC3" w:rsidP="00B63DC3">
      <w:pPr>
        <w:pStyle w:val="EquationLegend"/>
        <w:tabs>
          <w:tab w:val="clear" w:pos="1871"/>
          <w:tab w:val="clear" w:pos="2268"/>
          <w:tab w:val="left" w:pos="2552"/>
        </w:tabs>
        <w:ind w:left="2552" w:hanging="1418"/>
      </w:pPr>
      <w:r w:rsidRPr="0069500F">
        <w:rPr>
          <w:rFonts w:eastAsia="SimSun"/>
          <w:i/>
          <w:lang w:eastAsia="zh-CN"/>
        </w:rPr>
        <w:t>RPR</w:t>
      </w:r>
      <w:r w:rsidRPr="0069500F">
        <w:rPr>
          <w:rFonts w:eastAsia="SimSun"/>
          <w:sz w:val="12"/>
          <w:szCs w:val="12"/>
          <w:lang w:eastAsia="zh-CN"/>
        </w:rPr>
        <w:t xml:space="preserve"> </w:t>
      </w:r>
      <w:r w:rsidRPr="0069500F">
        <w:rPr>
          <w:rFonts w:eastAsia="SimSun"/>
          <w:lang w:eastAsia="zh-CN"/>
        </w:rPr>
        <w:t>:</w:t>
      </w:r>
      <w:r w:rsidRPr="0069500F">
        <w:rPr>
          <w:rFonts w:eastAsia="SimSun"/>
          <w:lang w:eastAsia="zh-CN"/>
        </w:rPr>
        <w:tab/>
        <w:t xml:space="preserve">relative protection ratio in accordance with </w:t>
      </w:r>
      <w:r w:rsidRPr="0069500F">
        <w:t>Recommendation ITU</w:t>
      </w:r>
      <w:r w:rsidRPr="0069500F">
        <w:noBreakHyphen/>
        <w:t>R SM.851-1.</w:t>
      </w:r>
    </w:p>
    <w:p w:rsidR="00B63DC3" w:rsidRPr="0069500F" w:rsidRDefault="00B63DC3" w:rsidP="00B63DC3">
      <w:pPr>
        <w:pStyle w:val="Heading9"/>
      </w:pPr>
      <w:r w:rsidRPr="0069500F">
        <w:t>5.2.2</w:t>
      </w:r>
    </w:p>
    <w:p w:rsidR="00B63DC3" w:rsidRPr="0069500F" w:rsidRDefault="00B63DC3" w:rsidP="00B63DC3">
      <w:r w:rsidRPr="0069500F">
        <w:t>1)</w:t>
      </w:r>
      <w:r w:rsidRPr="0069500F">
        <w:tab/>
        <w:t>For carrying out the calculations referred to in this provision, the Bureau will assume that the reference broadcasting station referred to in this provision (with a maximum radiated power of 53 dBW, maximum effective antenna height of 600 m, mixed polarization) operates in DVB-T system with 8 MHz bandwidth in the UHF band and with 7 MHz bandwidth in the VHF band.</w:t>
      </w:r>
    </w:p>
    <w:p w:rsidR="00B63DC3" w:rsidRPr="0069500F" w:rsidRDefault="00B63DC3" w:rsidP="00B63DC3">
      <w:pPr>
        <w:rPr>
          <w:sz w:val="16"/>
          <w:szCs w:val="16"/>
        </w:rPr>
      </w:pPr>
      <w:r w:rsidRPr="0069500F">
        <w:t>2)</w:t>
      </w:r>
      <w:r w:rsidRPr="0069500F">
        <w:tab/>
        <w:t>The maximum coordination distance for aircraft receivers is to be set to 420 km (calculated as a geometrical contour around the service area of the receiving aeronautical station), irrespective of the indications in this provision, given the indications in other relevant provisions (e.g., Nos. 5.1.2 and 5.2.1 in Section I of Annex 4).</w:t>
      </w:r>
    </w:p>
    <w:p w:rsidR="00B63DC3" w:rsidRPr="0069500F" w:rsidRDefault="00B63DC3" w:rsidP="00B63DC3">
      <w:pPr>
        <w:tabs>
          <w:tab w:val="left" w:pos="851"/>
        </w:tabs>
      </w:pPr>
      <w:r w:rsidRPr="0069500F">
        <w:t>3)</w:t>
      </w:r>
      <w:r w:rsidRPr="0069500F">
        <w:tab/>
        <w:t>Given the formulation of § 4.5, which describes the basic assumptions for the construction of the coordination contours for mobile (except aeronautical mobile) stations, the RRB instructed the Bureau to implement the following methodology for the construction of the coordination contour for a receiving station in the mobile (except aeronautical mobile) service intended to operate in a specified service area:</w:t>
      </w:r>
    </w:p>
    <w:p w:rsidR="00B63DC3" w:rsidRPr="0069500F" w:rsidRDefault="00B63DC3" w:rsidP="00B63DC3">
      <w:pPr>
        <w:tabs>
          <w:tab w:val="left" w:pos="851"/>
        </w:tabs>
      </w:pPr>
      <w:r w:rsidRPr="0069500F">
        <w:t>a)</w:t>
      </w:r>
      <w:r w:rsidRPr="0069500F">
        <w:tab/>
        <w:t>Determine the centre of gravity of the specified service area.</w:t>
      </w:r>
    </w:p>
    <w:p w:rsidR="00B63DC3" w:rsidRPr="0069500F" w:rsidRDefault="00B63DC3" w:rsidP="00B63DC3">
      <w:pPr>
        <w:tabs>
          <w:tab w:val="left" w:pos="851"/>
        </w:tabs>
      </w:pPr>
      <w:r w:rsidRPr="0069500F">
        <w:br w:type="page"/>
      </w:r>
      <w:r w:rsidRPr="0069500F">
        <w:lastRenderedPageBreak/>
        <w:t>b)</w:t>
      </w:r>
      <w:r w:rsidRPr="0069500F">
        <w:tab/>
        <w:t>Determine the 360 points on the boundary of the specified service area (“boundary points”) at which the field strength from the reference broadcasting station is evaluated. These boundary points are determined as intersection points of the boundary of the service area and 360 radials centred around the centre of gravity of the specified service area</w:t>
      </w:r>
      <w:r w:rsidRPr="0069500F">
        <w:rPr>
          <w:rStyle w:val="FootnoteReference"/>
          <w:sz w:val="20"/>
        </w:rPr>
        <w:footnoteReference w:customMarkFollows="1" w:id="1"/>
        <w:t>1</w:t>
      </w:r>
      <w:r w:rsidRPr="0069500F">
        <w:t>. In case of multiple intersections of a given radial with the service area, the “boundary point” would be the intersection point which is furthest situated from the centre of gravity.</w:t>
      </w:r>
    </w:p>
    <w:p w:rsidR="00B63DC3" w:rsidRPr="0069500F" w:rsidRDefault="00B63DC3" w:rsidP="00B63DC3">
      <w:pPr>
        <w:tabs>
          <w:tab w:val="left" w:pos="851"/>
        </w:tabs>
      </w:pPr>
      <w:r w:rsidRPr="0069500F">
        <w:t>c)</w:t>
      </w:r>
      <w:r w:rsidRPr="0069500F">
        <w:tab/>
        <w:t>Determine the 360 points on the 1</w:t>
      </w:r>
      <w:r w:rsidRPr="0069500F">
        <w:rPr>
          <w:rFonts w:ascii="Tms Rmn" w:hAnsi="Tms Rmn"/>
          <w:sz w:val="12"/>
        </w:rPr>
        <w:t> </w:t>
      </w:r>
      <w:r w:rsidRPr="0069500F">
        <w:t>000 km geometrical contour (“initial reference transmitter points”) at which the reference broadcasting station is first located. These initial reference transmitter points are determined as intersection points of the 1</w:t>
      </w:r>
      <w:r w:rsidRPr="0069500F">
        <w:rPr>
          <w:rFonts w:ascii="Tms Rmn" w:hAnsi="Tms Rmn"/>
          <w:sz w:val="12"/>
        </w:rPr>
        <w:t> </w:t>
      </w:r>
      <w:r w:rsidRPr="0069500F">
        <w:t>000 km geometrical contour around the specified service area and 360 radials centred around the centre of gravity of the specified service area.</w:t>
      </w:r>
    </w:p>
    <w:p w:rsidR="00B63DC3" w:rsidRPr="0069500F" w:rsidRDefault="00B63DC3" w:rsidP="00B63DC3">
      <w:pPr>
        <w:keepNext/>
        <w:tabs>
          <w:tab w:val="left" w:pos="851"/>
        </w:tabs>
      </w:pPr>
      <w:r w:rsidRPr="0069500F">
        <w:t>d)</w:t>
      </w:r>
      <w:r w:rsidRPr="0069500F">
        <w:tab/>
        <w:t>Determine the coordination distance for each radial as follows:</w:t>
      </w:r>
    </w:p>
    <w:p w:rsidR="00B63DC3" w:rsidRPr="0069500F" w:rsidRDefault="00B63DC3" w:rsidP="00B63DC3">
      <w:pPr>
        <w:tabs>
          <w:tab w:val="left" w:pos="1418"/>
        </w:tabs>
        <w:ind w:left="1418" w:hanging="567"/>
      </w:pPr>
      <w:r w:rsidRPr="0069500F">
        <w:t>1)</w:t>
      </w:r>
      <w:r w:rsidRPr="0069500F">
        <w:tab/>
      </w:r>
      <w:r w:rsidRPr="0069500F">
        <w:tab/>
        <w:t>place the reference broadcasting transmitter at the initial reference transmitter point for this radial and calculate the field strength from this location at all boundary points;</w:t>
      </w:r>
    </w:p>
    <w:p w:rsidR="00B63DC3" w:rsidRPr="0069500F" w:rsidRDefault="00B63DC3" w:rsidP="00B63DC3">
      <w:pPr>
        <w:tabs>
          <w:tab w:val="left" w:pos="1418"/>
        </w:tabs>
        <w:ind w:left="1418" w:hanging="567"/>
      </w:pPr>
      <w:r w:rsidRPr="0069500F">
        <w:t>2)</w:t>
      </w:r>
      <w:r w:rsidRPr="0069500F">
        <w:tab/>
      </w:r>
      <w:r w:rsidRPr="0069500F">
        <w:tab/>
        <w:t>if the field strength from the reference broadcasting station exceeds or is equal to the trigger field strength at any of the “boundary points”, then the initial reference transmitter point determines the coordination distance for this radial;</w:t>
      </w:r>
    </w:p>
    <w:p w:rsidR="00B63DC3" w:rsidRPr="0069500F" w:rsidRDefault="00B63DC3" w:rsidP="00B63DC3">
      <w:pPr>
        <w:tabs>
          <w:tab w:val="left" w:pos="1418"/>
        </w:tabs>
        <w:ind w:left="1418" w:hanging="567"/>
      </w:pPr>
      <w:r w:rsidRPr="0069500F">
        <w:t xml:space="preserve">3) </w:t>
      </w:r>
      <w:r w:rsidRPr="0069500F">
        <w:tab/>
      </w:r>
      <w:r w:rsidRPr="0069500F">
        <w:tab/>
        <w:t>if the field strength from the reference broadcasting station is less than the trigger field strength at all “boundary points”, then the reference broadcasting station is moved along the radial in 10 km steps towards the centre of gravity of the service area until the field strength, produced from this new location, exceeds or is equal to the trigger field strength at any of the “boundary points”. The location of the reference broadcasting station, from which the reference broadcasting station produces a field strength which exceeds or is equal to the trigger field strength at any of the “boundary points”, determines the coordi</w:t>
      </w:r>
      <w:r w:rsidRPr="0069500F">
        <w:softHyphen/>
        <w:t>nation distance for this radial.</w:t>
      </w:r>
    </w:p>
    <w:p w:rsidR="00B63DC3" w:rsidRPr="0069500F" w:rsidRDefault="00B63DC3" w:rsidP="00B63DC3">
      <w:r w:rsidRPr="0069500F">
        <w:t>4)</w:t>
      </w:r>
      <w:r w:rsidRPr="0069500F">
        <w:tab/>
        <w:t>In the case of a receiving airborne station in the aeronautical mobile service or in</w:t>
      </w:r>
      <w:r>
        <w:t>  </w:t>
      </w:r>
      <w:r w:rsidRPr="0069500F">
        <w:t>aeronautical radionavigation service, the Bureau will use the same methodology as the one</w:t>
      </w:r>
      <w:r>
        <w:t>  </w:t>
      </w:r>
      <w:r w:rsidRPr="0069500F">
        <w:t>described in § 3 above, by replacing the 1</w:t>
      </w:r>
      <w:r w:rsidRPr="0069500F">
        <w:rPr>
          <w:rFonts w:ascii="Tms Rmn" w:hAnsi="Tms Rmn"/>
          <w:sz w:val="12"/>
        </w:rPr>
        <w:t> </w:t>
      </w:r>
      <w:r w:rsidRPr="0069500F">
        <w:t>000</w:t>
      </w:r>
      <w:r>
        <w:t xml:space="preserve"> </w:t>
      </w:r>
      <w:r w:rsidRPr="0069500F">
        <w:t>km geometrical contour with 420 km geometrical contour, in accordance with § 2 above.</w:t>
      </w:r>
    </w:p>
    <w:p w:rsidR="00B63DC3" w:rsidRPr="0069500F" w:rsidRDefault="00B63DC3" w:rsidP="00B63DC3"/>
    <w:p w:rsidR="00B63DC3" w:rsidRPr="0069500F" w:rsidRDefault="00B63DC3" w:rsidP="00B63DC3">
      <w:pPr>
        <w:jc w:val="center"/>
      </w:pPr>
      <w:r w:rsidRPr="0069500F">
        <w:t>____________________</w:t>
      </w:r>
    </w:p>
    <w:p w:rsidR="00B63DC3" w:rsidRPr="0069500F" w:rsidRDefault="00B63DC3" w:rsidP="00B63DC3"/>
    <w:p w:rsidR="00B63DC3" w:rsidRPr="0069500F" w:rsidRDefault="00B63DC3" w:rsidP="00B63DC3"/>
    <w:p w:rsidR="00B63DC3" w:rsidRDefault="00B63DC3" w:rsidP="00B63DC3"/>
    <w:p w:rsidR="00B63DC3" w:rsidRPr="0069500F" w:rsidRDefault="00B63DC3" w:rsidP="00B63DC3"/>
    <w:p w:rsidR="00B63DC3" w:rsidRDefault="00B63DC3" w:rsidP="00B63DC3">
      <w:pPr>
        <w:sectPr w:rsidR="00B63DC3" w:rsidSect="00F857B2">
          <w:headerReference w:type="even" r:id="rId16"/>
          <w:headerReference w:type="default" r:id="rId17"/>
          <w:footnotePr>
            <w:pos w:val="beneathText"/>
          </w:footnotePr>
          <w:pgSz w:w="11907" w:h="16840" w:code="9"/>
          <w:pgMar w:top="1701" w:right="851" w:bottom="1134" w:left="1985" w:header="720" w:footer="482" w:gutter="0"/>
          <w:pgNumType w:start="8"/>
          <w:cols w:space="720"/>
          <w:vAlign w:val="both"/>
        </w:sectPr>
      </w:pPr>
    </w:p>
    <w:p w:rsidR="00DF0E47" w:rsidRPr="0069500F" w:rsidRDefault="00DF0E47" w:rsidP="00B63DC3"/>
    <w:sectPr w:rsidR="00DF0E47" w:rsidRPr="0069500F" w:rsidSect="00B63DC3">
      <w:headerReference w:type="first" r:id="rId18"/>
      <w:footerReference w:type="first" r:id="rId19"/>
      <w:footnotePr>
        <w:pos w:val="beneathText"/>
      </w:footnotePr>
      <w:type w:val="oddPage"/>
      <w:pgSz w:w="11907" w:h="16840" w:code="9"/>
      <w:pgMar w:top="1701" w:right="851" w:bottom="1134" w:left="1985" w:header="720" w:footer="482" w:gutter="0"/>
      <w:pgNumType w:start="1"/>
      <w:cols w:space="720"/>
      <w:vAlign w:val="both"/>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0641" w:rsidRDefault="004C0641">
      <w:r>
        <w:separator/>
      </w:r>
    </w:p>
  </w:endnote>
  <w:endnote w:type="continuationSeparator" w:id="0">
    <w:p w:rsidR="004C0641" w:rsidRDefault="004C0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D51" w:rsidRDefault="00ED3D5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0641" w:rsidRDefault="004C0641">
      <w:r>
        <w:rPr>
          <w:b/>
        </w:rPr>
        <w:t>_______________</w:t>
      </w:r>
    </w:p>
  </w:footnote>
  <w:footnote w:type="continuationSeparator" w:id="0">
    <w:p w:rsidR="004C0641" w:rsidRDefault="004C0641">
      <w:r>
        <w:continuationSeparator/>
      </w:r>
    </w:p>
  </w:footnote>
  <w:footnote w:id="1">
    <w:p w:rsidR="00B63DC3" w:rsidRPr="0069500F" w:rsidRDefault="00B63DC3" w:rsidP="00B63DC3">
      <w:pPr>
        <w:pStyle w:val="FootnoteText"/>
        <w:rPr>
          <w:lang w:val="en-US"/>
        </w:rPr>
      </w:pPr>
      <w:r>
        <w:rPr>
          <w:rStyle w:val="FootnoteReference"/>
        </w:rPr>
        <w:t>1</w:t>
      </w:r>
      <w:r>
        <w:t xml:space="preserve"> </w:t>
      </w:r>
      <w:r>
        <w:rPr>
          <w:lang w:val="en-US"/>
        </w:rPr>
        <w:tab/>
      </w:r>
      <w:r>
        <w:t>The service area does not extend beyond the national territory of the administration concerned.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D3D51">
      <w:trPr>
        <w:cantSplit/>
      </w:trPr>
      <w:tc>
        <w:tcPr>
          <w:tcW w:w="1701" w:type="dxa"/>
          <w:tcBorders>
            <w:top w:val="single" w:sz="6" w:space="0" w:color="auto"/>
            <w:left w:val="single" w:sz="6" w:space="0" w:color="auto"/>
            <w:bottom w:val="single" w:sz="6" w:space="0" w:color="auto"/>
            <w:right w:val="single" w:sz="6" w:space="0" w:color="auto"/>
          </w:tcBorders>
        </w:tcPr>
        <w:p w:rsidR="00ED3D51" w:rsidRDefault="00ED3D51" w:rsidP="00D23E43">
          <w:pPr>
            <w:pStyle w:val="HeaderRegProc"/>
            <w:ind w:right="360" w:firstLine="360"/>
          </w:pPr>
          <w:r>
            <w:t>Part A10</w:t>
          </w:r>
        </w:p>
      </w:tc>
      <w:tc>
        <w:tcPr>
          <w:tcW w:w="1701" w:type="dxa"/>
          <w:tcBorders>
            <w:top w:val="single" w:sz="6" w:space="0" w:color="auto"/>
            <w:left w:val="single" w:sz="6" w:space="0" w:color="auto"/>
            <w:bottom w:val="single" w:sz="6" w:space="0" w:color="auto"/>
            <w:right w:val="single" w:sz="6" w:space="0" w:color="auto"/>
          </w:tcBorders>
        </w:tcPr>
        <w:p w:rsidR="00ED3D51" w:rsidRDefault="00CA3D79">
          <w:pPr>
            <w:pStyle w:val="HeaderRegProc"/>
            <w:rPr>
              <w:lang w:val="fr-FR"/>
            </w:rPr>
          </w:pPr>
          <w:r>
            <w:fldChar w:fldCharType="begin"/>
          </w:r>
          <w:r w:rsidR="00C535A6">
            <w:instrText>styleref href2</w:instrText>
          </w:r>
          <w:r>
            <w:fldChar w:fldCharType="separate"/>
          </w:r>
          <w:r w:rsidR="00C77365">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D3D51" w:rsidRDefault="00ED3D51">
          <w:pPr>
            <w:pStyle w:val="HeaderRegProc"/>
            <w:rPr>
              <w:lang w:val="fr-CH"/>
            </w:rPr>
          </w:pPr>
          <w:r>
            <w:rPr>
              <w:lang w:val="fr-FR"/>
            </w:rPr>
            <w:t xml:space="preserve">page </w:t>
          </w:r>
          <w:r w:rsidR="00CA3D79">
            <w:rPr>
              <w:rStyle w:val="PageNumber"/>
            </w:rPr>
            <w:fldChar w:fldCharType="begin"/>
          </w:r>
          <w:r>
            <w:rPr>
              <w:rStyle w:val="PageNumber"/>
            </w:rPr>
            <w:instrText xml:space="preserve">PAGE  </w:instrText>
          </w:r>
          <w:r w:rsidR="00CA3D79">
            <w:rPr>
              <w:rStyle w:val="PageNumber"/>
            </w:rPr>
            <w:fldChar w:fldCharType="separate"/>
          </w:r>
          <w:r w:rsidR="00C77365">
            <w:rPr>
              <w:rStyle w:val="PageNumber"/>
              <w:noProof/>
            </w:rPr>
            <w:t>6</w:t>
          </w:r>
          <w:r w:rsidR="00CA3D79">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D3D51" w:rsidRDefault="00ED3D51">
          <w:pPr>
            <w:pStyle w:val="HeaderRegProc"/>
            <w:rPr>
              <w:lang w:val="fr-CH"/>
            </w:rPr>
          </w:pPr>
          <w:r>
            <w:rPr>
              <w:lang w:val="fr-CH"/>
            </w:rPr>
            <w:t>rev.-</w:t>
          </w:r>
        </w:p>
      </w:tc>
    </w:tr>
  </w:tbl>
  <w:p w:rsidR="00ED3D51" w:rsidRDefault="00ED3D51">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D3D51">
      <w:trPr>
        <w:cantSplit/>
        <w:jc w:val="right"/>
      </w:trPr>
      <w:tc>
        <w:tcPr>
          <w:tcW w:w="1701" w:type="dxa"/>
          <w:tcBorders>
            <w:top w:val="single" w:sz="6" w:space="0" w:color="auto"/>
            <w:left w:val="single" w:sz="6" w:space="0" w:color="auto"/>
            <w:bottom w:val="single" w:sz="6" w:space="0" w:color="auto"/>
            <w:right w:val="single" w:sz="6" w:space="0" w:color="auto"/>
          </w:tcBorders>
        </w:tcPr>
        <w:p w:rsidR="00ED3D51" w:rsidRDefault="00ED3D51"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ED3D51" w:rsidRDefault="00CA3D79">
          <w:pPr>
            <w:pStyle w:val="HeaderRegProc"/>
            <w:rPr>
              <w:lang w:val="fr-FR"/>
            </w:rPr>
          </w:pPr>
          <w:r>
            <w:fldChar w:fldCharType="begin"/>
          </w:r>
          <w:r w:rsidR="00C535A6">
            <w:instrText>styleref href2</w:instrText>
          </w:r>
          <w:r>
            <w:fldChar w:fldCharType="separate"/>
          </w:r>
          <w:r w:rsidR="00C77365">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ED3D51" w:rsidRDefault="00ED3D51">
          <w:pPr>
            <w:pStyle w:val="HeaderRegProc"/>
            <w:rPr>
              <w:lang w:val="fr-CH"/>
            </w:rPr>
          </w:pPr>
          <w:r>
            <w:rPr>
              <w:lang w:val="fr-FR"/>
            </w:rPr>
            <w:t xml:space="preserve">page </w:t>
          </w:r>
          <w:r w:rsidR="00CA3D79">
            <w:rPr>
              <w:rStyle w:val="PageNumber"/>
            </w:rPr>
            <w:fldChar w:fldCharType="begin"/>
          </w:r>
          <w:r>
            <w:rPr>
              <w:rStyle w:val="PageNumber"/>
            </w:rPr>
            <w:instrText xml:space="preserve">PAGE  </w:instrText>
          </w:r>
          <w:r w:rsidR="00CA3D79">
            <w:rPr>
              <w:rStyle w:val="PageNumber"/>
            </w:rPr>
            <w:fldChar w:fldCharType="separate"/>
          </w:r>
          <w:r w:rsidR="00C77365">
            <w:rPr>
              <w:rStyle w:val="PageNumber"/>
              <w:noProof/>
            </w:rPr>
            <w:t>5</w:t>
          </w:r>
          <w:r w:rsidR="00CA3D79">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ED3D51" w:rsidRDefault="00ED3D51">
          <w:pPr>
            <w:pStyle w:val="HeaderRegProc"/>
            <w:rPr>
              <w:lang w:val="fr-CH"/>
            </w:rPr>
          </w:pPr>
          <w:r>
            <w:rPr>
              <w:lang w:val="fr-CH"/>
            </w:rPr>
            <w:t>rev.</w:t>
          </w:r>
          <w:r>
            <w:t>-</w:t>
          </w:r>
        </w:p>
      </w:tc>
    </w:tr>
  </w:tbl>
  <w:p w:rsidR="00ED3D51" w:rsidRDefault="00ED3D5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C77365">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rsidP="00F857B2">
          <w:pPr>
            <w:pStyle w:val="HeaderRegProc"/>
            <w:rPr>
              <w:lang w:val="fr-CH"/>
            </w:rPr>
          </w:pPr>
          <w:r>
            <w:rPr>
              <w:lang w:val="fr-FR"/>
            </w:rPr>
            <w:t xml:space="preserve">page </w:t>
          </w:r>
          <w:r>
            <w:rPr>
              <w:rStyle w:val="PageNumber"/>
            </w:rPr>
            <w:t>7</w:t>
          </w:r>
          <w:r w:rsidRPr="00F857B2">
            <w:rPr>
              <w:rStyle w:val="PageNumber"/>
              <w:i/>
              <w:iCs/>
            </w:rPr>
            <w:t>bis</w:t>
          </w:r>
        </w:p>
      </w:tc>
      <w:tc>
        <w:tcPr>
          <w:tcW w:w="1701" w:type="dxa"/>
          <w:tcBorders>
            <w:top w:val="single" w:sz="6" w:space="0" w:color="auto"/>
            <w:left w:val="single" w:sz="6" w:space="0" w:color="auto"/>
            <w:bottom w:val="single" w:sz="6" w:space="0" w:color="auto"/>
            <w:right w:val="single" w:sz="6" w:space="0" w:color="auto"/>
          </w:tcBorders>
        </w:tcPr>
        <w:p w:rsidR="00F857B2" w:rsidRDefault="00F857B2" w:rsidP="00DC6BD3">
          <w:pPr>
            <w:pStyle w:val="HeaderRegProc"/>
            <w:rPr>
              <w:lang w:val="fr-CH"/>
            </w:rPr>
          </w:pPr>
          <w:r>
            <w:rPr>
              <w:lang w:val="fr-CH"/>
            </w:rPr>
            <w:t>rev.</w:t>
          </w:r>
          <w:r w:rsidR="00DC6BD3">
            <w:rPr>
              <w:lang w:val="fr-CH"/>
            </w:rPr>
            <w:t xml:space="preserve"> 5</w:t>
          </w:r>
        </w:p>
      </w:tc>
    </w:tr>
  </w:tbl>
  <w:p w:rsidR="00F857B2" w:rsidRDefault="00F857B2">
    <w:pPr>
      <w:rPr>
        <w:lang w:val="fr-CH"/>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jc w:val="righ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C77365">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C77365">
            <w:rPr>
              <w:rStyle w:val="PageNumber"/>
              <w:noProof/>
            </w:rPr>
            <w:t>7</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rsidP="00F857B2">
          <w:pPr>
            <w:pStyle w:val="HeaderRegProc"/>
            <w:rPr>
              <w:lang w:val="fr-CH"/>
            </w:rPr>
          </w:pPr>
          <w:r>
            <w:rPr>
              <w:lang w:val="fr-CH"/>
            </w:rPr>
            <w:t>rev.</w:t>
          </w:r>
          <w:r>
            <w:t xml:space="preserve"> 5</w:t>
          </w:r>
        </w:p>
      </w:tc>
    </w:tr>
  </w:tbl>
  <w:p w:rsidR="00F857B2" w:rsidRDefault="00F857B2">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C77365">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C77365">
            <w:rPr>
              <w:rStyle w:val="PageNumber"/>
              <w:noProof/>
            </w:rPr>
            <w:t>8</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CH"/>
            </w:rPr>
            <w:t>rev.-</w:t>
          </w:r>
        </w:p>
      </w:tc>
    </w:tr>
  </w:tbl>
  <w:p w:rsidR="00F857B2" w:rsidRDefault="00F857B2">
    <w:pPr>
      <w:rPr>
        <w:lang w:val="fr-CH"/>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857B2">
      <w:trPr>
        <w:cantSplit/>
        <w:jc w:val="right"/>
      </w:trPr>
      <w:tc>
        <w:tcPr>
          <w:tcW w:w="1701" w:type="dxa"/>
          <w:tcBorders>
            <w:top w:val="single" w:sz="6" w:space="0" w:color="auto"/>
            <w:left w:val="single" w:sz="6" w:space="0" w:color="auto"/>
            <w:bottom w:val="single" w:sz="6" w:space="0" w:color="auto"/>
            <w:right w:val="single" w:sz="6" w:space="0" w:color="auto"/>
          </w:tcBorders>
        </w:tcPr>
        <w:p w:rsidR="00F857B2" w:rsidRDefault="00F857B2" w:rsidP="00D23E43">
          <w:pPr>
            <w:pStyle w:val="HeaderRegProc"/>
            <w:ind w:right="360" w:firstLine="360"/>
            <w:jc w:val="left"/>
          </w:pPr>
          <w:r>
            <w:t>Part A10</w:t>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FR"/>
            </w:rPr>
          </w:pPr>
          <w:r>
            <w:fldChar w:fldCharType="begin"/>
          </w:r>
          <w:r>
            <w:instrText>styleref href2</w:instrText>
          </w:r>
          <w:r>
            <w:fldChar w:fldCharType="separate"/>
          </w:r>
          <w:r w:rsidR="00C77365">
            <w:rPr>
              <w:noProof/>
            </w:rPr>
            <w:t>GE06</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FR"/>
            </w:rPr>
            <w:t xml:space="preserve">page </w:t>
          </w:r>
          <w:r>
            <w:rPr>
              <w:rStyle w:val="PageNumber"/>
            </w:rPr>
            <w:fldChar w:fldCharType="begin"/>
          </w:r>
          <w:r>
            <w:rPr>
              <w:rStyle w:val="PageNumber"/>
            </w:rPr>
            <w:instrText xml:space="preserve">PAGE  </w:instrText>
          </w:r>
          <w:r>
            <w:rPr>
              <w:rStyle w:val="PageNumber"/>
            </w:rPr>
            <w:fldChar w:fldCharType="separate"/>
          </w:r>
          <w:r w:rsidR="00C77365">
            <w:rPr>
              <w:rStyle w:val="PageNumber"/>
              <w:noProof/>
            </w:rPr>
            <w:t>9</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F857B2" w:rsidRDefault="00F857B2">
          <w:pPr>
            <w:pStyle w:val="HeaderRegProc"/>
            <w:rPr>
              <w:lang w:val="fr-CH"/>
            </w:rPr>
          </w:pPr>
          <w:r>
            <w:rPr>
              <w:lang w:val="fr-CH"/>
            </w:rPr>
            <w:t>rev.</w:t>
          </w:r>
          <w:r>
            <w:t>-</w:t>
          </w:r>
        </w:p>
      </w:tc>
    </w:tr>
  </w:tbl>
  <w:p w:rsidR="00F857B2" w:rsidRDefault="00F857B2">
    <w:pPr>
      <w:pStyle w:val="Head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D3D51" w:rsidRDefault="00ED3D5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6B0C38"/>
    <w:multiLevelType w:val="hybridMultilevel"/>
    <w:tmpl w:val="D99A8ED2"/>
    <w:lvl w:ilvl="0" w:tplc="8B52604E">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705BD1"/>
    <w:rsid w:val="00016F65"/>
    <w:rsid w:val="000A2CD9"/>
    <w:rsid w:val="000B4AC9"/>
    <w:rsid w:val="000D4791"/>
    <w:rsid w:val="00105BC1"/>
    <w:rsid w:val="00155795"/>
    <w:rsid w:val="0016133F"/>
    <w:rsid w:val="001F4AA8"/>
    <w:rsid w:val="00232FB0"/>
    <w:rsid w:val="003106BC"/>
    <w:rsid w:val="00362EDF"/>
    <w:rsid w:val="003D115E"/>
    <w:rsid w:val="003F052E"/>
    <w:rsid w:val="004468F6"/>
    <w:rsid w:val="0049691A"/>
    <w:rsid w:val="004A29C9"/>
    <w:rsid w:val="004C0641"/>
    <w:rsid w:val="005034D7"/>
    <w:rsid w:val="00533768"/>
    <w:rsid w:val="00593162"/>
    <w:rsid w:val="005A6A45"/>
    <w:rsid w:val="005D64FA"/>
    <w:rsid w:val="00666193"/>
    <w:rsid w:val="0069500F"/>
    <w:rsid w:val="006C4168"/>
    <w:rsid w:val="006F2FFC"/>
    <w:rsid w:val="006F5691"/>
    <w:rsid w:val="00705BD1"/>
    <w:rsid w:val="007062FD"/>
    <w:rsid w:val="009402A0"/>
    <w:rsid w:val="009F3505"/>
    <w:rsid w:val="00A44FD1"/>
    <w:rsid w:val="00B609A2"/>
    <w:rsid w:val="00B63DC3"/>
    <w:rsid w:val="00BF29F7"/>
    <w:rsid w:val="00C43873"/>
    <w:rsid w:val="00C535A6"/>
    <w:rsid w:val="00C77365"/>
    <w:rsid w:val="00C82C70"/>
    <w:rsid w:val="00C94CCD"/>
    <w:rsid w:val="00CA3D79"/>
    <w:rsid w:val="00CC13B6"/>
    <w:rsid w:val="00CD0511"/>
    <w:rsid w:val="00D23E43"/>
    <w:rsid w:val="00D905BB"/>
    <w:rsid w:val="00D95169"/>
    <w:rsid w:val="00DC6BD3"/>
    <w:rsid w:val="00DF0E47"/>
    <w:rsid w:val="00DF160E"/>
    <w:rsid w:val="00DF1968"/>
    <w:rsid w:val="00E0742F"/>
    <w:rsid w:val="00E1111E"/>
    <w:rsid w:val="00E82821"/>
    <w:rsid w:val="00EA3B45"/>
    <w:rsid w:val="00ED3D51"/>
    <w:rsid w:val="00F327DA"/>
    <w:rsid w:val="00F60C74"/>
    <w:rsid w:val="00F857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6133F"/>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rsid w:val="0016133F"/>
    <w:pPr>
      <w:keepNext/>
      <w:keepLines/>
      <w:tabs>
        <w:tab w:val="clear" w:pos="2268"/>
      </w:tabs>
      <w:spacing w:before="600"/>
      <w:ind w:left="1134" w:hanging="1134"/>
      <w:outlineLvl w:val="0"/>
    </w:pPr>
    <w:rPr>
      <w:b/>
      <w:sz w:val="28"/>
    </w:rPr>
  </w:style>
  <w:style w:type="paragraph" w:styleId="Heading2">
    <w:name w:val="heading 2"/>
    <w:basedOn w:val="Heading1"/>
    <w:next w:val="Normal"/>
    <w:qFormat/>
    <w:rsid w:val="0016133F"/>
    <w:pPr>
      <w:spacing w:before="480"/>
      <w:outlineLvl w:val="1"/>
    </w:pPr>
    <w:rPr>
      <w:sz w:val="26"/>
    </w:rPr>
  </w:style>
  <w:style w:type="paragraph" w:styleId="Heading3">
    <w:name w:val="heading 3"/>
    <w:basedOn w:val="Heading1"/>
    <w:next w:val="Normal"/>
    <w:qFormat/>
    <w:rsid w:val="0016133F"/>
    <w:pPr>
      <w:spacing w:before="360"/>
      <w:outlineLvl w:val="2"/>
    </w:pPr>
    <w:rPr>
      <w:sz w:val="24"/>
    </w:rPr>
  </w:style>
  <w:style w:type="paragraph" w:styleId="Heading4">
    <w:name w:val="heading 4"/>
    <w:basedOn w:val="Heading3"/>
    <w:next w:val="Normal"/>
    <w:qFormat/>
    <w:rsid w:val="0016133F"/>
    <w:pPr>
      <w:outlineLvl w:val="3"/>
    </w:pPr>
  </w:style>
  <w:style w:type="paragraph" w:styleId="Heading5">
    <w:name w:val="heading 5"/>
    <w:basedOn w:val="Heading3"/>
    <w:next w:val="Normal"/>
    <w:qFormat/>
    <w:rsid w:val="0016133F"/>
    <w:pPr>
      <w:outlineLvl w:val="4"/>
    </w:pPr>
  </w:style>
  <w:style w:type="paragraph" w:styleId="Heading6">
    <w:name w:val="heading 6"/>
    <w:basedOn w:val="Heading3"/>
    <w:next w:val="Normal"/>
    <w:qFormat/>
    <w:rsid w:val="0016133F"/>
    <w:pPr>
      <w:outlineLvl w:val="5"/>
    </w:pPr>
  </w:style>
  <w:style w:type="paragraph" w:styleId="Heading7">
    <w:name w:val="heading 7"/>
    <w:basedOn w:val="Heading3"/>
    <w:next w:val="Normal"/>
    <w:qFormat/>
    <w:rsid w:val="0016133F"/>
    <w:pPr>
      <w:outlineLvl w:val="6"/>
    </w:pPr>
  </w:style>
  <w:style w:type="paragraph" w:styleId="Heading8">
    <w:name w:val="heading 8"/>
    <w:basedOn w:val="Heading3"/>
    <w:next w:val="Normal"/>
    <w:qFormat/>
    <w:rsid w:val="0016133F"/>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rsid w:val="0016133F"/>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sid w:val="0016133F"/>
    <w:rPr>
      <w:vertAlign w:val="superscript"/>
    </w:rPr>
  </w:style>
  <w:style w:type="paragraph" w:styleId="TOC8">
    <w:name w:val="toc 8"/>
    <w:basedOn w:val="Normal"/>
    <w:next w:val="Normal"/>
    <w:semiHidden/>
    <w:rsid w:val="0016133F"/>
    <w:pPr>
      <w:tabs>
        <w:tab w:val="left" w:pos="7711"/>
        <w:tab w:val="right" w:leader="dot" w:pos="9725"/>
      </w:tabs>
      <w:ind w:left="6350"/>
    </w:pPr>
  </w:style>
  <w:style w:type="paragraph" w:styleId="TOC7">
    <w:name w:val="toc 7"/>
    <w:basedOn w:val="Normal"/>
    <w:next w:val="Normal"/>
    <w:semiHidden/>
    <w:rsid w:val="0016133F"/>
    <w:pPr>
      <w:tabs>
        <w:tab w:val="left" w:pos="6350"/>
        <w:tab w:val="right" w:leader="dot" w:pos="9725"/>
      </w:tabs>
      <w:ind w:left="5103"/>
    </w:pPr>
  </w:style>
  <w:style w:type="paragraph" w:styleId="TOC6">
    <w:name w:val="toc 6"/>
    <w:basedOn w:val="TOC4"/>
    <w:next w:val="Normal"/>
    <w:semiHidden/>
    <w:rsid w:val="0016133F"/>
    <w:pPr>
      <w:ind w:left="3913"/>
    </w:pPr>
  </w:style>
  <w:style w:type="paragraph" w:styleId="TOC4">
    <w:name w:val="toc 4"/>
    <w:basedOn w:val="TOC3"/>
    <w:next w:val="Normal"/>
    <w:semiHidden/>
    <w:rsid w:val="0016133F"/>
    <w:pPr>
      <w:tabs>
        <w:tab w:val="clear" w:pos="2268"/>
      </w:tabs>
      <w:spacing w:before="80"/>
      <w:ind w:left="3119" w:hanging="851"/>
    </w:pPr>
  </w:style>
  <w:style w:type="paragraph" w:styleId="TOC3">
    <w:name w:val="toc 3"/>
    <w:basedOn w:val="TOC2"/>
    <w:next w:val="Normal"/>
    <w:semiHidden/>
    <w:rsid w:val="0016133F"/>
    <w:pPr>
      <w:tabs>
        <w:tab w:val="clear" w:pos="1985"/>
        <w:tab w:val="left" w:pos="2268"/>
      </w:tabs>
      <w:ind w:left="2268" w:hanging="2268"/>
    </w:pPr>
  </w:style>
  <w:style w:type="paragraph" w:styleId="TOC2">
    <w:name w:val="toc 2"/>
    <w:basedOn w:val="TOC1"/>
    <w:next w:val="Normal"/>
    <w:semiHidden/>
    <w:rsid w:val="0016133F"/>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rsid w:val="0016133F"/>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rsid w:val="0016133F"/>
    <w:pPr>
      <w:tabs>
        <w:tab w:val="clear" w:pos="2268"/>
        <w:tab w:val="left" w:pos="3062"/>
      </w:tabs>
      <w:ind w:left="3062" w:hanging="3062"/>
    </w:pPr>
  </w:style>
  <w:style w:type="paragraph" w:styleId="Index1">
    <w:name w:val="index 1"/>
    <w:basedOn w:val="Normal"/>
    <w:next w:val="Normal"/>
    <w:semiHidden/>
    <w:rsid w:val="0016133F"/>
  </w:style>
  <w:style w:type="paragraph" w:styleId="Footer">
    <w:name w:val="footer"/>
    <w:basedOn w:val="Normal"/>
    <w:rsid w:val="0016133F"/>
    <w:pPr>
      <w:tabs>
        <w:tab w:val="left" w:pos="567"/>
        <w:tab w:val="center" w:pos="3742"/>
        <w:tab w:val="right" w:pos="6974"/>
      </w:tabs>
    </w:pPr>
  </w:style>
  <w:style w:type="paragraph" w:styleId="Header">
    <w:name w:val="header"/>
    <w:basedOn w:val="Normal"/>
    <w:rsid w:val="0016133F"/>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sid w:val="0016133F"/>
    <w:rPr>
      <w:position w:val="6"/>
      <w:sz w:val="16"/>
    </w:rPr>
  </w:style>
  <w:style w:type="paragraph" w:styleId="FootnoteText">
    <w:name w:val="footnote text"/>
    <w:basedOn w:val="Normal"/>
    <w:link w:val="FootnoteTextChar"/>
    <w:semiHidden/>
    <w:rsid w:val="0016133F"/>
    <w:pPr>
      <w:tabs>
        <w:tab w:val="clear" w:pos="1134"/>
        <w:tab w:val="clear" w:pos="1871"/>
        <w:tab w:val="clear" w:pos="2268"/>
        <w:tab w:val="left" w:pos="284"/>
        <w:tab w:val="left" w:pos="1418"/>
      </w:tabs>
      <w:spacing w:before="60"/>
    </w:pPr>
    <w:rPr>
      <w:sz w:val="20"/>
    </w:rPr>
  </w:style>
  <w:style w:type="paragraph" w:styleId="NormalIndent">
    <w:name w:val="Normal Indent"/>
    <w:basedOn w:val="Normal"/>
    <w:rsid w:val="0016133F"/>
    <w:pPr>
      <w:spacing w:before="120"/>
      <w:ind w:left="1134"/>
    </w:pPr>
  </w:style>
  <w:style w:type="paragraph" w:customStyle="1" w:styleId="TableLegend">
    <w:name w:val="Table_Legend"/>
    <w:basedOn w:val="TableText"/>
    <w:next w:val="Normal"/>
    <w:rsid w:val="0016133F"/>
    <w:pPr>
      <w:keepNext/>
      <w:tabs>
        <w:tab w:val="left" w:pos="284"/>
        <w:tab w:val="left" w:pos="567"/>
        <w:tab w:val="left" w:pos="851"/>
        <w:tab w:val="left" w:pos="1134"/>
      </w:tabs>
      <w:spacing w:before="120" w:after="0"/>
    </w:pPr>
  </w:style>
  <w:style w:type="paragraph" w:customStyle="1" w:styleId="TableText">
    <w:name w:val="Table_Text"/>
    <w:basedOn w:val="Normal"/>
    <w:rsid w:val="0016133F"/>
    <w:pPr>
      <w:tabs>
        <w:tab w:val="clear" w:pos="1134"/>
        <w:tab w:val="clear" w:pos="1871"/>
        <w:tab w:val="clear" w:pos="2268"/>
      </w:tabs>
      <w:spacing w:before="40" w:after="40"/>
    </w:pPr>
    <w:rPr>
      <w:sz w:val="20"/>
    </w:rPr>
  </w:style>
  <w:style w:type="paragraph" w:customStyle="1" w:styleId="TableTitle">
    <w:name w:val="Table_Title"/>
    <w:basedOn w:val="Table"/>
    <w:next w:val="TableText"/>
    <w:rsid w:val="0016133F"/>
    <w:pPr>
      <w:spacing w:before="0"/>
    </w:pPr>
    <w:rPr>
      <w:b/>
    </w:rPr>
  </w:style>
  <w:style w:type="paragraph" w:customStyle="1" w:styleId="Table">
    <w:name w:val="Table_#"/>
    <w:basedOn w:val="Normal"/>
    <w:next w:val="TableTitle"/>
    <w:rsid w:val="0016133F"/>
    <w:pPr>
      <w:keepNext/>
      <w:tabs>
        <w:tab w:val="clear" w:pos="1134"/>
        <w:tab w:val="clear" w:pos="1871"/>
        <w:tab w:val="clear" w:pos="2268"/>
      </w:tabs>
      <w:spacing w:before="360" w:after="120"/>
      <w:jc w:val="center"/>
    </w:pPr>
    <w:rPr>
      <w:sz w:val="20"/>
    </w:rPr>
  </w:style>
  <w:style w:type="paragraph" w:customStyle="1" w:styleId="enumlev1">
    <w:name w:val="enumlev1"/>
    <w:basedOn w:val="Normal"/>
    <w:rsid w:val="0016133F"/>
    <w:pPr>
      <w:tabs>
        <w:tab w:val="clear" w:pos="2268"/>
        <w:tab w:val="left" w:pos="2608"/>
        <w:tab w:val="left" w:pos="3345"/>
      </w:tabs>
      <w:spacing w:before="120"/>
      <w:ind w:left="454" w:hanging="454"/>
    </w:pPr>
  </w:style>
  <w:style w:type="paragraph" w:customStyle="1" w:styleId="enumlev2">
    <w:name w:val="enumlev2"/>
    <w:basedOn w:val="enumlev1"/>
    <w:rsid w:val="0016133F"/>
    <w:pPr>
      <w:tabs>
        <w:tab w:val="left" w:pos="907"/>
      </w:tabs>
      <w:ind w:left="908"/>
    </w:pPr>
  </w:style>
  <w:style w:type="paragraph" w:customStyle="1" w:styleId="enumlev3">
    <w:name w:val="enumlev3"/>
    <w:basedOn w:val="enumlev2"/>
    <w:rsid w:val="0016133F"/>
    <w:pPr>
      <w:tabs>
        <w:tab w:val="clear" w:pos="1134"/>
        <w:tab w:val="clear" w:pos="1871"/>
        <w:tab w:val="clear" w:pos="2608"/>
        <w:tab w:val="left" w:pos="1361"/>
      </w:tabs>
      <w:ind w:left="1361"/>
    </w:pPr>
  </w:style>
  <w:style w:type="paragraph" w:customStyle="1" w:styleId="Figure">
    <w:name w:val="Figure"/>
    <w:basedOn w:val="Normal"/>
    <w:rsid w:val="0016133F"/>
    <w:pPr>
      <w:keepNext/>
      <w:keepLines/>
      <w:spacing w:before="240"/>
      <w:jc w:val="center"/>
    </w:pPr>
  </w:style>
  <w:style w:type="paragraph" w:customStyle="1" w:styleId="FigureLegend">
    <w:name w:val="Figure_Legend"/>
    <w:basedOn w:val="TableLegend"/>
    <w:next w:val="Figure0"/>
    <w:rsid w:val="0016133F"/>
  </w:style>
  <w:style w:type="paragraph" w:customStyle="1" w:styleId="Figure0">
    <w:name w:val="Figure_#"/>
    <w:basedOn w:val="Table"/>
    <w:next w:val="FigureTitle"/>
    <w:rsid w:val="0016133F"/>
  </w:style>
  <w:style w:type="paragraph" w:customStyle="1" w:styleId="FigureTitle">
    <w:name w:val="Figure_Title"/>
    <w:basedOn w:val="TableTitle"/>
    <w:next w:val="Normal"/>
    <w:rsid w:val="0016133F"/>
    <w:pPr>
      <w:spacing w:after="720"/>
    </w:pPr>
  </w:style>
  <w:style w:type="paragraph" w:customStyle="1" w:styleId="Annex">
    <w:name w:val="Annex_#"/>
    <w:basedOn w:val="Art"/>
    <w:next w:val="AnnexRef"/>
    <w:rsid w:val="0016133F"/>
  </w:style>
  <w:style w:type="paragraph" w:customStyle="1" w:styleId="Art">
    <w:name w:val="Art_#"/>
    <w:basedOn w:val="Normal"/>
    <w:next w:val="Arttitle"/>
    <w:rsid w:val="0016133F"/>
    <w:pPr>
      <w:keepNext/>
      <w:keepLines/>
      <w:spacing w:before="720"/>
      <w:jc w:val="center"/>
    </w:pPr>
    <w:rPr>
      <w:sz w:val="28"/>
    </w:rPr>
  </w:style>
  <w:style w:type="paragraph" w:customStyle="1" w:styleId="Arttitle">
    <w:name w:val="Art_title"/>
    <w:next w:val="Normalaftertitle"/>
    <w:rsid w:val="0016133F"/>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rsid w:val="0016133F"/>
    <w:pPr>
      <w:spacing w:before="360"/>
    </w:pPr>
  </w:style>
  <w:style w:type="paragraph" w:customStyle="1" w:styleId="AnnexRef">
    <w:name w:val="Annex_Ref"/>
    <w:basedOn w:val="Normal"/>
    <w:rsid w:val="0016133F"/>
    <w:pPr>
      <w:jc w:val="center"/>
    </w:pPr>
  </w:style>
  <w:style w:type="paragraph" w:customStyle="1" w:styleId="AnnexTitle">
    <w:name w:val="Annex_Title"/>
    <w:basedOn w:val="Arttitle"/>
    <w:next w:val="Normal"/>
    <w:rsid w:val="0016133F"/>
    <w:pPr>
      <w:spacing w:after="0"/>
    </w:pPr>
  </w:style>
  <w:style w:type="paragraph" w:customStyle="1" w:styleId="Appendix">
    <w:name w:val="Appendix_#"/>
    <w:basedOn w:val="Art"/>
    <w:next w:val="AppendixTitle"/>
    <w:rsid w:val="0016133F"/>
  </w:style>
  <w:style w:type="paragraph" w:customStyle="1" w:styleId="AppendixTitle">
    <w:name w:val="Appendix_Title"/>
    <w:basedOn w:val="Arttitle"/>
    <w:next w:val="Normal"/>
    <w:rsid w:val="0016133F"/>
  </w:style>
  <w:style w:type="paragraph" w:customStyle="1" w:styleId="headfoot">
    <w:name w:val="head_foot"/>
    <w:basedOn w:val="Normal"/>
    <w:next w:val="Normalaftertitle"/>
    <w:rsid w:val="0016133F"/>
    <w:pPr>
      <w:spacing w:before="0"/>
    </w:pPr>
    <w:rPr>
      <w:color w:val="0000FF"/>
      <w:sz w:val="20"/>
    </w:rPr>
  </w:style>
  <w:style w:type="paragraph" w:customStyle="1" w:styleId="AppendixRef">
    <w:name w:val="Appendix_Ref"/>
    <w:basedOn w:val="AnnexRef"/>
    <w:next w:val="AppendixTitle"/>
    <w:rsid w:val="0016133F"/>
  </w:style>
  <w:style w:type="paragraph" w:customStyle="1" w:styleId="RefTitle">
    <w:name w:val="Ref_Title"/>
    <w:basedOn w:val="Normal"/>
    <w:next w:val="RefText"/>
    <w:rsid w:val="0016133F"/>
    <w:pPr>
      <w:spacing w:before="480"/>
      <w:jc w:val="left"/>
    </w:pPr>
    <w:rPr>
      <w:b/>
    </w:rPr>
  </w:style>
  <w:style w:type="paragraph" w:customStyle="1" w:styleId="RefText">
    <w:name w:val="Ref_Text"/>
    <w:basedOn w:val="Normal"/>
    <w:rsid w:val="0016133F"/>
  </w:style>
  <w:style w:type="paragraph" w:customStyle="1" w:styleId="listitem">
    <w:name w:val="listitem"/>
    <w:basedOn w:val="Normal"/>
    <w:rsid w:val="0016133F"/>
    <w:pPr>
      <w:keepLines/>
      <w:spacing w:before="0"/>
      <w:jc w:val="left"/>
    </w:pPr>
  </w:style>
  <w:style w:type="paragraph" w:customStyle="1" w:styleId="TableRef">
    <w:name w:val="Table_Ref"/>
    <w:basedOn w:val="Normal"/>
    <w:next w:val="TableTitle"/>
    <w:rsid w:val="0016133F"/>
    <w:pPr>
      <w:keepNext/>
      <w:spacing w:before="567"/>
      <w:jc w:val="center"/>
    </w:pPr>
    <w:rPr>
      <w:sz w:val="18"/>
    </w:rPr>
  </w:style>
  <w:style w:type="paragraph" w:customStyle="1" w:styleId="Signcountry">
    <w:name w:val="Sign_country"/>
    <w:basedOn w:val="Normal"/>
    <w:next w:val="SignPart"/>
    <w:rsid w:val="0016133F"/>
    <w:pPr>
      <w:keepNext/>
      <w:keepLines/>
      <w:spacing w:before="240" w:after="57"/>
      <w:jc w:val="left"/>
    </w:pPr>
    <w:rPr>
      <w:b/>
    </w:rPr>
  </w:style>
  <w:style w:type="paragraph" w:customStyle="1" w:styleId="SignPart">
    <w:name w:val="Sign_Part"/>
    <w:basedOn w:val="Signcountry"/>
    <w:rsid w:val="0016133F"/>
    <w:pPr>
      <w:keepNext w:val="0"/>
      <w:keepLines w:val="0"/>
      <w:spacing w:before="0"/>
      <w:ind w:left="284"/>
    </w:pPr>
    <w:rPr>
      <w:b w:val="0"/>
      <w:smallCaps/>
    </w:rPr>
  </w:style>
  <w:style w:type="paragraph" w:customStyle="1" w:styleId="Chap">
    <w:name w:val="Chap_#"/>
    <w:basedOn w:val="Art"/>
    <w:next w:val="Chaptitle"/>
    <w:rsid w:val="0016133F"/>
    <w:pPr>
      <w:spacing w:before="1200"/>
    </w:pPr>
    <w:rPr>
      <w:sz w:val="32"/>
    </w:rPr>
  </w:style>
  <w:style w:type="paragraph" w:customStyle="1" w:styleId="Chaptitle">
    <w:name w:val="Chap_title"/>
    <w:basedOn w:val="Arttitle"/>
    <w:next w:val="Art"/>
    <w:rsid w:val="0016133F"/>
    <w:rPr>
      <w:sz w:val="32"/>
    </w:rPr>
  </w:style>
  <w:style w:type="paragraph" w:customStyle="1" w:styleId="Protfin">
    <w:name w:val="Prot_fin"/>
    <w:basedOn w:val="Normal"/>
    <w:next w:val="Normalaftertitle"/>
    <w:rsid w:val="0016133F"/>
    <w:pPr>
      <w:pageBreakBefore/>
      <w:spacing w:before="720" w:after="240"/>
      <w:jc w:val="center"/>
    </w:pPr>
    <w:rPr>
      <w:b/>
    </w:rPr>
  </w:style>
  <w:style w:type="paragraph" w:customStyle="1" w:styleId="Prot">
    <w:name w:val="Prot_#"/>
    <w:basedOn w:val="Normal"/>
    <w:next w:val="Protlang"/>
    <w:rsid w:val="0016133F"/>
    <w:pPr>
      <w:keepNext/>
      <w:spacing w:before="240"/>
      <w:jc w:val="center"/>
    </w:pPr>
  </w:style>
  <w:style w:type="paragraph" w:customStyle="1" w:styleId="Protlang">
    <w:name w:val="Prot_lang"/>
    <w:basedOn w:val="Prot"/>
    <w:next w:val="Protpays"/>
    <w:rsid w:val="0016133F"/>
    <w:pPr>
      <w:keepLines/>
      <w:framePr w:hSpace="181" w:vSpace="181" w:wrap="auto" w:hAnchor="text" w:xAlign="right"/>
      <w:spacing w:before="0"/>
      <w:jc w:val="right"/>
    </w:pPr>
    <w:rPr>
      <w:i/>
      <w:sz w:val="18"/>
    </w:rPr>
  </w:style>
  <w:style w:type="paragraph" w:customStyle="1" w:styleId="Protpays">
    <w:name w:val="Prot_pays"/>
    <w:basedOn w:val="Protlang"/>
    <w:next w:val="headfoot"/>
    <w:rsid w:val="0016133F"/>
    <w:pPr>
      <w:framePr w:wrap="auto"/>
      <w:spacing w:before="113" w:line="199" w:lineRule="exact"/>
      <w:jc w:val="left"/>
    </w:pPr>
  </w:style>
  <w:style w:type="paragraph" w:customStyle="1" w:styleId="Prottexte">
    <w:name w:val="Prot_texte"/>
    <w:basedOn w:val="Protlang"/>
    <w:rsid w:val="0016133F"/>
    <w:pPr>
      <w:keepNext w:val="0"/>
      <w:keepLines w:val="0"/>
      <w:framePr w:wrap="auto"/>
      <w:spacing w:before="113" w:line="199" w:lineRule="exact"/>
      <w:jc w:val="both"/>
    </w:pPr>
    <w:rPr>
      <w:i w:val="0"/>
    </w:rPr>
  </w:style>
  <w:style w:type="paragraph" w:customStyle="1" w:styleId="Protcall">
    <w:name w:val="Prot_call"/>
    <w:basedOn w:val="Prottexte"/>
    <w:next w:val="Prottexte"/>
    <w:rsid w:val="0016133F"/>
    <w:pPr>
      <w:keepNext/>
      <w:keepLines/>
      <w:framePr w:wrap="auto" w:xAlign="left"/>
      <w:spacing w:before="170"/>
      <w:ind w:left="794"/>
      <w:jc w:val="left"/>
    </w:pPr>
    <w:rPr>
      <w:i/>
    </w:rPr>
  </w:style>
  <w:style w:type="paragraph" w:customStyle="1" w:styleId="Res">
    <w:name w:val="Res_#"/>
    <w:basedOn w:val="Art"/>
    <w:next w:val="Restitle"/>
    <w:rsid w:val="0016133F"/>
  </w:style>
  <w:style w:type="paragraph" w:customStyle="1" w:styleId="Restitle">
    <w:name w:val="Res_title"/>
    <w:basedOn w:val="Arttitle"/>
    <w:next w:val="headfoot"/>
    <w:rsid w:val="0016133F"/>
    <w:pPr>
      <w:spacing w:after="120"/>
    </w:pPr>
  </w:style>
  <w:style w:type="paragraph" w:customStyle="1" w:styleId="Rec">
    <w:name w:val="Rec_#"/>
    <w:basedOn w:val="Res"/>
    <w:next w:val="Rectitle"/>
    <w:rsid w:val="0016133F"/>
  </w:style>
  <w:style w:type="paragraph" w:customStyle="1" w:styleId="Rectitle">
    <w:name w:val="Rec_title"/>
    <w:basedOn w:val="Restitle"/>
    <w:next w:val="headfoot"/>
    <w:rsid w:val="0016133F"/>
  </w:style>
  <w:style w:type="paragraph" w:customStyle="1" w:styleId="Equation">
    <w:name w:val="Equation"/>
    <w:basedOn w:val="Normal"/>
    <w:rsid w:val="0016133F"/>
    <w:pPr>
      <w:tabs>
        <w:tab w:val="clear" w:pos="1871"/>
        <w:tab w:val="clear" w:pos="2268"/>
        <w:tab w:val="center" w:pos="4678"/>
        <w:tab w:val="right" w:pos="9356"/>
      </w:tabs>
      <w:jc w:val="left"/>
    </w:pPr>
  </w:style>
  <w:style w:type="paragraph" w:customStyle="1" w:styleId="Note">
    <w:name w:val="Note"/>
    <w:basedOn w:val="Normal"/>
    <w:rsid w:val="0016133F"/>
    <w:pPr>
      <w:tabs>
        <w:tab w:val="left" w:pos="284"/>
      </w:tabs>
      <w:spacing w:before="160"/>
    </w:pPr>
    <w:rPr>
      <w:sz w:val="20"/>
    </w:rPr>
  </w:style>
  <w:style w:type="paragraph" w:customStyle="1" w:styleId="Signcountry0">
    <w:name w:val="Sign country"/>
    <w:basedOn w:val="Normal"/>
    <w:next w:val="Signpart0"/>
    <w:rsid w:val="0016133F"/>
    <w:pPr>
      <w:keepNext/>
      <w:keepLines/>
      <w:spacing w:before="240" w:after="57"/>
      <w:jc w:val="left"/>
    </w:pPr>
    <w:rPr>
      <w:b/>
    </w:rPr>
  </w:style>
  <w:style w:type="paragraph" w:customStyle="1" w:styleId="Signpart0">
    <w:name w:val="Sign part"/>
    <w:basedOn w:val="Signcountry0"/>
    <w:rsid w:val="0016133F"/>
    <w:pPr>
      <w:keepNext w:val="0"/>
      <w:keepLines w:val="0"/>
      <w:spacing w:before="0"/>
      <w:ind w:left="284"/>
    </w:pPr>
    <w:rPr>
      <w:b w:val="0"/>
      <w:smallCaps/>
    </w:rPr>
  </w:style>
  <w:style w:type="paragraph" w:customStyle="1" w:styleId="Section1">
    <w:name w:val="Section_1"/>
    <w:basedOn w:val="Normal"/>
    <w:rsid w:val="0016133F"/>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rsid w:val="0016133F"/>
    <w:pPr>
      <w:pageBreakBefore/>
      <w:spacing w:before="720" w:after="240"/>
      <w:jc w:val="center"/>
    </w:pPr>
    <w:rPr>
      <w:b/>
    </w:rPr>
  </w:style>
  <w:style w:type="paragraph" w:customStyle="1" w:styleId="Prot0">
    <w:name w:val="Prot #"/>
    <w:basedOn w:val="Normal"/>
    <w:next w:val="Protlang0"/>
    <w:rsid w:val="0016133F"/>
    <w:pPr>
      <w:keepNext/>
      <w:spacing w:before="240"/>
      <w:jc w:val="center"/>
    </w:pPr>
  </w:style>
  <w:style w:type="paragraph" w:customStyle="1" w:styleId="Protlang0">
    <w:name w:val="Prot lang"/>
    <w:basedOn w:val="Prot0"/>
    <w:next w:val="Protpays0"/>
    <w:rsid w:val="0016133F"/>
    <w:pPr>
      <w:keepLines/>
      <w:framePr w:hSpace="181" w:vSpace="181" w:wrap="auto" w:hAnchor="text" w:xAlign="right"/>
      <w:spacing w:before="0"/>
      <w:jc w:val="right"/>
    </w:pPr>
    <w:rPr>
      <w:i/>
      <w:sz w:val="18"/>
    </w:rPr>
  </w:style>
  <w:style w:type="paragraph" w:customStyle="1" w:styleId="Protpays0">
    <w:name w:val="Prot pays"/>
    <w:basedOn w:val="Protlang0"/>
    <w:next w:val="headfoot"/>
    <w:rsid w:val="0016133F"/>
    <w:pPr>
      <w:framePr w:wrap="auto"/>
      <w:spacing w:before="113" w:line="199" w:lineRule="exact"/>
      <w:jc w:val="left"/>
    </w:pPr>
  </w:style>
  <w:style w:type="paragraph" w:customStyle="1" w:styleId="Prottexte0">
    <w:name w:val="Prot texte"/>
    <w:basedOn w:val="Protlang0"/>
    <w:rsid w:val="0016133F"/>
    <w:pPr>
      <w:keepNext w:val="0"/>
      <w:keepLines w:val="0"/>
      <w:framePr w:wrap="auto"/>
      <w:spacing w:before="113" w:line="199" w:lineRule="exact"/>
      <w:jc w:val="both"/>
    </w:pPr>
    <w:rPr>
      <w:i w:val="0"/>
    </w:rPr>
  </w:style>
  <w:style w:type="paragraph" w:customStyle="1" w:styleId="Protcall0">
    <w:name w:val="Prot call"/>
    <w:basedOn w:val="Prottexte0"/>
    <w:next w:val="Prottexte0"/>
    <w:rsid w:val="0016133F"/>
    <w:pPr>
      <w:keepNext/>
      <w:keepLines/>
      <w:framePr w:wrap="auto" w:xAlign="left"/>
      <w:spacing w:before="170"/>
      <w:ind w:left="794"/>
      <w:jc w:val="left"/>
    </w:pPr>
    <w:rPr>
      <w:i/>
    </w:rPr>
  </w:style>
  <w:style w:type="character" w:styleId="PageNumber">
    <w:name w:val="page number"/>
    <w:basedOn w:val="DefaultParagraphFont"/>
    <w:rsid w:val="0016133F"/>
  </w:style>
  <w:style w:type="paragraph" w:customStyle="1" w:styleId="TableFin">
    <w:name w:val="Table_Fin"/>
    <w:basedOn w:val="Normal"/>
    <w:rsid w:val="0016133F"/>
    <w:pPr>
      <w:tabs>
        <w:tab w:val="clear" w:pos="1134"/>
      </w:tabs>
      <w:spacing w:before="0"/>
    </w:pPr>
    <w:rPr>
      <w:sz w:val="12"/>
    </w:rPr>
  </w:style>
  <w:style w:type="paragraph" w:customStyle="1" w:styleId="MEP">
    <w:name w:val="MEP"/>
    <w:basedOn w:val="Normal"/>
    <w:rsid w:val="0016133F"/>
  </w:style>
  <w:style w:type="paragraph" w:customStyle="1" w:styleId="head">
    <w:name w:val="head"/>
    <w:basedOn w:val="headfoot"/>
    <w:rsid w:val="0016133F"/>
  </w:style>
  <w:style w:type="paragraph" w:customStyle="1" w:styleId="foot">
    <w:name w:val="foot"/>
    <w:basedOn w:val="headfoot"/>
    <w:rsid w:val="0016133F"/>
  </w:style>
  <w:style w:type="character" w:customStyle="1" w:styleId="href">
    <w:name w:val="href"/>
    <w:basedOn w:val="DefaultParagraphFont"/>
    <w:rsid w:val="0016133F"/>
  </w:style>
  <w:style w:type="paragraph" w:customStyle="1" w:styleId="Section2">
    <w:name w:val="Section_2"/>
    <w:basedOn w:val="Section1"/>
    <w:rsid w:val="0016133F"/>
    <w:pPr>
      <w:jc w:val="left"/>
    </w:pPr>
    <w:rPr>
      <w:b w:val="0"/>
      <w:i/>
    </w:rPr>
  </w:style>
  <w:style w:type="paragraph" w:customStyle="1" w:styleId="Section3">
    <w:name w:val="Section_3"/>
    <w:basedOn w:val="Section1"/>
    <w:rsid w:val="0016133F"/>
    <w:rPr>
      <w:b w:val="0"/>
    </w:rPr>
  </w:style>
  <w:style w:type="paragraph" w:customStyle="1" w:styleId="EquationLegend">
    <w:name w:val="Equation_Legend"/>
    <w:basedOn w:val="NormalIndent"/>
    <w:rsid w:val="0016133F"/>
  </w:style>
  <w:style w:type="paragraph" w:customStyle="1" w:styleId="Call">
    <w:name w:val="Call"/>
    <w:basedOn w:val="Normal"/>
    <w:next w:val="Normal"/>
    <w:rsid w:val="0016133F"/>
    <w:pPr>
      <w:tabs>
        <w:tab w:val="clear" w:pos="1871"/>
        <w:tab w:val="clear" w:pos="2268"/>
      </w:tabs>
      <w:spacing w:before="360"/>
      <w:ind w:left="1134"/>
    </w:pPr>
    <w:rPr>
      <w:i/>
    </w:rPr>
  </w:style>
  <w:style w:type="paragraph" w:customStyle="1" w:styleId="Headingb">
    <w:name w:val="Heading b"/>
    <w:basedOn w:val="Heading3"/>
    <w:rsid w:val="0016133F"/>
    <w:pPr>
      <w:spacing w:before="400"/>
      <w:ind w:left="0" w:firstLine="0"/>
      <w:outlineLvl w:val="9"/>
    </w:pPr>
  </w:style>
  <w:style w:type="paragraph" w:customStyle="1" w:styleId="TableHead">
    <w:name w:val="Table_Head"/>
    <w:basedOn w:val="TableText"/>
    <w:next w:val="TableText"/>
    <w:rsid w:val="0016133F"/>
    <w:pPr>
      <w:spacing w:before="80" w:after="80"/>
      <w:jc w:val="center"/>
    </w:pPr>
    <w:rPr>
      <w:b/>
    </w:rPr>
  </w:style>
  <w:style w:type="paragraph" w:customStyle="1" w:styleId="Line">
    <w:name w:val="Line"/>
    <w:basedOn w:val="Normal"/>
    <w:next w:val="Normal"/>
    <w:rsid w:val="0016133F"/>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sid w:val="0016133F"/>
    <w:rPr>
      <w:b w:val="0"/>
      <w:i/>
    </w:rPr>
  </w:style>
  <w:style w:type="paragraph" w:styleId="TableofFigures">
    <w:name w:val="table of figures"/>
    <w:basedOn w:val="Normal"/>
    <w:next w:val="Normal"/>
    <w:semiHidden/>
    <w:rsid w:val="0016133F"/>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rsid w:val="0016133F"/>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sid w:val="0016133F"/>
    <w:rPr>
      <w:sz w:val="16"/>
    </w:rPr>
  </w:style>
  <w:style w:type="paragraph" w:styleId="CommentText">
    <w:name w:val="annotation text"/>
    <w:basedOn w:val="Normal"/>
    <w:semiHidden/>
    <w:rsid w:val="0016133F"/>
    <w:rPr>
      <w:sz w:val="20"/>
      <w:lang w:val="fr-FR"/>
    </w:rPr>
  </w:style>
  <w:style w:type="paragraph" w:customStyle="1" w:styleId="Tabletext0">
    <w:name w:val="Table_text"/>
    <w:basedOn w:val="Normal"/>
    <w:rsid w:val="0016133F"/>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rsid w:val="0016133F"/>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rsid w:val="0016133F"/>
    <w:pPr>
      <w:keepNext/>
      <w:spacing w:before="80" w:after="80"/>
      <w:jc w:val="center"/>
    </w:pPr>
    <w:rPr>
      <w:b/>
    </w:rPr>
  </w:style>
  <w:style w:type="character" w:customStyle="1" w:styleId="Artrefdef">
    <w:name w:val="Art_ref_def"/>
    <w:basedOn w:val="DefaultParagraphFont"/>
    <w:rsid w:val="0016133F"/>
  </w:style>
  <w:style w:type="character" w:customStyle="1" w:styleId="Apprefdef">
    <w:name w:val="App_ref_def"/>
    <w:basedOn w:val="DefaultParagraphFont"/>
    <w:rsid w:val="0016133F"/>
  </w:style>
  <w:style w:type="character" w:customStyle="1" w:styleId="Resrefdef">
    <w:name w:val="Res_ref_def"/>
    <w:basedOn w:val="DefaultParagraphFont"/>
    <w:rsid w:val="0016133F"/>
  </w:style>
  <w:style w:type="paragraph" w:customStyle="1" w:styleId="HeaderRegProc">
    <w:name w:val="Header_RegProc"/>
    <w:basedOn w:val="Normal"/>
    <w:rsid w:val="0016133F"/>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rsid w:val="0016133F"/>
    <w:pPr>
      <w:tabs>
        <w:tab w:val="clear" w:pos="907"/>
        <w:tab w:val="left" w:pos="1814"/>
      </w:tabs>
      <w:spacing w:before="80"/>
      <w:ind w:left="1815"/>
    </w:pPr>
    <w:rPr>
      <w:lang w:val="fr-CH"/>
    </w:rPr>
  </w:style>
  <w:style w:type="character" w:customStyle="1" w:styleId="href2">
    <w:name w:val="href2"/>
    <w:basedOn w:val="href"/>
    <w:rsid w:val="0016133F"/>
  </w:style>
  <w:style w:type="character" w:customStyle="1" w:styleId="Style1">
    <w:name w:val="Style1"/>
    <w:basedOn w:val="DefaultParagraphFont"/>
    <w:rsid w:val="0016133F"/>
  </w:style>
  <w:style w:type="character" w:customStyle="1" w:styleId="Appdef">
    <w:name w:val="App_def"/>
    <w:basedOn w:val="DefaultParagraphFont"/>
    <w:rsid w:val="0016133F"/>
    <w:rPr>
      <w:b/>
      <w:color w:val="FFCC00"/>
    </w:rPr>
  </w:style>
  <w:style w:type="character" w:customStyle="1" w:styleId="Appref">
    <w:name w:val="App_ref"/>
    <w:basedOn w:val="DefaultParagraphFont"/>
    <w:rsid w:val="0016133F"/>
    <w:rPr>
      <w:color w:val="3366FF"/>
    </w:rPr>
  </w:style>
  <w:style w:type="character" w:customStyle="1" w:styleId="Artdef">
    <w:name w:val="Art_def"/>
    <w:basedOn w:val="DefaultParagraphFont"/>
    <w:rsid w:val="0016133F"/>
    <w:rPr>
      <w:b/>
      <w:color w:val="FFCC00"/>
    </w:rPr>
  </w:style>
  <w:style w:type="character" w:customStyle="1" w:styleId="Artref">
    <w:name w:val="Art_ref"/>
    <w:basedOn w:val="DefaultParagraphFont"/>
    <w:rsid w:val="0016133F"/>
    <w:rPr>
      <w:color w:val="3366FF"/>
    </w:rPr>
  </w:style>
  <w:style w:type="character" w:customStyle="1" w:styleId="Recdef">
    <w:name w:val="Rec_def"/>
    <w:basedOn w:val="DefaultParagraphFont"/>
    <w:rsid w:val="0016133F"/>
    <w:rPr>
      <w:b/>
      <w:color w:val="FFCC00"/>
    </w:rPr>
  </w:style>
  <w:style w:type="character" w:customStyle="1" w:styleId="Recref">
    <w:name w:val="Rec_ref"/>
    <w:basedOn w:val="DefaultParagraphFont"/>
    <w:rsid w:val="0016133F"/>
    <w:rPr>
      <w:color w:val="3366FF"/>
    </w:rPr>
  </w:style>
  <w:style w:type="character" w:customStyle="1" w:styleId="Resdef">
    <w:name w:val="Res_def"/>
    <w:basedOn w:val="DefaultParagraphFont"/>
    <w:rsid w:val="0016133F"/>
    <w:rPr>
      <w:b/>
      <w:color w:val="FFCC00"/>
    </w:rPr>
  </w:style>
  <w:style w:type="character" w:customStyle="1" w:styleId="Resref">
    <w:name w:val="Res_ref"/>
    <w:basedOn w:val="DefaultParagraphFont"/>
    <w:rsid w:val="0016133F"/>
    <w:rPr>
      <w:color w:val="3366FF"/>
    </w:rPr>
  </w:style>
  <w:style w:type="character" w:customStyle="1" w:styleId="Tableref0">
    <w:name w:val="Table_ref"/>
    <w:basedOn w:val="DefaultParagraphFont"/>
    <w:rsid w:val="0016133F"/>
    <w:rPr>
      <w:color w:val="3366FF"/>
    </w:rPr>
  </w:style>
  <w:style w:type="character" w:customStyle="1" w:styleId="Appref0">
    <w:name w:val="App#_ref"/>
    <w:basedOn w:val="DefaultParagraphFont"/>
    <w:rsid w:val="0016133F"/>
  </w:style>
  <w:style w:type="character" w:customStyle="1" w:styleId="Artref0">
    <w:name w:val="Art#_ref"/>
    <w:basedOn w:val="DefaultParagraphFont"/>
    <w:rsid w:val="0016133F"/>
  </w:style>
  <w:style w:type="character" w:customStyle="1" w:styleId="Resref0">
    <w:name w:val="Res#_ref"/>
    <w:basedOn w:val="DefaultParagraphFont"/>
    <w:rsid w:val="0016133F"/>
  </w:style>
  <w:style w:type="character" w:customStyle="1" w:styleId="FootnoteTextChar">
    <w:name w:val="Footnote Text Char"/>
    <w:basedOn w:val="DefaultParagraphFont"/>
    <w:link w:val="FootnoteText"/>
    <w:semiHidden/>
    <w:rsid w:val="00BF29F7"/>
    <w:rPr>
      <w:lang w:val="en-GB" w:eastAsia="en-US" w:bidi="ar-SA"/>
    </w:rPr>
  </w:style>
  <w:style w:type="paragraph" w:customStyle="1" w:styleId="Char">
    <w:name w:val="Char"/>
    <w:basedOn w:val="Normal"/>
    <w:rsid w:val="00BF29F7"/>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paragraph" w:customStyle="1" w:styleId="TabletitleBR">
    <w:name w:val="Table_title_BR"/>
    <w:basedOn w:val="Normal"/>
    <w:next w:val="Tablehead0"/>
    <w:rsid w:val="00232FB0"/>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table" w:styleId="TableGrid">
    <w:name w:val="Table Grid"/>
    <w:basedOn w:val="TableNormal"/>
    <w:rsid w:val="00232FB0"/>
    <w:pPr>
      <w:tabs>
        <w:tab w:val="left" w:pos="1134"/>
        <w:tab w:val="left" w:pos="1871"/>
        <w:tab w:val="left" w:pos="2268"/>
      </w:tabs>
      <w:overflowPunct w:val="0"/>
      <w:autoSpaceDE w:val="0"/>
      <w:autoSpaceDN w:val="0"/>
      <w:adjustRightInd w:val="0"/>
      <w:spacing w:before="20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Questiontitle">
    <w:name w:val="Question_title"/>
    <w:basedOn w:val="Rectitle"/>
    <w:next w:val="Normal"/>
    <w:rsid w:val="00232FB0"/>
    <w:pPr>
      <w:tabs>
        <w:tab w:val="left" w:pos="794"/>
        <w:tab w:val="left" w:pos="1191"/>
        <w:tab w:val="left" w:pos="1588"/>
        <w:tab w:val="left" w:pos="1985"/>
      </w:tabs>
      <w:spacing w:before="360" w:after="0"/>
    </w:pPr>
    <w:rPr>
      <w:noProof w:val="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header" Target="header7.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12</TotalTime>
  <Pages>13</Pages>
  <Words>3783</Words>
  <Characters>20414</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24149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GE06 du RR</dc:subject>
  <dc:creator>Composition des Publications</dc:creator>
  <cp:keywords>FOLIOS:  1  -  4</cp:keywords>
  <dc:description>Edition 2009:  10.02.2009/SdN_x000d_
Corr. 24.02.2009/DD  (dict. ok)_x000d_
Corr. ULT:  27.02.2009/DD _x000d_
</dc:description>
  <cp:lastModifiedBy>Al-Yammouni, Hala</cp:lastModifiedBy>
  <cp:revision>6</cp:revision>
  <cp:lastPrinted>2009-02-24T12:26:00Z</cp:lastPrinted>
  <dcterms:created xsi:type="dcterms:W3CDTF">2012-10-04T09:51:00Z</dcterms:created>
  <dcterms:modified xsi:type="dcterms:W3CDTF">2013-12-17T15:05:00Z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