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297" w:rsidRPr="004C01D1" w:rsidRDefault="00770297" w:rsidP="004C01D1">
      <w:pPr>
        <w:pStyle w:val="Heading1"/>
        <w:spacing w:before="300"/>
        <w:ind w:left="0" w:firstLine="0"/>
        <w:jc w:val="center"/>
        <w:rPr>
          <w:color w:val="000000"/>
        </w:rPr>
      </w:pPr>
      <w:r w:rsidRPr="004C01D1">
        <w:rPr>
          <w:color w:val="000000"/>
        </w:rPr>
        <w:t>Rules concerning</w:t>
      </w:r>
    </w:p>
    <w:p w:rsidR="00770297" w:rsidRDefault="00770297" w:rsidP="006F31B3">
      <w:pPr>
        <w:pStyle w:val="Heading2"/>
        <w:spacing w:before="240"/>
        <w:jc w:val="center"/>
        <w:rPr>
          <w:color w:val="000000"/>
        </w:rPr>
      </w:pPr>
      <w:r w:rsidRPr="004C01D1">
        <w:rPr>
          <w:color w:val="000000"/>
        </w:rPr>
        <w:t xml:space="preserve">APPENDIX  </w:t>
      </w:r>
      <w:r w:rsidRPr="004C01D1">
        <w:rPr>
          <w:rStyle w:val="href2"/>
          <w:color w:val="000000"/>
        </w:rPr>
        <w:t>30B</w:t>
      </w:r>
      <w:r w:rsidRPr="004C01D1">
        <w:rPr>
          <w:color w:val="000000"/>
        </w:rPr>
        <w:t xml:space="preserve"> to the RR</w:t>
      </w:r>
    </w:p>
    <w:p w:rsidR="004C01D1" w:rsidRPr="004C01D1" w:rsidRDefault="004C01D1" w:rsidP="004C01D1"/>
    <w:p w:rsidR="00365999" w:rsidRPr="004C01D1" w:rsidRDefault="00365999" w:rsidP="004C01D1">
      <w:pPr>
        <w:pStyle w:val="Heading8"/>
        <w:rPr>
          <w:color w:val="000000"/>
        </w:rPr>
      </w:pPr>
      <w:r w:rsidRPr="004C01D1">
        <w:rPr>
          <w:color w:val="000000"/>
        </w:rPr>
        <w:t>Art. 4</w:t>
      </w:r>
    </w:p>
    <w:p w:rsidR="00365999" w:rsidRPr="004C01D1" w:rsidRDefault="00365999" w:rsidP="00365999">
      <w:pPr>
        <w:pStyle w:val="Heading2"/>
        <w:spacing w:before="0"/>
        <w:ind w:left="0" w:firstLine="0"/>
        <w:jc w:val="center"/>
        <w:rPr>
          <w:color w:val="000000"/>
        </w:rPr>
      </w:pPr>
      <w:r w:rsidRPr="004C01D1">
        <w:rPr>
          <w:color w:val="000000"/>
        </w:rPr>
        <w:t>Execution of the provisions and associated Plan</w:t>
      </w:r>
    </w:p>
    <w:p w:rsidR="00365999" w:rsidRPr="004C01D1" w:rsidRDefault="00365999" w:rsidP="00365999">
      <w:pPr>
        <w:pStyle w:val="Heading8"/>
        <w:rPr>
          <w:color w:val="000000"/>
        </w:rPr>
      </w:pPr>
      <w:r w:rsidRPr="004C01D1">
        <w:rPr>
          <w:color w:val="000000"/>
        </w:rPr>
        <w:t>4.</w:t>
      </w:r>
      <w:r w:rsidRPr="004C01D1">
        <w:rPr>
          <w:rStyle w:val="href"/>
        </w:rPr>
        <w:t>1</w:t>
      </w:r>
    </w:p>
    <w:p w:rsidR="00365999" w:rsidRPr="004C01D1" w:rsidRDefault="00365999" w:rsidP="006F31B3">
      <w:pPr>
        <w:pStyle w:val="Headingb"/>
        <w:spacing w:before="240"/>
        <w:rPr>
          <w:color w:val="000000"/>
        </w:rPr>
      </w:pPr>
      <w:r w:rsidRPr="004C01D1">
        <w:rPr>
          <w:color w:val="000000"/>
        </w:rPr>
        <w:t>Bidirectional allocation of some bands</w:t>
      </w:r>
    </w:p>
    <w:p w:rsidR="00365999" w:rsidRPr="004C01D1" w:rsidRDefault="00365999" w:rsidP="004C01D1">
      <w:pPr>
        <w:spacing w:before="120"/>
        <w:rPr>
          <w:color w:val="000000"/>
        </w:rPr>
      </w:pPr>
      <w:r w:rsidRPr="004C01D1">
        <w:rPr>
          <w:color w:val="000000"/>
        </w:rPr>
        <w:t>1</w:t>
      </w:r>
      <w:r w:rsidRPr="004C01D1">
        <w:rPr>
          <w:color w:val="000000"/>
        </w:rPr>
        <w:tab/>
        <w:t>See comments made under the Rules of Procedure concerning No.</w:t>
      </w:r>
      <w:r w:rsidR="004C01D1" w:rsidRPr="004C01D1">
        <w:rPr>
          <w:color w:val="000000"/>
        </w:rPr>
        <w:t> </w:t>
      </w:r>
      <w:r w:rsidRPr="004C01D1">
        <w:rPr>
          <w:rStyle w:val="Artref"/>
          <w:b/>
          <w:bCs/>
          <w:color w:val="000000"/>
        </w:rPr>
        <w:t>5.441</w:t>
      </w:r>
      <w:r w:rsidRPr="004C01D1">
        <w:rPr>
          <w:color w:val="000000"/>
        </w:rPr>
        <w:t>.</w:t>
      </w:r>
    </w:p>
    <w:p w:rsidR="004C01D1" w:rsidRPr="004C01D1" w:rsidRDefault="004C01D1" w:rsidP="004C01D1"/>
    <w:p w:rsidR="00365999" w:rsidRPr="004C01D1" w:rsidRDefault="00365999" w:rsidP="00365999">
      <w:pPr>
        <w:pStyle w:val="Heading8"/>
        <w:rPr>
          <w:color w:val="000000"/>
        </w:rPr>
      </w:pPr>
      <w:r w:rsidRPr="004C01D1">
        <w:rPr>
          <w:color w:val="000000"/>
        </w:rPr>
        <w:t>Art. 6</w:t>
      </w:r>
    </w:p>
    <w:p w:rsidR="00365999" w:rsidRPr="004C01D1" w:rsidRDefault="00365999" w:rsidP="004C01D1">
      <w:pPr>
        <w:pStyle w:val="Heading2"/>
        <w:ind w:left="0" w:firstLine="0"/>
        <w:jc w:val="center"/>
      </w:pPr>
      <w:r w:rsidRPr="004C01D1">
        <w:rPr>
          <w:color w:val="000000"/>
        </w:rPr>
        <w:t>Procedures for the conversion of an allotment into an</w:t>
      </w:r>
      <w:r w:rsidR="005A4646" w:rsidRPr="004C01D1">
        <w:rPr>
          <w:color w:val="000000"/>
        </w:rPr>
        <w:t xml:space="preserve"> </w:t>
      </w:r>
      <w:r w:rsidRPr="004C01D1">
        <w:rPr>
          <w:color w:val="000000"/>
        </w:rPr>
        <w:t>assignment</w:t>
      </w:r>
      <w:r w:rsidR="005A4646" w:rsidRPr="004C01D1">
        <w:rPr>
          <w:color w:val="000000"/>
        </w:rPr>
        <w:br/>
      </w:r>
      <w:r w:rsidRPr="004C01D1">
        <w:rPr>
          <w:color w:val="000000"/>
        </w:rPr>
        <w:t>for the introduction of an additional system or for</w:t>
      </w:r>
      <w:r w:rsidR="004C01D1" w:rsidRPr="004C01D1">
        <w:rPr>
          <w:color w:val="000000"/>
        </w:rPr>
        <w:br/>
      </w:r>
      <w:r w:rsidRPr="004C01D1">
        <w:rPr>
          <w:color w:val="000000"/>
        </w:rPr>
        <w:t>the</w:t>
      </w:r>
      <w:r w:rsidR="004C01D1" w:rsidRPr="004C01D1">
        <w:rPr>
          <w:color w:val="000000"/>
        </w:rPr>
        <w:t xml:space="preserve"> </w:t>
      </w:r>
      <w:r w:rsidRPr="004C01D1">
        <w:rPr>
          <w:color w:val="000000"/>
        </w:rPr>
        <w:t>modification of an assignment in the List</w:t>
      </w:r>
    </w:p>
    <w:p w:rsidR="00BA061E" w:rsidRPr="004C01D1" w:rsidRDefault="00BA061E" w:rsidP="00BA061E">
      <w:pPr>
        <w:pStyle w:val="Heading8"/>
        <w:rPr>
          <w:color w:val="000000"/>
        </w:rPr>
      </w:pPr>
      <w:r w:rsidRPr="004C01D1">
        <w:rPr>
          <w:color w:val="000000"/>
        </w:rPr>
        <w:t>6.3</w:t>
      </w:r>
      <w:r w:rsidR="004C01D1" w:rsidRPr="004C01D1">
        <w:rPr>
          <w:color w:val="000000"/>
        </w:rPr>
        <w:t xml:space="preserve"> </w:t>
      </w:r>
      <w:r w:rsidRPr="004C01D1">
        <w:rPr>
          <w:i/>
          <w:iCs/>
          <w:color w:val="000000"/>
        </w:rPr>
        <w:t>a)</w:t>
      </w:r>
    </w:p>
    <w:p w:rsidR="003358AB" w:rsidRPr="004C01D1" w:rsidRDefault="00BA061E" w:rsidP="004C01D1">
      <w:r w:rsidRPr="004C01D1">
        <w:t>1</w:t>
      </w:r>
      <w:r w:rsidRPr="004C01D1">
        <w:rPr>
          <w:b/>
        </w:rPr>
        <w:tab/>
      </w:r>
      <w:r w:rsidRPr="004C01D1">
        <w:rPr>
          <w:bCs/>
        </w:rPr>
        <w:t xml:space="preserve">The footnotes attached to provisions </w:t>
      </w:r>
      <w:r w:rsidRPr="004C01D1">
        <w:t>§</w:t>
      </w:r>
      <w:r w:rsidR="004C01D1" w:rsidRPr="004C01D1">
        <w:t> </w:t>
      </w:r>
      <w:r w:rsidRPr="004C01D1">
        <w:t>6.3</w:t>
      </w:r>
      <w:r w:rsidR="004C01D1" w:rsidRPr="004C01D1">
        <w:t xml:space="preserve"> </w:t>
      </w:r>
      <w:r w:rsidRPr="004C01D1">
        <w:rPr>
          <w:i/>
          <w:iCs/>
        </w:rPr>
        <w:t>a)</w:t>
      </w:r>
      <w:r w:rsidRPr="004C01D1">
        <w:t>, 6.19</w:t>
      </w:r>
      <w:r w:rsidR="004C01D1" w:rsidRPr="004C01D1">
        <w:t xml:space="preserve"> </w:t>
      </w:r>
      <w:r w:rsidRPr="004C01D1">
        <w:rPr>
          <w:i/>
          <w:iCs/>
        </w:rPr>
        <w:t>b)</w:t>
      </w:r>
      <w:r w:rsidRPr="004C01D1">
        <w:t>, 7.5</w:t>
      </w:r>
      <w:r w:rsidR="004C01D1" w:rsidRPr="004C01D1">
        <w:t xml:space="preserve"> </w:t>
      </w:r>
      <w:r w:rsidRPr="004C01D1">
        <w:rPr>
          <w:i/>
          <w:iCs/>
        </w:rPr>
        <w:t>a)</w:t>
      </w:r>
      <w:r w:rsidRPr="004C01D1">
        <w:t xml:space="preserve"> and 8.8 require that the “other provisions” mentioned in those provisions shall be identified and included in the Rules of Procedure. </w:t>
      </w:r>
    </w:p>
    <w:p w:rsidR="00BA061E" w:rsidRPr="004C01D1" w:rsidRDefault="00BA061E" w:rsidP="004C01D1">
      <w:r w:rsidRPr="004C01D1">
        <w:t>The regulatory examinations under §</w:t>
      </w:r>
      <w:r w:rsidR="004C01D1" w:rsidRPr="004C01D1">
        <w:t> </w:t>
      </w:r>
      <w:r w:rsidRPr="004C01D1">
        <w:t>6.3</w:t>
      </w:r>
      <w:r w:rsidR="004C01D1" w:rsidRPr="004C01D1">
        <w:t xml:space="preserve"> </w:t>
      </w:r>
      <w:r w:rsidRPr="004C01D1">
        <w:rPr>
          <w:i/>
          <w:iCs/>
        </w:rPr>
        <w:t>a)</w:t>
      </w:r>
      <w:r w:rsidRPr="004C01D1">
        <w:t>, 6.19</w:t>
      </w:r>
      <w:r w:rsidR="004C01D1" w:rsidRPr="004C01D1">
        <w:t xml:space="preserve"> </w:t>
      </w:r>
      <w:r w:rsidRPr="004C01D1">
        <w:rPr>
          <w:i/>
          <w:iCs/>
        </w:rPr>
        <w:t>b)</w:t>
      </w:r>
      <w:r w:rsidRPr="004C01D1">
        <w:t>, 7.5</w:t>
      </w:r>
      <w:r w:rsidR="004C01D1" w:rsidRPr="004C01D1">
        <w:t xml:space="preserve"> </w:t>
      </w:r>
      <w:r w:rsidRPr="004C01D1">
        <w:rPr>
          <w:i/>
          <w:iCs/>
        </w:rPr>
        <w:t>a)</w:t>
      </w:r>
      <w:r w:rsidRPr="004C01D1">
        <w:t xml:space="preserve"> and 8.8 include the following:</w:t>
      </w:r>
    </w:p>
    <w:p w:rsidR="00BA061E" w:rsidRPr="004C01D1" w:rsidRDefault="00BA061E" w:rsidP="00BA061E">
      <w:pPr>
        <w:pStyle w:val="enumlev1"/>
      </w:pPr>
      <w:r w:rsidRPr="004C01D1">
        <w:t>–</w:t>
      </w:r>
      <w:r w:rsidRPr="004C01D1">
        <w:tab/>
        <w:t>conformity with the Table of Frequency Allocations, including its footnotes and any Resolution or Recommendation which is referred to in such a footnote;</w:t>
      </w:r>
    </w:p>
    <w:p w:rsidR="00BA061E" w:rsidRPr="004C01D1" w:rsidRDefault="00BA061E" w:rsidP="004C01D1">
      <w:pPr>
        <w:pStyle w:val="enumlev1"/>
      </w:pPr>
      <w:r w:rsidRPr="004C01D1">
        <w:t>–</w:t>
      </w:r>
      <w:r w:rsidRPr="004C01D1">
        <w:tab/>
        <w:t xml:space="preserve">all “other” mandatory provisions that are contained in Articles </w:t>
      </w:r>
      <w:r w:rsidRPr="004C01D1">
        <w:rPr>
          <w:b/>
        </w:rPr>
        <w:t>21</w:t>
      </w:r>
      <w:r w:rsidRPr="004C01D1">
        <w:t xml:space="preserve"> to </w:t>
      </w:r>
      <w:r w:rsidRPr="004C01D1">
        <w:rPr>
          <w:b/>
        </w:rPr>
        <w:t>22</w:t>
      </w:r>
      <w:r w:rsidRPr="004C01D1">
        <w:t>, in Articles 3 and</w:t>
      </w:r>
      <w:r w:rsidR="004C01D1" w:rsidRPr="004C01D1">
        <w:t> </w:t>
      </w:r>
      <w:r w:rsidRPr="004C01D1">
        <w:t xml:space="preserve">4 of Appendix </w:t>
      </w:r>
      <w:r w:rsidRPr="004C01D1">
        <w:rPr>
          <w:b/>
          <w:bCs/>
        </w:rPr>
        <w:t>30B</w:t>
      </w:r>
      <w:r w:rsidRPr="004C01D1">
        <w:t xml:space="preserve"> to the Radio Regulations and/or in Resolutions that are relevant to the service in the frequency band in which a station of that service operates.</w:t>
      </w:r>
    </w:p>
    <w:p w:rsidR="00DE57F6" w:rsidRDefault="00DE57F6" w:rsidP="00BA061E">
      <w:pPr>
        <w:sectPr w:rsidR="00DE57F6" w:rsidSect="00A20DDD">
          <w:headerReference w:type="even" r:id="rId9"/>
          <w:headerReference w:type="default" r:id="rId10"/>
          <w:footerReference w:type="even" r:id="rId11"/>
          <w:footerReference w:type="default" r:id="rId12"/>
          <w:headerReference w:type="first" r:id="rId13"/>
          <w:footerReference w:type="first" r:id="rId14"/>
          <w:footnotePr>
            <w:pos w:val="beneathText"/>
          </w:footnotePr>
          <w:type w:val="oddPage"/>
          <w:pgSz w:w="11907" w:h="16840" w:code="9"/>
          <w:pgMar w:top="1701" w:right="851" w:bottom="1134" w:left="1985" w:header="720" w:footer="482" w:gutter="0"/>
          <w:cols w:space="720"/>
          <w:vAlign w:val="both"/>
        </w:sectPr>
      </w:pPr>
    </w:p>
    <w:p w:rsidR="00BA061E" w:rsidRPr="004C01D1" w:rsidRDefault="00BA061E" w:rsidP="00BA061E">
      <w:r w:rsidRPr="004C01D1">
        <w:lastRenderedPageBreak/>
        <w:t>2</w:t>
      </w:r>
      <w:r w:rsidRPr="004C01D1">
        <w:tab/>
        <w:t xml:space="preserve">The list of “other provisions” that are contained in Articles </w:t>
      </w:r>
      <w:r w:rsidRPr="004C01D1">
        <w:rPr>
          <w:b/>
        </w:rPr>
        <w:t>21</w:t>
      </w:r>
      <w:r w:rsidRPr="004C01D1">
        <w:t xml:space="preserve"> to </w:t>
      </w:r>
      <w:r w:rsidRPr="004C01D1">
        <w:rPr>
          <w:b/>
        </w:rPr>
        <w:t xml:space="preserve">22 </w:t>
      </w:r>
      <w:r w:rsidRPr="004C01D1">
        <w:t>with respect to which the notices are examined, is given below:</w:t>
      </w:r>
    </w:p>
    <w:p w:rsidR="00BA061E" w:rsidRPr="004C01D1" w:rsidRDefault="00BA061E" w:rsidP="004C01D1">
      <w:r w:rsidRPr="004C01D1">
        <w:t>2.1</w:t>
      </w:r>
      <w:r w:rsidRPr="004C01D1">
        <w:tab/>
        <w:t>conformity with the power limits for earth stations as stipulated in provisions Nos. </w:t>
      </w:r>
      <w:r w:rsidRPr="004C01D1">
        <w:rPr>
          <w:b/>
        </w:rPr>
        <w:t>21.8</w:t>
      </w:r>
      <w:r w:rsidRPr="004C01D1">
        <w:t xml:space="preserve"> and </w:t>
      </w:r>
      <w:r w:rsidRPr="004C01D1">
        <w:rPr>
          <w:b/>
        </w:rPr>
        <w:t>21.12</w:t>
      </w:r>
      <w:r w:rsidRPr="004C01D1">
        <w:t>, account being taken of provisions Nos. </w:t>
      </w:r>
      <w:r w:rsidRPr="004C01D1">
        <w:rPr>
          <w:b/>
        </w:rPr>
        <w:t>21.9</w:t>
      </w:r>
      <w:r w:rsidRPr="004C01D1">
        <w:t xml:space="preserve"> and </w:t>
      </w:r>
      <w:r w:rsidRPr="004C01D1">
        <w:rPr>
          <w:b/>
        </w:rPr>
        <w:t>21.11</w:t>
      </w:r>
      <w:r w:rsidR="004C01D1" w:rsidRPr="004C01D1">
        <w:rPr>
          <w:rFonts w:ascii="Tms Rmn" w:hAnsi="Tms Rmn"/>
          <w:bCs/>
          <w:sz w:val="12"/>
        </w:rPr>
        <w:t> </w:t>
      </w:r>
      <w:r w:rsidR="004C01D1" w:rsidRPr="004C01D1">
        <w:rPr>
          <w:rStyle w:val="FootnoteReference"/>
          <w:rFonts w:ascii="Tms Rmn" w:hAnsi="Tms Rmn"/>
          <w:bCs/>
          <w:sz w:val="20"/>
        </w:rPr>
        <w:footnoteReference w:customMarkFollows="1" w:id="1"/>
        <w:t>1</w:t>
      </w:r>
      <w:r w:rsidRPr="004C01D1">
        <w:t>, and in provisions Nos. </w:t>
      </w:r>
      <w:r w:rsidRPr="004C01D1">
        <w:rPr>
          <w:b/>
        </w:rPr>
        <w:t>22.26</w:t>
      </w:r>
      <w:r w:rsidRPr="004C01D1">
        <w:t xml:space="preserve"> to </w:t>
      </w:r>
      <w:r w:rsidRPr="004C01D1">
        <w:rPr>
          <w:b/>
        </w:rPr>
        <w:t>22.29</w:t>
      </w:r>
      <w:r w:rsidRPr="004C01D1">
        <w:t xml:space="preserve"> under the conditions specified in provisions Nos. </w:t>
      </w:r>
      <w:r w:rsidRPr="004C01D1">
        <w:rPr>
          <w:b/>
        </w:rPr>
        <w:t>22.30</w:t>
      </w:r>
      <w:r w:rsidRPr="004C01D1">
        <w:rPr>
          <w:bCs/>
        </w:rPr>
        <w:t>,</w:t>
      </w:r>
      <w:r w:rsidRPr="004C01D1">
        <w:t xml:space="preserve"> </w:t>
      </w:r>
      <w:r w:rsidRPr="004C01D1">
        <w:rPr>
          <w:b/>
        </w:rPr>
        <w:t>22.31</w:t>
      </w:r>
      <w:r w:rsidRPr="004C01D1">
        <w:t xml:space="preserve"> and </w:t>
      </w:r>
      <w:r w:rsidRPr="004C01D1">
        <w:rPr>
          <w:b/>
          <w:bCs/>
        </w:rPr>
        <w:t>22.37</w:t>
      </w:r>
      <w:r w:rsidRPr="004C01D1">
        <w:t xml:space="preserve"> where the earth stations are subject to those power limitations;</w:t>
      </w:r>
    </w:p>
    <w:p w:rsidR="00BA061E" w:rsidRPr="004C01D1" w:rsidRDefault="00BA061E" w:rsidP="004C01D1">
      <w:r w:rsidRPr="004C01D1">
        <w:t>2.2</w:t>
      </w:r>
      <w:r w:rsidRPr="004C01D1">
        <w:tab/>
        <w:t>conformity with the minimum angle of elevation of earth stations as stipulated in provisions No. </w:t>
      </w:r>
      <w:r w:rsidRPr="004C01D1">
        <w:rPr>
          <w:b/>
        </w:rPr>
        <w:t>21.14</w:t>
      </w:r>
      <w:r w:rsidR="004C01D1" w:rsidRPr="004C01D1">
        <w:rPr>
          <w:rFonts w:ascii="Tms Rmn" w:hAnsi="Tms Rmn"/>
          <w:bCs/>
          <w:sz w:val="12"/>
        </w:rPr>
        <w:t> </w:t>
      </w:r>
      <w:r w:rsidR="004C01D1" w:rsidRPr="004C01D1">
        <w:rPr>
          <w:rStyle w:val="FootnoteReference"/>
          <w:bCs/>
          <w:sz w:val="20"/>
        </w:rPr>
        <w:footnoteReference w:customMarkFollows="1" w:id="2"/>
        <w:t>2</w:t>
      </w:r>
      <w:r w:rsidRPr="004C01D1">
        <w:t>;</w:t>
      </w:r>
    </w:p>
    <w:p w:rsidR="00BA061E" w:rsidRPr="004C01D1" w:rsidRDefault="00BA061E" w:rsidP="00B80CD7">
      <w:r w:rsidRPr="004C01D1">
        <w:t>2.3</w:t>
      </w:r>
      <w:r w:rsidRPr="004C01D1">
        <w:tab/>
        <w:t xml:space="preserve">conformity with the limits of power flux-density from space stations produced at the Earth’s surface as indicated in the Table </w:t>
      </w:r>
      <w:r w:rsidRPr="004C01D1">
        <w:rPr>
          <w:b/>
        </w:rPr>
        <w:t>21-4</w:t>
      </w:r>
      <w:r w:rsidRPr="004C01D1">
        <w:t xml:space="preserve"> (provision No. </w:t>
      </w:r>
      <w:r w:rsidRPr="004C01D1">
        <w:rPr>
          <w:b/>
        </w:rPr>
        <w:t>21.16</w:t>
      </w:r>
      <w:r w:rsidRPr="004C01D1">
        <w:t>), taking into account, as appropriate, the provision Nos. </w:t>
      </w:r>
      <w:r w:rsidRPr="004C01D1">
        <w:rPr>
          <w:b/>
        </w:rPr>
        <w:t>21.17</w:t>
      </w:r>
      <w:r w:rsidRPr="004C01D1">
        <w:t>;</w:t>
      </w:r>
      <w:r w:rsidR="00DE57F6">
        <w:t xml:space="preserve"> </w:t>
      </w:r>
      <w:r w:rsidR="009F2BE3">
        <w:rPr>
          <w:lang w:eastAsia="zh-CN"/>
        </w:rPr>
        <w:t>h</w:t>
      </w:r>
      <w:r w:rsidR="00DE57F6" w:rsidRPr="00DE57F6">
        <w:rPr>
          <w:lang w:eastAsia="zh-CN"/>
        </w:rPr>
        <w:t>owever, the Rules of Procedure relating to No.</w:t>
      </w:r>
      <w:r w:rsidR="009F2BE3">
        <w:rPr>
          <w:lang w:eastAsia="zh-CN"/>
        </w:rPr>
        <w:t> </w:t>
      </w:r>
      <w:r w:rsidR="00DE57F6" w:rsidRPr="00DE57F6">
        <w:rPr>
          <w:b/>
          <w:bCs/>
          <w:lang w:eastAsia="zh-CN"/>
        </w:rPr>
        <w:t>21.16</w:t>
      </w:r>
      <w:r w:rsidR="009F2BE3">
        <w:rPr>
          <w:lang w:eastAsia="zh-CN"/>
        </w:rPr>
        <w:t xml:space="preserve"> </w:t>
      </w:r>
      <w:r w:rsidR="00DE57F6" w:rsidRPr="00DE57F6">
        <w:rPr>
          <w:lang w:eastAsia="zh-CN"/>
        </w:rPr>
        <w:t xml:space="preserve">concerning the application of power flux-density (PFD) limits to steerable beams </w:t>
      </w:r>
      <w:r w:rsidR="00B80CD7">
        <w:rPr>
          <w:lang w:eastAsia="zh-CN"/>
        </w:rPr>
        <w:t>do</w:t>
      </w:r>
      <w:r w:rsidR="00DE57F6" w:rsidRPr="00DE57F6">
        <w:rPr>
          <w:lang w:eastAsia="zh-CN"/>
        </w:rPr>
        <w:t xml:space="preserve"> not apply</w:t>
      </w:r>
      <w:r w:rsidR="00B80CD7">
        <w:rPr>
          <w:lang w:eastAsia="zh-CN"/>
        </w:rPr>
        <w:t xml:space="preserve"> in this case</w:t>
      </w:r>
      <w:r w:rsidR="00DE57F6" w:rsidRPr="00DE57F6">
        <w:rPr>
          <w:lang w:eastAsia="zh-CN"/>
        </w:rPr>
        <w:t>.</w:t>
      </w:r>
      <w:r w:rsidR="003A477C">
        <w:rPr>
          <w:lang w:eastAsia="zh-CN"/>
        </w:rPr>
        <w:t xml:space="preserve">     </w:t>
      </w:r>
      <w:r w:rsidR="003A477C">
        <w:rPr>
          <w:sz w:val="16"/>
          <w:szCs w:val="16"/>
        </w:rPr>
        <w:t>(MOD RRB12/</w:t>
      </w:r>
      <w:r w:rsidR="00A06C3A">
        <w:rPr>
          <w:sz w:val="16"/>
          <w:szCs w:val="16"/>
        </w:rPr>
        <w:t>60</w:t>
      </w:r>
      <w:r w:rsidR="003A477C">
        <w:rPr>
          <w:sz w:val="16"/>
          <w:szCs w:val="16"/>
        </w:rPr>
        <w:t>)</w:t>
      </w:r>
    </w:p>
    <w:p w:rsidR="00BA061E" w:rsidRPr="004C01D1" w:rsidRDefault="00BA061E" w:rsidP="00BA061E">
      <w:r w:rsidRPr="004C01D1">
        <w:t>2.4</w:t>
      </w:r>
      <w:r w:rsidRPr="004C01D1">
        <w:tab/>
        <w:t>conformity with the limit specified in provisions Nos. </w:t>
      </w:r>
      <w:r w:rsidRPr="004C01D1">
        <w:rPr>
          <w:b/>
        </w:rPr>
        <w:t>22.8</w:t>
      </w:r>
      <w:r w:rsidRPr="004C01D1">
        <w:t xml:space="preserve"> and </w:t>
      </w:r>
      <w:r w:rsidRPr="004C01D1">
        <w:rPr>
          <w:b/>
        </w:rPr>
        <w:t>22.19</w:t>
      </w:r>
      <w:r w:rsidRPr="004C01D1">
        <w:t>.</w:t>
      </w:r>
    </w:p>
    <w:p w:rsidR="00BA061E" w:rsidRPr="004C01D1" w:rsidRDefault="00BA061E" w:rsidP="004C01D1">
      <w:r w:rsidRPr="004C01D1">
        <w:t>2.5</w:t>
      </w:r>
      <w:r w:rsidRPr="004C01D1">
        <w:tab/>
        <w:t>Other provisions of Articles</w:t>
      </w:r>
      <w:r w:rsidR="004C01D1" w:rsidRPr="004C01D1">
        <w:t xml:space="preserve"> </w:t>
      </w:r>
      <w:r w:rsidRPr="004C01D1">
        <w:rPr>
          <w:b/>
        </w:rPr>
        <w:t>21</w:t>
      </w:r>
      <w:r w:rsidRPr="004C01D1">
        <w:t xml:space="preserve"> and </w:t>
      </w:r>
      <w:r w:rsidRPr="004C01D1">
        <w:rPr>
          <w:b/>
        </w:rPr>
        <w:t>22</w:t>
      </w:r>
      <w:r w:rsidRPr="004C01D1">
        <w:t xml:space="preserve"> will not be taken into account in the Regulatory examination under §</w:t>
      </w:r>
      <w:r w:rsidR="004C01D1" w:rsidRPr="004C01D1">
        <w:t> </w:t>
      </w:r>
      <w:r w:rsidRPr="004C01D1">
        <w:t>6.3</w:t>
      </w:r>
      <w:r w:rsidR="004C01D1" w:rsidRPr="004C01D1">
        <w:t xml:space="preserve"> </w:t>
      </w:r>
      <w:r w:rsidRPr="004C01D1">
        <w:rPr>
          <w:i/>
          <w:iCs/>
        </w:rPr>
        <w:t>a)</w:t>
      </w:r>
      <w:r w:rsidRPr="004C01D1">
        <w:t>, 6.19</w:t>
      </w:r>
      <w:r w:rsidR="004C01D1" w:rsidRPr="004C01D1">
        <w:t xml:space="preserve"> </w:t>
      </w:r>
      <w:r w:rsidRPr="004C01D1">
        <w:rPr>
          <w:i/>
          <w:iCs/>
        </w:rPr>
        <w:t>b)</w:t>
      </w:r>
      <w:r w:rsidRPr="004C01D1">
        <w:t>, 7.5</w:t>
      </w:r>
      <w:r w:rsidR="004C01D1" w:rsidRPr="004C01D1">
        <w:t xml:space="preserve"> </w:t>
      </w:r>
      <w:r w:rsidRPr="004C01D1">
        <w:rPr>
          <w:i/>
          <w:iCs/>
        </w:rPr>
        <w:t>a)</w:t>
      </w:r>
      <w:r w:rsidRPr="004C01D1">
        <w:t xml:space="preserve"> and 8.8 and the Board understands that these provisions are to be applied between administrations as appropriate.</w:t>
      </w:r>
    </w:p>
    <w:p w:rsidR="00365999" w:rsidRPr="004C01D1" w:rsidRDefault="00365999" w:rsidP="002845B5">
      <w:pPr>
        <w:pStyle w:val="Heading8"/>
        <w:rPr>
          <w:color w:val="000000"/>
        </w:rPr>
      </w:pPr>
      <w:r w:rsidRPr="004C01D1">
        <w:rPr>
          <w:color w:val="000000"/>
        </w:rPr>
        <w:t>6.</w:t>
      </w:r>
      <w:r w:rsidR="002845B5" w:rsidRPr="004C01D1">
        <w:rPr>
          <w:color w:val="000000"/>
        </w:rPr>
        <w:t>5</w:t>
      </w:r>
    </w:p>
    <w:p w:rsidR="002845B5" w:rsidRPr="004C01D1" w:rsidRDefault="002845B5" w:rsidP="004C01D1">
      <w:r w:rsidRPr="004C01D1">
        <w:t>1</w:t>
      </w:r>
      <w:r w:rsidRPr="004C01D1">
        <w:tab/>
        <w:t>The planning exercise and the interference analysis were made by WARC Orb-88 for the whole band of 300 MHz (6/4 GHz) or 500 MHz (13/11 GHz) on a co-channel basis. It may happen that two administrations conclude agreement on the shared use of the frequency bands. In the compatibility examination by the Bureau, the mutual interference between non-overlapping frequency assignments shall not be taken into consideration in formulating findings.</w:t>
      </w:r>
    </w:p>
    <w:p w:rsidR="002845B5" w:rsidRPr="004C01D1" w:rsidRDefault="002845B5" w:rsidP="004C01D1">
      <w:r w:rsidRPr="004C01D1">
        <w:t>2</w:t>
      </w:r>
      <w:r w:rsidRPr="004C01D1">
        <w:tab/>
        <w:t>The Board, in reviewing the implementation of the regulatory procedures of Appendix </w:t>
      </w:r>
      <w:r w:rsidRPr="004C01D1">
        <w:rPr>
          <w:b/>
          <w:bCs/>
        </w:rPr>
        <w:t>30B</w:t>
      </w:r>
      <w:r w:rsidRPr="004C01D1">
        <w:t xml:space="preserve">, noted that there is no provision to prohibit the implementation of non-simultaneous transmissions within the context of that Appendix. The Board further noted that this approach is used within the context of Appendices </w:t>
      </w:r>
      <w:r w:rsidRPr="004C01D1">
        <w:rPr>
          <w:b/>
          <w:bCs/>
        </w:rPr>
        <w:t>30</w:t>
      </w:r>
      <w:r w:rsidRPr="004C01D1">
        <w:t xml:space="preserve"> and </w:t>
      </w:r>
      <w:r w:rsidRPr="004C01D1">
        <w:rPr>
          <w:b/>
          <w:bCs/>
        </w:rPr>
        <w:t>30A</w:t>
      </w:r>
      <w:r w:rsidRPr="004C01D1">
        <w:t xml:space="preserve"> by means of the grouping concept as defined in Articles 9 and 9A of Appendix </w:t>
      </w:r>
      <w:r w:rsidRPr="004C01D1">
        <w:rPr>
          <w:b/>
          <w:bCs/>
        </w:rPr>
        <w:t>30A</w:t>
      </w:r>
      <w:r w:rsidRPr="004C01D1">
        <w:t>, Articles 10 and 11 of Appendix </w:t>
      </w:r>
      <w:r w:rsidRPr="004C01D1">
        <w:rPr>
          <w:b/>
          <w:bCs/>
        </w:rPr>
        <w:t>30</w:t>
      </w:r>
      <w:r w:rsidRPr="004C01D1">
        <w:t xml:space="preserve"> and Rules of Procedure relating to § 4.1.1 </w:t>
      </w:r>
      <w:r w:rsidRPr="004C01D1">
        <w:rPr>
          <w:i/>
          <w:iCs/>
        </w:rPr>
        <w:t>a)</w:t>
      </w:r>
      <w:r w:rsidRPr="004C01D1">
        <w:t xml:space="preserve"> and 4.1.1 </w:t>
      </w:r>
      <w:r w:rsidRPr="004C01D1">
        <w:rPr>
          <w:i/>
          <w:iCs/>
        </w:rPr>
        <w:t>b)</w:t>
      </w:r>
      <w:r w:rsidRPr="004C01D1">
        <w:t xml:space="preserve"> of Appendices </w:t>
      </w:r>
      <w:r w:rsidRPr="004C01D1">
        <w:rPr>
          <w:b/>
          <w:bCs/>
        </w:rPr>
        <w:t>30</w:t>
      </w:r>
      <w:r w:rsidRPr="004C01D1">
        <w:t xml:space="preserve"> and </w:t>
      </w:r>
      <w:r w:rsidRPr="004C01D1">
        <w:rPr>
          <w:b/>
          <w:bCs/>
        </w:rPr>
        <w:t>30A</w:t>
      </w:r>
      <w:r w:rsidRPr="004C01D1">
        <w:t>.</w:t>
      </w:r>
    </w:p>
    <w:p w:rsidR="00DE57F6" w:rsidRDefault="007E411A" w:rsidP="00DE57F6">
      <w:pPr>
        <w:sectPr w:rsidR="00DE57F6" w:rsidSect="00DE57F6">
          <w:headerReference w:type="even" r:id="rId15"/>
          <w:footnotePr>
            <w:pos w:val="beneathText"/>
          </w:footnotePr>
          <w:pgSz w:w="11907" w:h="16840" w:code="9"/>
          <w:pgMar w:top="1701" w:right="851" w:bottom="1134" w:left="1985" w:header="720" w:footer="482" w:gutter="0"/>
          <w:cols w:space="720"/>
          <w:vAlign w:val="both"/>
        </w:sectPr>
      </w:pPr>
      <w:r w:rsidRPr="004C01D1">
        <w:t>3</w:t>
      </w:r>
      <w:r w:rsidRPr="004C01D1">
        <w:tab/>
        <w:t xml:space="preserve">In view of the above, the Board decided that the same grouping concept can also be applied within the context of § 6.5 and 6.21. The Board’s understanding of the grouping concept is that in the interference calculation to entries (allotments or assignments) that are part of the group, only the interference contribution from entries that are not part of the same group are to be considered. On the other hand, for the interference calculation from entries </w:t>
      </w:r>
    </w:p>
    <w:p w:rsidR="007E411A" w:rsidRPr="004C01D1" w:rsidRDefault="007E411A" w:rsidP="00DE57F6">
      <w:r w:rsidRPr="004C01D1">
        <w:lastRenderedPageBreak/>
        <w:t>belonging to a group into entries that are not part of the same group, only the worst interference contribution from that group is to be taken into consideration.</w:t>
      </w:r>
    </w:p>
    <w:p w:rsidR="007E411A" w:rsidRPr="004C01D1" w:rsidRDefault="007E411A" w:rsidP="004C01D1">
      <w:r w:rsidRPr="004C01D1">
        <w:t>4</w:t>
      </w:r>
      <w:r w:rsidRPr="004C01D1">
        <w:tab/>
        <w:t>The Board did not find any regulatory basis to extend the use of groupings involving multiple orbital positions. However, grouping of networks in different orbital positions may be used before the inclusion of the assignments in the List to modify the orbital position of a network.</w:t>
      </w:r>
    </w:p>
    <w:p w:rsidR="002845B5" w:rsidRPr="004C01D1" w:rsidRDefault="002845B5" w:rsidP="004C01D1">
      <w:r w:rsidRPr="004C01D1">
        <w:t>5</w:t>
      </w:r>
      <w:r w:rsidRPr="004C01D1">
        <w:tab/>
        <w:t xml:space="preserve">Interference between assignments to the “existing systems” as referred to in </w:t>
      </w:r>
      <w:r w:rsidRPr="004C01D1">
        <w:rPr>
          <w:i/>
          <w:iCs/>
        </w:rPr>
        <w:t>considering</w:t>
      </w:r>
      <w:r w:rsidR="004C01D1" w:rsidRPr="004C01D1">
        <w:rPr>
          <w:i/>
          <w:iCs/>
        </w:rPr>
        <w:t xml:space="preserve"> </w:t>
      </w:r>
      <w:r w:rsidRPr="004C01D1">
        <w:rPr>
          <w:i/>
          <w:iCs/>
        </w:rPr>
        <w:t>b)</w:t>
      </w:r>
      <w:r w:rsidRPr="004C01D1">
        <w:t xml:space="preserve"> and </w:t>
      </w:r>
      <w:r w:rsidRPr="004C01D1">
        <w:rPr>
          <w:i/>
          <w:iCs/>
        </w:rPr>
        <w:t xml:space="preserve">c) </w:t>
      </w:r>
      <w:r w:rsidRPr="004C01D1">
        <w:t xml:space="preserve">of Resolution </w:t>
      </w:r>
      <w:r w:rsidRPr="004C01D1">
        <w:rPr>
          <w:b/>
          <w:bCs/>
        </w:rPr>
        <w:t>148 (WRC-07)</w:t>
      </w:r>
      <w:r w:rsidRPr="004C01D1">
        <w:t xml:space="preserve"> shall not be taken into consideration in single-entry calculation for consistent implementation of </w:t>
      </w:r>
      <w:r w:rsidRPr="004C01D1">
        <w:rPr>
          <w:i/>
          <w:iCs/>
        </w:rPr>
        <w:t>instructs the Radiocommunication Bureau</w:t>
      </w:r>
      <w:r w:rsidR="004C01D1" w:rsidRPr="004C01D1">
        <w:t> </w:t>
      </w:r>
      <w:r w:rsidRPr="004C01D1">
        <w:t>2 of that Resolution.</w:t>
      </w:r>
    </w:p>
    <w:p w:rsidR="002845B5" w:rsidRDefault="002845B5" w:rsidP="004C01D1">
      <w:r w:rsidRPr="004C01D1">
        <w:t>6</w:t>
      </w:r>
      <w:r w:rsidRPr="004C01D1">
        <w:tab/>
        <w:t xml:space="preserve">See also </w:t>
      </w:r>
      <w:r w:rsidRPr="004C01D1">
        <w:rPr>
          <w:i/>
          <w:iCs/>
        </w:rPr>
        <w:t>Note</w:t>
      </w:r>
      <w:r w:rsidRPr="004C01D1">
        <w:t xml:space="preserve"> </w:t>
      </w:r>
      <w:r w:rsidRPr="004C01D1">
        <w:rPr>
          <w:i/>
          <w:iCs/>
        </w:rPr>
        <w:t>by the Secretariat</w:t>
      </w:r>
      <w:r w:rsidRPr="004C01D1">
        <w:t xml:space="preserve"> relating to the “multi-beam networks” as indicated in column 10 of the tables in Article</w:t>
      </w:r>
      <w:r w:rsidR="004C01D1" w:rsidRPr="004C01D1">
        <w:t> </w:t>
      </w:r>
      <w:r w:rsidRPr="004C01D1">
        <w:t>10 of Appendix</w:t>
      </w:r>
      <w:r w:rsidR="004C01D1" w:rsidRPr="004C01D1">
        <w:t> </w:t>
      </w:r>
      <w:r w:rsidRPr="004C01D1">
        <w:rPr>
          <w:b/>
          <w:bCs/>
        </w:rPr>
        <w:t>30B</w:t>
      </w:r>
      <w:r w:rsidRPr="004C01D1">
        <w:t>.</w:t>
      </w:r>
    </w:p>
    <w:p w:rsidR="003A477C" w:rsidRDefault="003A477C" w:rsidP="0098040E">
      <w:pPr>
        <w:spacing w:before="480"/>
      </w:pPr>
      <w:r>
        <w:rPr>
          <w:sz w:val="16"/>
          <w:szCs w:val="16"/>
        </w:rPr>
        <w:t>(ADD RRB12/</w:t>
      </w:r>
      <w:r w:rsidR="00A06C3A">
        <w:rPr>
          <w:sz w:val="16"/>
          <w:szCs w:val="16"/>
        </w:rPr>
        <w:t>60</w:t>
      </w:r>
      <w:r>
        <w:rPr>
          <w:sz w:val="16"/>
          <w:szCs w:val="16"/>
        </w:rPr>
        <w:t>)</w:t>
      </w:r>
    </w:p>
    <w:p w:rsidR="00DE57F6" w:rsidRPr="004C01D1" w:rsidRDefault="00DE57F6" w:rsidP="0098040E">
      <w:pPr>
        <w:pStyle w:val="Heading8"/>
        <w:spacing w:before="240"/>
        <w:rPr>
          <w:color w:val="000000"/>
        </w:rPr>
      </w:pPr>
      <w:r w:rsidRPr="004C01D1">
        <w:rPr>
          <w:color w:val="000000"/>
        </w:rPr>
        <w:t>6.</w:t>
      </w:r>
      <w:r>
        <w:rPr>
          <w:color w:val="000000"/>
        </w:rPr>
        <w:t>16</w:t>
      </w:r>
    </w:p>
    <w:p w:rsidR="00DE57F6" w:rsidRPr="004C01D1" w:rsidRDefault="00DE57F6" w:rsidP="00DE57F6">
      <w:r w:rsidRPr="004C01D1">
        <w:t>1</w:t>
      </w:r>
      <w:r w:rsidRPr="004C01D1">
        <w:tab/>
      </w:r>
      <w:r>
        <w:t xml:space="preserve">When the Bureau receives an objection to being included in a service area of an assignment from an administration in accordance with </w:t>
      </w:r>
      <w:r w:rsidRPr="005E7F8F">
        <w:t xml:space="preserve">§6.16 of Appendix </w:t>
      </w:r>
      <w:r w:rsidRPr="00E26886">
        <w:rPr>
          <w:b/>
          <w:bCs/>
        </w:rPr>
        <w:t>30B</w:t>
      </w:r>
      <w:r>
        <w:t xml:space="preserve">, the Bureau publishes the modified service area </w:t>
      </w:r>
      <w:r w:rsidRPr="005E7F8F">
        <w:t>for exclusion of its territory from the service area</w:t>
      </w:r>
      <w:r>
        <w:t xml:space="preserve"> if the assignment has already been included in the List. If the assignment is at the stage of coordination and not yet included in the List (i.e. published</w:t>
      </w:r>
      <w:r>
        <w:rPr>
          <w:lang w:eastAsia="zh-CN"/>
        </w:rPr>
        <w:t xml:space="preserve"> </w:t>
      </w:r>
      <w:r>
        <w:rPr>
          <w:rFonts w:hint="eastAsia"/>
          <w:lang w:eastAsia="zh-CN"/>
        </w:rPr>
        <w:t xml:space="preserve">in </w:t>
      </w:r>
      <w:r>
        <w:rPr>
          <w:lang w:eastAsia="zh-CN"/>
        </w:rPr>
        <w:t>an</w:t>
      </w:r>
      <w:r>
        <w:t xml:space="preserve"> AP30B/A6A/ -- Special Section only), the Bureau takes that objection into account in the examination under §6.19</w:t>
      </w:r>
      <w:r w:rsidRPr="005E7F8F">
        <w:t xml:space="preserve"> </w:t>
      </w:r>
      <w:r>
        <w:t xml:space="preserve">a) when the assignment is submitted by the notifying administration under </w:t>
      </w:r>
      <w:r w:rsidRPr="005E7F8F">
        <w:t>§6.1</w:t>
      </w:r>
      <w:r>
        <w:t>7. The final characteristics of the assignment in the List (i.e. those published in an AP30B/A6B/-- Special Section) shall not include the territory and test points that are within the territory of the objecting administration in the service area.</w:t>
      </w:r>
    </w:p>
    <w:p w:rsidR="00DE57F6" w:rsidRPr="004C01D1" w:rsidRDefault="00DE57F6" w:rsidP="003A477C">
      <w:r>
        <w:t>2</w:t>
      </w:r>
      <w:r>
        <w:tab/>
      </w:r>
      <w:r>
        <w:rPr>
          <w:rFonts w:hint="eastAsia"/>
          <w:lang w:eastAsia="zh-CN"/>
        </w:rPr>
        <w:t xml:space="preserve">However, </w:t>
      </w:r>
      <w:r>
        <w:rPr>
          <w:lang w:eastAsia="zh-CN"/>
        </w:rPr>
        <w:t xml:space="preserve">an administration can </w:t>
      </w:r>
      <w:r>
        <w:rPr>
          <w:rFonts w:hint="eastAsia"/>
          <w:lang w:eastAsia="zh-CN"/>
        </w:rPr>
        <w:t xml:space="preserve">object </w:t>
      </w:r>
      <w:r w:rsidRPr="00C63C3C">
        <w:rPr>
          <w:rFonts w:hint="eastAsia"/>
          <w:lang w:eastAsia="zh-CN"/>
        </w:rPr>
        <w:t>to</w:t>
      </w:r>
      <w:r>
        <w:rPr>
          <w:rFonts w:hint="eastAsia"/>
          <w:lang w:eastAsia="zh-CN"/>
        </w:rPr>
        <w:t xml:space="preserve"> the inclusion of its territory in the service area</w:t>
      </w:r>
      <w:r w:rsidRPr="00251AAE">
        <w:rPr>
          <w:rFonts w:hint="eastAsia"/>
          <w:lang w:eastAsia="zh-CN"/>
        </w:rPr>
        <w:t xml:space="preserve"> </w:t>
      </w:r>
      <w:r>
        <w:rPr>
          <w:lang w:eastAsia="zh-CN"/>
        </w:rPr>
        <w:t>of</w:t>
      </w:r>
      <w:r>
        <w:rPr>
          <w:rFonts w:hint="eastAsia"/>
          <w:lang w:eastAsia="zh-CN"/>
        </w:rPr>
        <w:t xml:space="preserve"> an assignment</w:t>
      </w:r>
      <w:r>
        <w:rPr>
          <w:lang w:eastAsia="zh-CN"/>
        </w:rPr>
        <w:t xml:space="preserve"> of the other administrations</w:t>
      </w:r>
      <w:r>
        <w:rPr>
          <w:rFonts w:hint="eastAsia"/>
          <w:lang w:eastAsia="zh-CN"/>
        </w:rPr>
        <w:t xml:space="preserve"> not </w:t>
      </w:r>
      <w:r>
        <w:rPr>
          <w:lang w:eastAsia="zh-CN"/>
        </w:rPr>
        <w:t xml:space="preserve">yet entered </w:t>
      </w:r>
      <w:r>
        <w:rPr>
          <w:rFonts w:hint="eastAsia"/>
          <w:lang w:eastAsia="zh-CN"/>
        </w:rPr>
        <w:t>in the List</w:t>
      </w:r>
      <w:r>
        <w:rPr>
          <w:lang w:eastAsia="zh-CN"/>
        </w:rPr>
        <w:t xml:space="preserve"> and </w:t>
      </w:r>
      <w:r>
        <w:rPr>
          <w:rFonts w:hint="eastAsia"/>
          <w:lang w:eastAsia="zh-CN"/>
        </w:rPr>
        <w:t>explicitly request that</w:t>
      </w:r>
      <w:r>
        <w:rPr>
          <w:lang w:eastAsia="zh-CN"/>
        </w:rPr>
        <w:t xml:space="preserve"> the</w:t>
      </w:r>
      <w:r>
        <w:rPr>
          <w:rFonts w:hint="eastAsia"/>
          <w:lang w:eastAsia="zh-CN"/>
        </w:rPr>
        <w:t xml:space="preserve"> objection </w:t>
      </w:r>
      <w:r>
        <w:rPr>
          <w:lang w:eastAsia="zh-CN"/>
        </w:rPr>
        <w:t>should</w:t>
      </w:r>
      <w:r>
        <w:rPr>
          <w:rFonts w:hint="eastAsia"/>
          <w:lang w:eastAsia="zh-CN"/>
        </w:rPr>
        <w:t xml:space="preserve"> be taken into account in the examination of its own network submitted under </w:t>
      </w:r>
      <w:r w:rsidRPr="00C63C3C">
        <w:rPr>
          <w:lang w:eastAsia="zh-CN"/>
        </w:rPr>
        <w:t>§</w:t>
      </w:r>
      <w:r w:rsidRPr="00C63C3C">
        <w:rPr>
          <w:rFonts w:hint="eastAsia"/>
          <w:lang w:eastAsia="zh-CN"/>
        </w:rPr>
        <w:t xml:space="preserve">6.17 of Appendix </w:t>
      </w:r>
      <w:r w:rsidRPr="00791D05">
        <w:rPr>
          <w:b/>
          <w:bCs/>
          <w:lang w:eastAsia="zh-CN"/>
        </w:rPr>
        <w:t xml:space="preserve">30B </w:t>
      </w:r>
      <w:r w:rsidRPr="009238C9">
        <w:rPr>
          <w:lang w:eastAsia="zh-CN"/>
        </w:rPr>
        <w:t>in order to</w:t>
      </w:r>
      <w:r w:rsidRPr="00791D05">
        <w:rPr>
          <w:b/>
          <w:bCs/>
          <w:lang w:eastAsia="zh-CN"/>
        </w:rPr>
        <w:t xml:space="preserve"> </w:t>
      </w:r>
      <w:r>
        <w:rPr>
          <w:lang w:eastAsia="zh-CN"/>
        </w:rPr>
        <w:t xml:space="preserve">facilitate inclusion of </w:t>
      </w:r>
      <w:r>
        <w:rPr>
          <w:rFonts w:hint="eastAsia"/>
          <w:lang w:eastAsia="zh-CN"/>
        </w:rPr>
        <w:t xml:space="preserve">the assignments of </w:t>
      </w:r>
      <w:r>
        <w:rPr>
          <w:lang w:eastAsia="zh-CN"/>
        </w:rPr>
        <w:t xml:space="preserve">its own </w:t>
      </w:r>
      <w:r>
        <w:rPr>
          <w:rFonts w:hint="eastAsia"/>
          <w:lang w:eastAsia="zh-CN"/>
        </w:rPr>
        <w:t>network</w:t>
      </w:r>
      <w:r>
        <w:rPr>
          <w:lang w:eastAsia="zh-CN"/>
        </w:rPr>
        <w:t xml:space="preserve"> to be included in the List.  In this case</w:t>
      </w:r>
      <w:r>
        <w:rPr>
          <w:rFonts w:hint="eastAsia"/>
          <w:lang w:eastAsia="zh-CN"/>
        </w:rPr>
        <w:t>,</w:t>
      </w:r>
      <w:r>
        <w:rPr>
          <w:lang w:eastAsia="zh-CN"/>
        </w:rPr>
        <w:t xml:space="preserve"> the objection </w:t>
      </w:r>
      <w:r>
        <w:rPr>
          <w:rFonts w:hint="eastAsia"/>
          <w:lang w:eastAsia="zh-CN"/>
        </w:rPr>
        <w:t xml:space="preserve">should be considered definitive. The Bureau shall then,  </w:t>
      </w:r>
      <w:r w:rsidRPr="00C63C3C">
        <w:rPr>
          <w:rFonts w:hint="eastAsia"/>
          <w:lang w:eastAsia="zh-CN"/>
        </w:rPr>
        <w:t xml:space="preserve">in accordance with </w:t>
      </w:r>
      <w:r w:rsidRPr="00C63C3C">
        <w:rPr>
          <w:lang w:eastAsia="zh-CN"/>
        </w:rPr>
        <w:t>§</w:t>
      </w:r>
      <w:r w:rsidRPr="00C63C3C">
        <w:rPr>
          <w:rFonts w:hint="eastAsia"/>
          <w:lang w:eastAsia="zh-CN"/>
        </w:rPr>
        <w:t xml:space="preserve">6.16 of Appendix </w:t>
      </w:r>
      <w:r w:rsidRPr="00791D05">
        <w:rPr>
          <w:b/>
          <w:bCs/>
          <w:lang w:eastAsia="zh-CN"/>
        </w:rPr>
        <w:t>30B</w:t>
      </w:r>
      <w:r>
        <w:rPr>
          <w:rFonts w:hint="eastAsia"/>
          <w:lang w:eastAsia="zh-CN"/>
        </w:rPr>
        <w:t xml:space="preserve"> , exclude the territory</w:t>
      </w:r>
      <w:r>
        <w:rPr>
          <w:lang w:eastAsia="zh-CN"/>
        </w:rPr>
        <w:t xml:space="preserve"> and </w:t>
      </w:r>
      <w:r>
        <w:t>test points that are within the territory</w:t>
      </w:r>
      <w:r>
        <w:rPr>
          <w:rFonts w:hint="eastAsia"/>
          <w:lang w:eastAsia="zh-CN"/>
        </w:rPr>
        <w:t xml:space="preserve"> of that objecting </w:t>
      </w:r>
      <w:r>
        <w:rPr>
          <w:lang w:eastAsia="zh-CN"/>
        </w:rPr>
        <w:t>a</w:t>
      </w:r>
      <w:r>
        <w:rPr>
          <w:rFonts w:hint="eastAsia"/>
          <w:lang w:eastAsia="zh-CN"/>
        </w:rPr>
        <w:t xml:space="preserve">dministration </w:t>
      </w:r>
      <w:r w:rsidRPr="00045858">
        <w:rPr>
          <w:rFonts w:hint="eastAsia"/>
          <w:lang w:eastAsia="zh-CN"/>
        </w:rPr>
        <w:t xml:space="preserve">from the </w:t>
      </w:r>
      <w:r w:rsidRPr="00045858">
        <w:rPr>
          <w:lang w:eastAsia="zh-CN"/>
        </w:rPr>
        <w:t xml:space="preserve">service area of the </w:t>
      </w:r>
      <w:r w:rsidRPr="00045858">
        <w:rPr>
          <w:rFonts w:hint="eastAsia"/>
          <w:lang w:eastAsia="zh-CN"/>
        </w:rPr>
        <w:t xml:space="preserve">assignment </w:t>
      </w:r>
      <w:r>
        <w:rPr>
          <w:rFonts w:hint="eastAsia"/>
          <w:lang w:eastAsia="zh-CN"/>
        </w:rPr>
        <w:t xml:space="preserve">objected </w:t>
      </w:r>
      <w:r>
        <w:rPr>
          <w:lang w:eastAsia="zh-CN"/>
        </w:rPr>
        <w:t xml:space="preserve">and </w:t>
      </w:r>
      <w:r>
        <w:rPr>
          <w:rFonts w:hint="eastAsia"/>
          <w:lang w:eastAsia="zh-CN"/>
        </w:rPr>
        <w:t xml:space="preserve">publish </w:t>
      </w:r>
      <w:r>
        <w:rPr>
          <w:lang w:eastAsia="zh-CN"/>
        </w:rPr>
        <w:t xml:space="preserve">the </w:t>
      </w:r>
      <w:r>
        <w:rPr>
          <w:rFonts w:hint="eastAsia"/>
          <w:lang w:eastAsia="zh-CN"/>
        </w:rPr>
        <w:t>modifi</w:t>
      </w:r>
      <w:r>
        <w:rPr>
          <w:lang w:eastAsia="zh-CN"/>
        </w:rPr>
        <w:t xml:space="preserve">ed service area in </w:t>
      </w:r>
      <w:r w:rsidRPr="000443C7">
        <w:rPr>
          <w:lang w:eastAsia="zh-CN"/>
        </w:rPr>
        <w:t>a</w:t>
      </w:r>
      <w:r w:rsidRPr="006A50E8">
        <w:rPr>
          <w:lang w:eastAsia="zh-CN"/>
        </w:rPr>
        <w:t xml:space="preserve"> modification to the corresponding</w:t>
      </w:r>
      <w:r w:rsidRPr="000443C7">
        <w:rPr>
          <w:lang w:eastAsia="zh-CN"/>
        </w:rPr>
        <w:t xml:space="preserve"> </w:t>
      </w:r>
      <w:r w:rsidRPr="005E7F8F">
        <w:t>AP30B/A6</w:t>
      </w:r>
      <w:r>
        <w:rPr>
          <w:rFonts w:hint="eastAsia"/>
          <w:lang w:eastAsia="zh-CN"/>
        </w:rPr>
        <w:t>A</w:t>
      </w:r>
      <w:r>
        <w:rPr>
          <w:lang w:eastAsia="zh-CN"/>
        </w:rPr>
        <w:t>/--</w:t>
      </w:r>
      <w:r w:rsidRPr="005E7F8F">
        <w:t xml:space="preserve"> Special Section</w:t>
      </w:r>
      <w:r>
        <w:rPr>
          <w:rFonts w:hint="eastAsia"/>
          <w:lang w:eastAsia="zh-CN"/>
        </w:rPr>
        <w:t>. The modifi</w:t>
      </w:r>
      <w:r>
        <w:rPr>
          <w:lang w:eastAsia="zh-CN"/>
        </w:rPr>
        <w:t xml:space="preserve">cation to the </w:t>
      </w:r>
      <w:r>
        <w:rPr>
          <w:rFonts w:hint="eastAsia"/>
          <w:lang w:eastAsia="zh-CN"/>
        </w:rPr>
        <w:t xml:space="preserve">service area </w:t>
      </w:r>
      <w:r>
        <w:rPr>
          <w:lang w:eastAsia="zh-CN"/>
        </w:rPr>
        <w:t>and the deletion of test points</w:t>
      </w:r>
      <w:r>
        <w:rPr>
          <w:rFonts w:hint="eastAsia"/>
          <w:lang w:eastAsia="zh-CN"/>
        </w:rPr>
        <w:t xml:space="preserve"> shall then be </w:t>
      </w:r>
      <w:r>
        <w:rPr>
          <w:lang w:eastAsia="zh-CN"/>
        </w:rPr>
        <w:t xml:space="preserve">taken into account </w:t>
      </w:r>
      <w:r>
        <w:rPr>
          <w:rFonts w:hint="eastAsia"/>
          <w:lang w:eastAsia="zh-CN"/>
        </w:rPr>
        <w:t>in the subsequent examinations</w:t>
      </w:r>
      <w:r>
        <w:rPr>
          <w:lang w:eastAsia="zh-CN"/>
        </w:rPr>
        <w:t xml:space="preserve"> including examination</w:t>
      </w:r>
      <w:r>
        <w:rPr>
          <w:rFonts w:hint="eastAsia"/>
          <w:lang w:eastAsia="zh-CN"/>
        </w:rPr>
        <w:t>s</w:t>
      </w:r>
      <w:r>
        <w:rPr>
          <w:lang w:eastAsia="zh-CN"/>
        </w:rPr>
        <w:t xml:space="preserve"> under </w:t>
      </w:r>
      <w:r w:rsidRPr="00C63C3C">
        <w:rPr>
          <w:lang w:eastAsia="zh-CN"/>
        </w:rPr>
        <w:t>§</w:t>
      </w:r>
      <w:r w:rsidRPr="00C63C3C">
        <w:rPr>
          <w:rFonts w:hint="eastAsia"/>
          <w:lang w:eastAsia="zh-CN"/>
        </w:rPr>
        <w:t>6.</w:t>
      </w:r>
      <w:r>
        <w:rPr>
          <w:lang w:eastAsia="zh-CN"/>
        </w:rPr>
        <w:t>21 and 6.22</w:t>
      </w:r>
      <w:r w:rsidRPr="00C63C3C">
        <w:rPr>
          <w:rFonts w:hint="eastAsia"/>
          <w:lang w:eastAsia="zh-CN"/>
        </w:rPr>
        <w:t xml:space="preserve"> of Appendix </w:t>
      </w:r>
      <w:r w:rsidRPr="0021000A">
        <w:rPr>
          <w:rFonts w:hint="eastAsia"/>
          <w:b/>
          <w:bCs/>
          <w:lang w:eastAsia="zh-CN"/>
        </w:rPr>
        <w:t>30B</w:t>
      </w:r>
      <w:r>
        <w:rPr>
          <w:lang w:eastAsia="zh-CN"/>
        </w:rPr>
        <w:t xml:space="preserve"> of the network submitted by the objecting administration under </w:t>
      </w:r>
      <w:r w:rsidRPr="00C63C3C">
        <w:rPr>
          <w:lang w:eastAsia="zh-CN"/>
        </w:rPr>
        <w:t>§</w:t>
      </w:r>
      <w:r w:rsidRPr="00C63C3C">
        <w:rPr>
          <w:rFonts w:hint="eastAsia"/>
          <w:lang w:eastAsia="zh-CN"/>
        </w:rPr>
        <w:t>6</w:t>
      </w:r>
      <w:r>
        <w:rPr>
          <w:lang w:eastAsia="zh-CN"/>
        </w:rPr>
        <w:t>.</w:t>
      </w:r>
      <w:r>
        <w:rPr>
          <w:rFonts w:hint="eastAsia"/>
          <w:lang w:eastAsia="zh-CN"/>
        </w:rPr>
        <w:t>17</w:t>
      </w:r>
      <w:r w:rsidRPr="00C63C3C">
        <w:rPr>
          <w:rFonts w:hint="eastAsia"/>
          <w:lang w:eastAsia="zh-CN"/>
        </w:rPr>
        <w:t xml:space="preserve"> of Appendix </w:t>
      </w:r>
      <w:r w:rsidRPr="0021000A">
        <w:rPr>
          <w:rFonts w:hint="eastAsia"/>
          <w:b/>
          <w:bCs/>
          <w:lang w:eastAsia="zh-CN"/>
        </w:rPr>
        <w:t>30B</w:t>
      </w:r>
      <w:r>
        <w:rPr>
          <w:rFonts w:hint="eastAsia"/>
          <w:lang w:eastAsia="zh-CN"/>
        </w:rPr>
        <w:t>.</w:t>
      </w:r>
    </w:p>
    <w:p w:rsidR="00DE57F6" w:rsidRDefault="00DE57F6" w:rsidP="004C01D1">
      <w:pPr>
        <w:pStyle w:val="Heading8"/>
      </w:pPr>
      <w:r>
        <w:br w:type="page"/>
      </w:r>
    </w:p>
    <w:p w:rsidR="00BA061E" w:rsidRPr="004C01D1" w:rsidRDefault="00BA061E" w:rsidP="004C01D1">
      <w:pPr>
        <w:pStyle w:val="Heading8"/>
      </w:pPr>
      <w:r w:rsidRPr="004C01D1">
        <w:lastRenderedPageBreak/>
        <w:t>6.19</w:t>
      </w:r>
      <w:r w:rsidR="004C01D1" w:rsidRPr="004C01D1">
        <w:t xml:space="preserve"> </w:t>
      </w:r>
      <w:r w:rsidRPr="004C01D1">
        <w:rPr>
          <w:i/>
          <w:iCs/>
        </w:rPr>
        <w:t>b)</w:t>
      </w:r>
    </w:p>
    <w:p w:rsidR="00BA061E" w:rsidRPr="004C01D1" w:rsidRDefault="00BA061E" w:rsidP="0001013B">
      <w:r w:rsidRPr="004C01D1">
        <w:t>See Rules of Procedure relating to § 6.3</w:t>
      </w:r>
      <w:r w:rsidR="004C01D1" w:rsidRPr="004C01D1">
        <w:t xml:space="preserve"> </w:t>
      </w:r>
      <w:r w:rsidRPr="004C01D1">
        <w:rPr>
          <w:i/>
          <w:iCs/>
        </w:rPr>
        <w:t>a)</w:t>
      </w:r>
      <w:r w:rsidRPr="004C01D1">
        <w:t>.</w:t>
      </w:r>
    </w:p>
    <w:p w:rsidR="002845B5" w:rsidRPr="004C01D1" w:rsidRDefault="002845B5" w:rsidP="007C5B6A">
      <w:pPr>
        <w:pStyle w:val="Heading8"/>
        <w:spacing w:before="300"/>
      </w:pPr>
      <w:r w:rsidRPr="004C01D1">
        <w:t>6.21</w:t>
      </w:r>
    </w:p>
    <w:p w:rsidR="00DE57F6" w:rsidRDefault="002845B5" w:rsidP="00DE57F6">
      <w:r w:rsidRPr="004C01D1">
        <w:t>See Rules of Procedure relating to § 6.5.</w:t>
      </w:r>
    </w:p>
    <w:p w:rsidR="00365999" w:rsidRPr="004C01D1" w:rsidRDefault="00365999" w:rsidP="00BA061E">
      <w:pPr>
        <w:pStyle w:val="Heading8"/>
      </w:pPr>
      <w:r w:rsidRPr="004C01D1">
        <w:rPr>
          <w:color w:val="000000"/>
        </w:rPr>
        <w:t>Art</w:t>
      </w:r>
      <w:r w:rsidRPr="004C01D1">
        <w:t>. 7</w:t>
      </w:r>
    </w:p>
    <w:p w:rsidR="00DE25FE" w:rsidRPr="004C01D1" w:rsidRDefault="00DE25FE" w:rsidP="004C01D1">
      <w:pPr>
        <w:pStyle w:val="Heading2"/>
        <w:ind w:left="0" w:firstLine="0"/>
        <w:jc w:val="center"/>
      </w:pPr>
      <w:r w:rsidRPr="004C01D1">
        <w:t xml:space="preserve">Procedure for the addition of a new allotment to the Plan </w:t>
      </w:r>
      <w:r w:rsidRPr="004C01D1">
        <w:br/>
        <w:t>for a new Member State of the Union</w:t>
      </w:r>
    </w:p>
    <w:p w:rsidR="00DE25FE" w:rsidRPr="004C01D1" w:rsidRDefault="00DE25FE" w:rsidP="004C01D1">
      <w:pPr>
        <w:pStyle w:val="Heading8"/>
        <w:spacing w:before="300"/>
      </w:pPr>
      <w:r w:rsidRPr="004C01D1">
        <w:t>7.3</w:t>
      </w:r>
    </w:p>
    <w:p w:rsidR="00DE25FE" w:rsidRPr="004C01D1" w:rsidRDefault="00DE25FE" w:rsidP="0001013B">
      <w:pPr>
        <w:rPr>
          <w:b/>
        </w:rPr>
      </w:pPr>
      <w:r w:rsidRPr="004C01D1">
        <w:rPr>
          <w:b/>
        </w:rPr>
        <w:t>New allotment to the Plan for a new Member State of the Union</w:t>
      </w:r>
    </w:p>
    <w:p w:rsidR="00DE25FE" w:rsidRPr="004C01D1" w:rsidRDefault="00DE25FE" w:rsidP="004C01D1">
      <w:r w:rsidRPr="004C01D1">
        <w:t>1</w:t>
      </w:r>
      <w:r w:rsidRPr="004C01D1">
        <w:tab/>
        <w:t xml:space="preserve">Provision § 7.3 of Appendix </w:t>
      </w:r>
      <w:r w:rsidRPr="004C01D1">
        <w:rPr>
          <w:b/>
          <w:bCs/>
        </w:rPr>
        <w:t>30B</w:t>
      </w:r>
      <w:r w:rsidRPr="004C01D1">
        <w:t xml:space="preserve"> requests the Bureau to identify appropriate technical characteristics and associated orbital locations for a prospective national allotment upon receipt of a request from a new Member State.</w:t>
      </w:r>
    </w:p>
    <w:p w:rsidR="00D34692" w:rsidRPr="004C01D1" w:rsidRDefault="00D34692" w:rsidP="00CB70A1">
      <w:r w:rsidRPr="004C01D1">
        <w:t xml:space="preserve">The Bureau shall apply the procedures described below to find an appropriate orbital position for an allotment in the Appendix </w:t>
      </w:r>
      <w:r w:rsidRPr="004C01D1">
        <w:rPr>
          <w:b/>
          <w:bCs/>
        </w:rPr>
        <w:t>30B</w:t>
      </w:r>
      <w:r w:rsidRPr="004C01D1">
        <w:t xml:space="preserve"> Plan for a new Member State.</w:t>
      </w:r>
    </w:p>
    <w:p w:rsidR="00DE25FE" w:rsidRDefault="00DE25FE" w:rsidP="004C01D1">
      <w:r w:rsidRPr="004C01D1">
        <w:t>2</w:t>
      </w:r>
      <w:r w:rsidRPr="004C01D1">
        <w:tab/>
        <w:t>The Bureau shall ensure that all submitted test-points are located within the national territory of the new Member State. Test-point locations shall be verified using the ITU Digiti</w:t>
      </w:r>
      <w:r w:rsidR="00D34692" w:rsidRPr="004C01D1">
        <w:t>z</w:t>
      </w:r>
      <w:r w:rsidRPr="004C01D1">
        <w:t>ed World Map. In addition, in the absence of a height above sea level, a value of zero metres shall be assumed by the Bureau.</w:t>
      </w:r>
    </w:p>
    <w:p w:rsidR="00DE57F6" w:rsidRDefault="00DE57F6" w:rsidP="004C01D1"/>
    <w:p w:rsidR="00DE57F6" w:rsidRPr="004C01D1" w:rsidRDefault="00DE57F6" w:rsidP="004C01D1"/>
    <w:p w:rsidR="00781F68" w:rsidRDefault="00781F68" w:rsidP="004C01D1">
      <w:r>
        <w:br w:type="page"/>
      </w:r>
    </w:p>
    <w:p w:rsidR="00DE25FE" w:rsidRPr="004C01D1" w:rsidRDefault="00DE25FE" w:rsidP="004C01D1">
      <w:r w:rsidRPr="004C01D1">
        <w:lastRenderedPageBreak/>
        <w:t>3</w:t>
      </w:r>
      <w:r w:rsidRPr="004C01D1">
        <w:tab/>
        <w:t>In order to facilitate the implementation of the orbital position selection approach described in §</w:t>
      </w:r>
      <w:r w:rsidR="00E82238" w:rsidRPr="004C01D1">
        <w:t> </w:t>
      </w:r>
      <w:r w:rsidRPr="004C01D1">
        <w:t>8</w:t>
      </w:r>
      <w:r w:rsidR="00E82238" w:rsidRPr="004C01D1">
        <w:t xml:space="preserve"> </w:t>
      </w:r>
      <w:r w:rsidRPr="004C01D1">
        <w:t>below, the new Member State may provide under §</w:t>
      </w:r>
      <w:r w:rsidR="004C01D1" w:rsidRPr="004C01D1">
        <w:t> </w:t>
      </w:r>
      <w:r w:rsidRPr="004C01D1">
        <w:t xml:space="preserve">7.2 </w:t>
      </w:r>
      <w:r w:rsidRPr="004C01D1">
        <w:rPr>
          <w:i/>
          <w:iCs/>
        </w:rPr>
        <w:t>c)</w:t>
      </w:r>
      <w:r w:rsidRPr="004C01D1">
        <w:t xml:space="preserve"> of Article 7 of Appendix </w:t>
      </w:r>
      <w:r w:rsidRPr="004C01D1">
        <w:rPr>
          <w:b/>
          <w:bCs/>
        </w:rPr>
        <w:t>30B</w:t>
      </w:r>
      <w:r w:rsidRPr="004C01D1">
        <w:t xml:space="preserve"> its preferred orbital position(s) and/or its preferred orbital arc(s), bearing in mind that the implementation of these preferences might not be possible due to excesses of interference to or from other allotments or assignments of Appendix</w:t>
      </w:r>
      <w:r w:rsidR="004C01D1" w:rsidRPr="004C01D1">
        <w:t> </w:t>
      </w:r>
      <w:r w:rsidRPr="004C01D1">
        <w:rPr>
          <w:b/>
          <w:bCs/>
        </w:rPr>
        <w:t>30B</w:t>
      </w:r>
      <w:r w:rsidRPr="004C01D1">
        <w:t>.</w:t>
      </w:r>
    </w:p>
    <w:p w:rsidR="00E82238" w:rsidRPr="004C01D1" w:rsidRDefault="00DE25FE" w:rsidP="004C01D1">
      <w:r w:rsidRPr="004C01D1">
        <w:t>4</w:t>
      </w:r>
      <w:r w:rsidRPr="004C01D1">
        <w:tab/>
        <w:t xml:space="preserve">The Bureau shall establish the required minimum elevation angles associated to each test-point in accordance with § 1.3 of Annex 1 to Appendix </w:t>
      </w:r>
      <w:r w:rsidRPr="004C01D1">
        <w:rPr>
          <w:b/>
          <w:bCs/>
        </w:rPr>
        <w:t>30B</w:t>
      </w:r>
      <w:r w:rsidRPr="004C01D1">
        <w:t>. The service arc shall then be calculated in order to meet the required minimum elevation angles of all test-points.</w:t>
      </w:r>
    </w:p>
    <w:p w:rsidR="00DE25FE" w:rsidRPr="004C01D1" w:rsidRDefault="00DE25FE" w:rsidP="004C01D1">
      <w:r w:rsidRPr="004C01D1">
        <w:t>5</w:t>
      </w:r>
      <w:r w:rsidRPr="004C01D1">
        <w:tab/>
        <w:t>With regard to the generation of the minimum ellipse to cover the national territory of the new Member State, the Bureau shall use a space station antenna beam pointing error of 0.1</w:t>
      </w:r>
      <w:r w:rsidRPr="004C01D1">
        <w:sym w:font="Symbol" w:char="F0B0"/>
      </w:r>
      <w:r w:rsidRPr="004C01D1">
        <w:t xml:space="preserve"> for the generation of elliptical beams under Article 7 of Appendix</w:t>
      </w:r>
      <w:r w:rsidR="004C01D1" w:rsidRPr="004C01D1">
        <w:t> </w:t>
      </w:r>
      <w:r w:rsidRPr="004C01D1">
        <w:rPr>
          <w:b/>
          <w:bCs/>
        </w:rPr>
        <w:t>30B</w:t>
      </w:r>
      <w:r w:rsidRPr="004C01D1">
        <w:t>.</w:t>
      </w:r>
    </w:p>
    <w:p w:rsidR="00DE25FE" w:rsidRPr="004C01D1" w:rsidRDefault="00DE25FE" w:rsidP="004C01D1">
      <w:r w:rsidRPr="004C01D1">
        <w:t>6</w:t>
      </w:r>
      <w:r w:rsidRPr="004C01D1">
        <w:tab/>
        <w:t xml:space="preserve">With regard to the transmitting and receiving space station antenna maximum gain values, as a function of the major and minor axes of the ellipse, instead of using the definition contained in § 1.7.2 of Annex 1 to Appendix </w:t>
      </w:r>
      <w:r w:rsidRPr="004C01D1">
        <w:rPr>
          <w:b/>
          <w:bCs/>
        </w:rPr>
        <w:t>30B</w:t>
      </w:r>
      <w:r w:rsidRPr="004C01D1">
        <w:t xml:space="preserve"> the Bureau shall use the more precise formula defined in § 3.13.1 of Annex 5 and </w:t>
      </w:r>
      <w:r w:rsidR="00E82238" w:rsidRPr="004C01D1">
        <w:t>§ </w:t>
      </w:r>
      <w:r w:rsidRPr="004C01D1">
        <w:t>3.7.1 of Annex 3 of Appendices </w:t>
      </w:r>
      <w:r w:rsidRPr="004C01D1">
        <w:rPr>
          <w:b/>
          <w:bCs/>
        </w:rPr>
        <w:t>30</w:t>
      </w:r>
      <w:r w:rsidRPr="004C01D1">
        <w:t xml:space="preserve"> and</w:t>
      </w:r>
      <w:r w:rsidR="004C01D1" w:rsidRPr="004C01D1">
        <w:t> </w:t>
      </w:r>
      <w:r w:rsidRPr="004C01D1">
        <w:rPr>
          <w:b/>
          <w:bCs/>
        </w:rPr>
        <w:t>30A</w:t>
      </w:r>
      <w:r w:rsidRPr="004C01D1">
        <w:t>, respectively.</w:t>
      </w:r>
    </w:p>
    <w:p w:rsidR="00DE25FE" w:rsidRPr="004C01D1" w:rsidRDefault="00DE25FE" w:rsidP="004C01D1">
      <w:pPr>
        <w:spacing w:line="270" w:lineRule="exact"/>
      </w:pPr>
      <w:r w:rsidRPr="004C01D1">
        <w:t>7</w:t>
      </w:r>
      <w:r w:rsidRPr="004C01D1">
        <w:tab/>
        <w:t xml:space="preserve">With regard to the calculation of the maximum power density values, the Bureau shall assume the worst-case conditions in terms of space station antenna pointing error and rotational accuracy for the calculation of the antenna gain in the direction of each test-point, in order to ensure that the objective </w:t>
      </w:r>
      <w:r w:rsidRPr="004C01D1">
        <w:rPr>
          <w:i/>
          <w:iCs/>
        </w:rPr>
        <w:t>C</w:t>
      </w:r>
      <w:r w:rsidRPr="004C01D1">
        <w:t>/</w:t>
      </w:r>
      <w:r w:rsidRPr="004C01D1">
        <w:rPr>
          <w:i/>
          <w:iCs/>
        </w:rPr>
        <w:t>N</w:t>
      </w:r>
      <w:r w:rsidRPr="004C01D1">
        <w:t xml:space="preserve"> ratios defined in § 1.2 of Annex 1 to Appendix </w:t>
      </w:r>
      <w:r w:rsidRPr="004C01D1">
        <w:rPr>
          <w:b/>
          <w:bCs/>
        </w:rPr>
        <w:t>30B</w:t>
      </w:r>
      <w:r w:rsidRPr="004C01D1">
        <w:t xml:space="preserve"> are met for all test points, i.e., assume the minimum gain value of the antenna, taking into account a pointing error of 0.1</w:t>
      </w:r>
      <w:r w:rsidRPr="004C01D1">
        <w:sym w:font="Symbol" w:char="F0B0"/>
      </w:r>
      <w:r w:rsidRPr="004C01D1">
        <w:t xml:space="preserve"> and a rotational accuracy of </w:t>
      </w:r>
      <w:r w:rsidRPr="004C01D1">
        <w:sym w:font="Symbol" w:char="F0B1"/>
      </w:r>
      <w:r w:rsidR="004C01D1" w:rsidRPr="004C01D1">
        <w:rPr>
          <w:rFonts w:ascii="Tms Rmn" w:hAnsi="Tms Rmn"/>
          <w:sz w:val="12"/>
        </w:rPr>
        <w:t> </w:t>
      </w:r>
      <w:r w:rsidRPr="004C01D1">
        <w:t>1.0</w:t>
      </w:r>
      <w:r w:rsidRPr="004C01D1">
        <w:sym w:font="Symbol" w:char="F0B0"/>
      </w:r>
      <w:r w:rsidRPr="004C01D1">
        <w:t>.</w:t>
      </w:r>
    </w:p>
    <w:p w:rsidR="00DE25FE" w:rsidRPr="004C01D1" w:rsidRDefault="00DE25FE" w:rsidP="00CB70A1">
      <w:r w:rsidRPr="004C01D1">
        <w:t>8</w:t>
      </w:r>
      <w:r w:rsidRPr="004C01D1">
        <w:tab/>
        <w:t>With regard to the selection of orbital position, the Bureau shall use an automated approach based on an iterative process as follows:</w:t>
      </w:r>
    </w:p>
    <w:p w:rsidR="00DE25FE" w:rsidRPr="004C01D1" w:rsidRDefault="00DE25FE" w:rsidP="004C01D1">
      <w:r w:rsidRPr="004C01D1">
        <w:t>8.1</w:t>
      </w:r>
      <w:r w:rsidRPr="004C01D1">
        <w:tab/>
        <w:t>Once the service arc is calculated, as mentioned in §</w:t>
      </w:r>
      <w:r w:rsidR="004C01D1" w:rsidRPr="004C01D1">
        <w:t> </w:t>
      </w:r>
      <w:r w:rsidRPr="004C01D1">
        <w:t>4 above, an iterative process is implemented to identify suitable orbital position(s) within that arc for the allotment to the new Member State in question.</w:t>
      </w:r>
    </w:p>
    <w:p w:rsidR="00DE25FE" w:rsidRPr="004C01D1" w:rsidRDefault="00DE25FE" w:rsidP="00CB70A1">
      <w:r w:rsidRPr="004C01D1">
        <w:t>8.2</w:t>
      </w:r>
      <w:r w:rsidRPr="004C01D1">
        <w:tab/>
        <w:t>The Bureau shall assume a minimum orbital position step of 0.1</w:t>
      </w:r>
      <w:r w:rsidRPr="004C01D1">
        <w:sym w:font="Symbol" w:char="F0B0"/>
      </w:r>
      <w:r w:rsidRPr="004C01D1">
        <w:t xml:space="preserve"> in this process.</w:t>
      </w:r>
    </w:p>
    <w:p w:rsidR="00DE25FE" w:rsidRPr="004C01D1" w:rsidRDefault="00DE25FE" w:rsidP="00CB70A1">
      <w:r w:rsidRPr="004C01D1">
        <w:t>8.3</w:t>
      </w:r>
      <w:r w:rsidRPr="004C01D1">
        <w:tab/>
        <w:t>Each new possible orbital position shall be examined by the Bureau as follows:</w:t>
      </w:r>
    </w:p>
    <w:p w:rsidR="00DE25FE" w:rsidRPr="004C01D1" w:rsidRDefault="00DE25FE" w:rsidP="004C01D1">
      <w:pPr>
        <w:pStyle w:val="enumlev1"/>
      </w:pPr>
      <w:r w:rsidRPr="004C01D1">
        <w:sym w:font="Symbol" w:char="F02D"/>
      </w:r>
      <w:r w:rsidRPr="004C01D1">
        <w:tab/>
        <w:t>regenerate the elliptical beam parameters;</w:t>
      </w:r>
    </w:p>
    <w:p w:rsidR="00DE25FE" w:rsidRPr="004C01D1" w:rsidRDefault="00DE25FE" w:rsidP="004C01D1">
      <w:pPr>
        <w:pStyle w:val="enumlev1"/>
      </w:pPr>
      <w:r w:rsidRPr="004C01D1">
        <w:sym w:font="Symbol" w:char="F02D"/>
      </w:r>
      <w:r w:rsidRPr="004C01D1">
        <w:tab/>
        <w:t>recalculate the required power density values;</w:t>
      </w:r>
    </w:p>
    <w:p w:rsidR="00DE25FE" w:rsidRPr="004C01D1" w:rsidRDefault="00DE25FE" w:rsidP="004C01D1">
      <w:pPr>
        <w:pStyle w:val="enumlev1"/>
      </w:pPr>
      <w:r w:rsidRPr="004C01D1">
        <w:sym w:font="Symbol" w:char="F02D"/>
      </w:r>
      <w:r w:rsidRPr="004C01D1">
        <w:tab/>
        <w:t>using the criteria</w:t>
      </w:r>
      <w:r w:rsidR="004C01D1" w:rsidRPr="004C01D1">
        <w:rPr>
          <w:rStyle w:val="FootnoteReference"/>
          <w:sz w:val="20"/>
        </w:rPr>
        <w:footnoteReference w:customMarkFollows="1" w:id="3"/>
        <w:t>3</w:t>
      </w:r>
      <w:r w:rsidRPr="004C01D1">
        <w:t xml:space="preserve"> of Annex 3 and Annex 4 of Appendix </w:t>
      </w:r>
      <w:r w:rsidRPr="004C01D1">
        <w:rPr>
          <w:b/>
          <w:bCs/>
        </w:rPr>
        <w:t>30B</w:t>
      </w:r>
      <w:r w:rsidRPr="004C01D1">
        <w:t>, determine whether the new allotment at that orbital position is compatible with the allotments and the assignments as mentioned in § 7.5 of Article</w:t>
      </w:r>
      <w:r w:rsidR="004C01D1" w:rsidRPr="004C01D1">
        <w:t> </w:t>
      </w:r>
      <w:r w:rsidRPr="004C01D1">
        <w:t>7.</w:t>
      </w:r>
    </w:p>
    <w:p w:rsidR="001838C3" w:rsidRPr="004C01D1" w:rsidRDefault="001838C3" w:rsidP="001838C3">
      <w:r>
        <w:br w:type="page"/>
      </w:r>
      <w:r w:rsidRPr="004C01D1">
        <w:lastRenderedPageBreak/>
        <w:t>9</w:t>
      </w:r>
      <w:r w:rsidRPr="004C01D1">
        <w:tab/>
        <w:t xml:space="preserve">The Bureau shall identify the most appropriate orbital position(s) with the aim to minimize the </w:t>
      </w:r>
      <w:r w:rsidRPr="004C01D1">
        <w:rPr>
          <w:i/>
          <w:iCs/>
        </w:rPr>
        <w:t>C</w:t>
      </w:r>
      <w:r w:rsidRPr="004C01D1">
        <w:t>/</w:t>
      </w:r>
      <w:r w:rsidRPr="004C01D1">
        <w:rPr>
          <w:i/>
          <w:iCs/>
        </w:rPr>
        <w:t>I</w:t>
      </w:r>
      <w:r w:rsidRPr="004C01D1">
        <w:t xml:space="preserve"> excesses caused or received from other allotment(s), or assignment(s) of Appendix </w:t>
      </w:r>
      <w:r w:rsidRPr="004C01D1">
        <w:rPr>
          <w:b/>
          <w:bCs/>
        </w:rPr>
        <w:t>30B</w:t>
      </w:r>
      <w:r w:rsidRPr="004C01D1">
        <w:t xml:space="preserve"> and send this information to the requesting administration in accordance with § 7.3 of Article 7.</w:t>
      </w:r>
    </w:p>
    <w:p w:rsidR="001838C3" w:rsidRPr="004C01D1" w:rsidRDefault="001838C3" w:rsidP="001838C3">
      <w:pPr>
        <w:pStyle w:val="Heading8"/>
      </w:pPr>
      <w:r w:rsidRPr="004C01D1">
        <w:t>7.5</w:t>
      </w:r>
      <w:r>
        <w:t xml:space="preserve"> </w:t>
      </w:r>
      <w:r w:rsidRPr="00CA762B">
        <w:rPr>
          <w:i/>
          <w:iCs/>
        </w:rPr>
        <w:t>a)</w:t>
      </w:r>
    </w:p>
    <w:p w:rsidR="001838C3" w:rsidRDefault="001838C3" w:rsidP="001838C3">
      <w:r w:rsidRPr="004C01D1">
        <w:t xml:space="preserve">See Rules of Procedure relating to § 6.3 </w:t>
      </w:r>
      <w:r w:rsidRPr="004C01D1">
        <w:rPr>
          <w:i/>
          <w:iCs/>
        </w:rPr>
        <w:t>a)</w:t>
      </w:r>
      <w:r w:rsidRPr="004C01D1">
        <w:t>.</w:t>
      </w:r>
    </w:p>
    <w:p w:rsidR="003E6EEE" w:rsidRPr="004C01D1" w:rsidRDefault="003E6EEE" w:rsidP="003E6EEE">
      <w:pPr>
        <w:spacing w:before="480"/>
      </w:pPr>
      <w:r>
        <w:rPr>
          <w:sz w:val="16"/>
          <w:szCs w:val="16"/>
        </w:rPr>
        <w:t>(ADD RRB12/60)</w:t>
      </w:r>
    </w:p>
    <w:p w:rsidR="003E6EEE" w:rsidRPr="004C01D1" w:rsidRDefault="003E6EEE" w:rsidP="003E6EEE">
      <w:pPr>
        <w:pStyle w:val="Heading8"/>
        <w:spacing w:before="240"/>
      </w:pPr>
      <w:r w:rsidRPr="004C01D1">
        <w:rPr>
          <w:color w:val="000000"/>
        </w:rPr>
        <w:t>Art</w:t>
      </w:r>
      <w:r w:rsidRPr="004C01D1">
        <w:t xml:space="preserve">. </w:t>
      </w:r>
      <w:r>
        <w:t>8</w:t>
      </w:r>
    </w:p>
    <w:p w:rsidR="003E6EEE" w:rsidRDefault="003E6EEE" w:rsidP="005C5F37">
      <w:pPr>
        <w:pStyle w:val="Heading2"/>
        <w:ind w:left="0" w:firstLine="0"/>
        <w:jc w:val="center"/>
        <w:rPr>
          <w:bCs/>
          <w:lang w:eastAsia="zh-CN"/>
        </w:rPr>
      </w:pPr>
      <w:r w:rsidRPr="00CE6597">
        <w:rPr>
          <w:bCs/>
        </w:rPr>
        <w:t xml:space="preserve">Procedure for </w:t>
      </w:r>
      <w:r>
        <w:rPr>
          <w:bCs/>
          <w:lang w:eastAsia="zh-CN"/>
        </w:rPr>
        <w:t>notification</w:t>
      </w:r>
      <w:r>
        <w:rPr>
          <w:rFonts w:hint="eastAsia"/>
          <w:bCs/>
          <w:lang w:eastAsia="zh-CN"/>
        </w:rPr>
        <w:t xml:space="preserve"> and recording in the Master Register </w:t>
      </w:r>
      <w:r>
        <w:rPr>
          <w:b w:val="0"/>
          <w:bCs/>
          <w:lang w:eastAsia="zh-CN"/>
        </w:rPr>
        <w:br/>
      </w:r>
      <w:r>
        <w:rPr>
          <w:rFonts w:hint="eastAsia"/>
          <w:bCs/>
          <w:lang w:eastAsia="zh-CN"/>
        </w:rPr>
        <w:t xml:space="preserve">of assignments in the Planned bands for </w:t>
      </w:r>
      <w:r>
        <w:rPr>
          <w:bCs/>
          <w:lang w:eastAsia="zh-CN"/>
        </w:rPr>
        <w:t>t</w:t>
      </w:r>
      <w:r>
        <w:rPr>
          <w:rFonts w:hint="eastAsia"/>
          <w:bCs/>
          <w:lang w:eastAsia="zh-CN"/>
        </w:rPr>
        <w:t xml:space="preserve">he </w:t>
      </w:r>
      <w:r>
        <w:rPr>
          <w:b w:val="0"/>
          <w:bCs/>
          <w:lang w:eastAsia="zh-CN"/>
        </w:rPr>
        <w:br/>
      </w:r>
      <w:r>
        <w:rPr>
          <w:rFonts w:hint="eastAsia"/>
          <w:bCs/>
          <w:lang w:eastAsia="zh-CN"/>
        </w:rPr>
        <w:t>fixed-satellite service</w:t>
      </w:r>
    </w:p>
    <w:p w:rsidR="003E6EEE" w:rsidRPr="004C01D1" w:rsidRDefault="003E6EEE" w:rsidP="003E6EEE">
      <w:pPr>
        <w:pStyle w:val="Heading8"/>
      </w:pPr>
      <w:r w:rsidRPr="004C01D1">
        <w:t>8.8</w:t>
      </w:r>
    </w:p>
    <w:p w:rsidR="003E6EEE" w:rsidRDefault="003E6EEE" w:rsidP="003E6EEE">
      <w:r w:rsidRPr="004C01D1">
        <w:t xml:space="preserve">See Rules of Procedure relating to § 6.3 </w:t>
      </w:r>
      <w:r w:rsidRPr="004C01D1">
        <w:rPr>
          <w:i/>
          <w:iCs/>
        </w:rPr>
        <w:t>a)</w:t>
      </w:r>
      <w:r w:rsidRPr="004C01D1">
        <w:t>.</w:t>
      </w:r>
    </w:p>
    <w:p w:rsidR="00B71E2C" w:rsidRPr="004C01D1" w:rsidRDefault="00B71E2C" w:rsidP="00B71E2C">
      <w:pPr>
        <w:spacing w:before="480"/>
      </w:pPr>
      <w:r>
        <w:rPr>
          <w:sz w:val="16"/>
          <w:szCs w:val="16"/>
        </w:rPr>
        <w:t>(ADD RRB12/60)</w:t>
      </w:r>
    </w:p>
    <w:p w:rsidR="003E6EEE" w:rsidRPr="004C01D1" w:rsidRDefault="003E6EEE" w:rsidP="003E6EEE">
      <w:pPr>
        <w:pStyle w:val="Heading8"/>
        <w:spacing w:before="300"/>
      </w:pPr>
      <w:r>
        <w:t>8.17</w:t>
      </w:r>
    </w:p>
    <w:p w:rsidR="003E6EEE" w:rsidRDefault="003E6EEE" w:rsidP="003E6EEE">
      <w:r w:rsidRPr="00873C34">
        <w:t xml:space="preserve">In accordance with the decision of WRC-12 recorded in the minutes of the 12th Plenary Meeting, an administration may request, as of 1 January 2013, for suspension of the use of a frequency assignment to a space station for a period not exceeding three years and §8.17 of Appendix </w:t>
      </w:r>
      <w:r w:rsidRPr="00873C34">
        <w:rPr>
          <w:b/>
          <w:bCs/>
        </w:rPr>
        <w:t>30B</w:t>
      </w:r>
      <w:r w:rsidRPr="00873C34">
        <w:t xml:space="preserve"> shall be applied as follows:</w:t>
      </w:r>
    </w:p>
    <w:p w:rsidR="003E6EEE" w:rsidRDefault="003E6EEE" w:rsidP="003E6EEE">
      <w:pPr>
        <w:pStyle w:val="enumlev1"/>
      </w:pPr>
      <w:r>
        <w:t>-</w:t>
      </w:r>
      <w:r>
        <w:tab/>
      </w:r>
      <w:r w:rsidRPr="00531C8E">
        <w:rPr>
          <w:rFonts w:eastAsia="Calibri"/>
        </w:rPr>
        <w:t>Wherever the use of a frequency assignment to a space station recorded in the Master Register is suspended for a period exceeding six months, the notifying administration shall, as soon as possible, but no later than six months from the date on which the use was suspended, inform the Bureau of the date on which such use was suspended. When the recorded assignment is brought back into use, the notifying administration shall so inform the Bureau, as soon as possible. The date on which the recorded assignment is</w:t>
      </w:r>
      <w:r w:rsidRPr="00531C8E">
        <w:rPr>
          <w:rFonts w:eastAsia="Calibri"/>
          <w:color w:val="000000"/>
        </w:rPr>
        <w:t xml:space="preserve"> brought back into use</w:t>
      </w:r>
      <w:r w:rsidRPr="00531C8E">
        <w:rPr>
          <w:rFonts w:eastAsia="Calibri"/>
          <w:i/>
          <w:iCs/>
        </w:rPr>
        <w:t xml:space="preserve"> </w:t>
      </w:r>
      <w:r w:rsidRPr="00531C8E">
        <w:rPr>
          <w:rFonts w:eastAsia="Calibri"/>
        </w:rPr>
        <w:t>shall be no later than three years from the date of suspension.</w:t>
      </w:r>
    </w:p>
    <w:p w:rsidR="003E6EEE" w:rsidRDefault="003E6EEE" w:rsidP="003E6EEE">
      <w:pPr>
        <w:pStyle w:val="enumlev1"/>
      </w:pPr>
      <w:r>
        <w:t>-</w:t>
      </w:r>
      <w:r>
        <w:tab/>
      </w:r>
      <w:r w:rsidRPr="00D41CE2">
        <w:t xml:space="preserve">If </w:t>
      </w:r>
      <w:r>
        <w:t>the</w:t>
      </w:r>
      <w:r w:rsidRPr="00D41CE2">
        <w:t xml:space="preserve"> recorded frequency assignment is not brought back into use within three years from the date of suspension, the Bureau shall cancel the assignment from the Master Register and </w:t>
      </w:r>
      <w:r>
        <w:t xml:space="preserve">apply the provisions of </w:t>
      </w:r>
      <w:r w:rsidRPr="00D41CE2">
        <w:t>§</w:t>
      </w:r>
      <w:r>
        <w:t>6.33</w:t>
      </w:r>
      <w:r w:rsidRPr="00D41CE2">
        <w:t>.</w:t>
      </w:r>
    </w:p>
    <w:p w:rsidR="003E6EEE" w:rsidRDefault="003E6EEE" w:rsidP="003E6EEE">
      <w:pPr>
        <w:pStyle w:val="enumlev1"/>
        <w:rPr>
          <w:lang w:val="en-US" w:eastAsia="zh-CN"/>
        </w:rPr>
      </w:pPr>
      <w:r>
        <w:t>-</w:t>
      </w:r>
      <w:r>
        <w:tab/>
      </w:r>
      <w:r w:rsidRPr="00163071">
        <w:rPr>
          <w:rFonts w:hint="eastAsia"/>
          <w:lang w:val="en-US" w:eastAsia="zh-CN"/>
        </w:rPr>
        <w:t>The date of bring</w:t>
      </w:r>
      <w:r>
        <w:rPr>
          <w:lang w:val="en-US" w:eastAsia="zh-CN"/>
        </w:rPr>
        <w:t>ing</w:t>
      </w:r>
      <w:r w:rsidRPr="00163071">
        <w:rPr>
          <w:rFonts w:hint="eastAsia"/>
          <w:lang w:val="en-US" w:eastAsia="zh-CN"/>
        </w:rPr>
        <w:t xml:space="preserve"> back into use</w:t>
      </w:r>
      <w:r>
        <w:rPr>
          <w:lang w:val="en-US" w:eastAsia="zh-CN"/>
        </w:rPr>
        <w:t xml:space="preserve"> of</w:t>
      </w:r>
      <w:r w:rsidRPr="00163071">
        <w:rPr>
          <w:rFonts w:hint="eastAsia"/>
          <w:lang w:val="en-US" w:eastAsia="zh-CN"/>
        </w:rPr>
        <w:t xml:space="preserve"> a frequency assignment to a space station shall be understood as the same </w:t>
      </w:r>
      <w:r>
        <w:rPr>
          <w:rFonts w:hint="eastAsia"/>
          <w:lang w:val="en-US" w:eastAsia="zh-CN"/>
        </w:rPr>
        <w:t>as</w:t>
      </w:r>
      <w:r w:rsidRPr="00163071">
        <w:rPr>
          <w:rFonts w:hint="eastAsia"/>
          <w:lang w:val="en-US" w:eastAsia="zh-CN"/>
        </w:rPr>
        <w:t xml:space="preserve"> that described in footnote </w:t>
      </w:r>
      <w:r w:rsidRPr="007F2E07">
        <w:rPr>
          <w:rFonts w:hint="eastAsia"/>
          <w:i/>
          <w:iCs/>
          <w:lang w:val="en-US" w:eastAsia="zh-CN"/>
        </w:rPr>
        <w:t>20bis</w:t>
      </w:r>
      <w:r w:rsidRPr="00163071">
        <w:rPr>
          <w:rFonts w:hint="eastAsia"/>
          <w:lang w:val="en-US" w:eastAsia="zh-CN"/>
        </w:rPr>
        <w:t xml:space="preserve"> to </w:t>
      </w:r>
      <w:r w:rsidRPr="00D41CE2">
        <w:t>§</w:t>
      </w:r>
      <w:r w:rsidRPr="00163071">
        <w:rPr>
          <w:rFonts w:hint="eastAsia"/>
          <w:lang w:val="en-US" w:eastAsia="zh-CN"/>
        </w:rPr>
        <w:t xml:space="preserve">5.2.10 of Appendix </w:t>
      </w:r>
      <w:r w:rsidRPr="00163071">
        <w:rPr>
          <w:rFonts w:hint="eastAsia"/>
          <w:b/>
          <w:bCs/>
          <w:lang w:val="en-US" w:eastAsia="zh-CN"/>
        </w:rPr>
        <w:t xml:space="preserve">30 </w:t>
      </w:r>
      <w:r w:rsidRPr="00163071">
        <w:rPr>
          <w:rFonts w:hint="eastAsia"/>
          <w:lang w:val="en-US" w:eastAsia="zh-CN"/>
        </w:rPr>
        <w:t xml:space="preserve">(Rev.WRC-12) and in footnote </w:t>
      </w:r>
      <w:r w:rsidRPr="007F2E07">
        <w:rPr>
          <w:rFonts w:hint="eastAsia"/>
          <w:i/>
          <w:iCs/>
          <w:lang w:val="en-US" w:eastAsia="zh-CN"/>
        </w:rPr>
        <w:t xml:space="preserve">24bis </w:t>
      </w:r>
      <w:r w:rsidRPr="00163071">
        <w:rPr>
          <w:rFonts w:hint="eastAsia"/>
          <w:lang w:val="en-US" w:eastAsia="zh-CN"/>
        </w:rPr>
        <w:t xml:space="preserve">to </w:t>
      </w:r>
      <w:r w:rsidRPr="00D41CE2">
        <w:t>§</w:t>
      </w:r>
      <w:r w:rsidRPr="00163071">
        <w:rPr>
          <w:rFonts w:hint="eastAsia"/>
          <w:lang w:val="en-US" w:eastAsia="zh-CN"/>
        </w:rPr>
        <w:t xml:space="preserve">5.2.10 of Appendix </w:t>
      </w:r>
      <w:r w:rsidRPr="00163071">
        <w:rPr>
          <w:rFonts w:hint="eastAsia"/>
          <w:b/>
          <w:bCs/>
          <w:lang w:val="en-US" w:eastAsia="zh-CN"/>
        </w:rPr>
        <w:t>30A</w:t>
      </w:r>
      <w:r w:rsidRPr="00163071">
        <w:rPr>
          <w:rFonts w:hint="eastAsia"/>
          <w:lang w:val="en-US" w:eastAsia="zh-CN"/>
        </w:rPr>
        <w:t xml:space="preserve"> (Rev.WRC-12).</w:t>
      </w:r>
    </w:p>
    <w:p w:rsidR="003E6EEE" w:rsidRPr="003E6EEE" w:rsidRDefault="003E6EEE" w:rsidP="001838C3">
      <w:pPr>
        <w:rPr>
          <w:lang w:val="en-US"/>
        </w:rPr>
      </w:pPr>
    </w:p>
    <w:p w:rsidR="001838C3" w:rsidRPr="004C01D1" w:rsidRDefault="001838C3" w:rsidP="001838C3">
      <w:pPr>
        <w:pStyle w:val="Heading8"/>
        <w:jc w:val="left"/>
      </w:pPr>
      <w:r w:rsidRPr="00A20DDD">
        <w:lastRenderedPageBreak/>
        <w:t xml:space="preserve">An. 3 </w:t>
      </w:r>
      <w:r w:rsidRPr="00A20DDD">
        <w:rPr>
          <w:bCs/>
        </w:rPr>
        <w:t>and</w:t>
      </w:r>
      <w:r w:rsidRPr="00A20DDD">
        <w:t xml:space="preserve"> </w:t>
      </w:r>
      <w:r w:rsidRPr="00A20DDD">
        <w:br/>
        <w:t>An. 4</w:t>
      </w:r>
    </w:p>
    <w:p w:rsidR="001838C3" w:rsidRPr="00CF7E40" w:rsidRDefault="001838C3" w:rsidP="001838C3">
      <w:r w:rsidRPr="00CF7E40">
        <w:t>1</w:t>
      </w:r>
      <w:r w:rsidRPr="00CF7E40">
        <w:tab/>
        <w:t xml:space="preserve">WRC-07 revised Appendix </w:t>
      </w:r>
      <w:r w:rsidRPr="00CF7E40">
        <w:rPr>
          <w:b/>
          <w:bCs/>
        </w:rPr>
        <w:t>30B</w:t>
      </w:r>
      <w:r w:rsidRPr="00CF7E40">
        <w:t xml:space="preserve"> and introduced power flux-density limits in Annex 3 of Appendix </w:t>
      </w:r>
      <w:r w:rsidRPr="00CF7E40">
        <w:rPr>
          <w:b/>
          <w:bCs/>
        </w:rPr>
        <w:t xml:space="preserve">30B </w:t>
      </w:r>
      <w:r w:rsidRPr="00CF7E40">
        <w:t>in order to protect FSS allotments and assignments from interference which may be caused by FSS assignments located outside</w:t>
      </w:r>
      <w:r>
        <w:t xml:space="preserve"> the orbital</w:t>
      </w:r>
      <w:r w:rsidRPr="00CF7E40">
        <w:t xml:space="preserve"> arcs defined in Annex 4. Although the reference bandwidth of these limits</w:t>
      </w:r>
      <w:r>
        <w:t xml:space="preserve"> in Annex 3</w:t>
      </w:r>
      <w:r w:rsidRPr="00CF7E40">
        <w:t xml:space="preserve"> is 1 MHz, the maximum power densit</w:t>
      </w:r>
      <w:r>
        <w:t>ies</w:t>
      </w:r>
      <w:r w:rsidRPr="00CF7E40">
        <w:t xml:space="preserve"> which </w:t>
      </w:r>
      <w:r>
        <w:t>are</w:t>
      </w:r>
      <w:r w:rsidRPr="00CF7E40">
        <w:t xml:space="preserve"> used for </w:t>
      </w:r>
      <w:r>
        <w:t xml:space="preserve">the </w:t>
      </w:r>
      <w:r w:rsidRPr="00CF7E40">
        <w:t>calculation of power flux-densi</w:t>
      </w:r>
      <w:r>
        <w:t>ties</w:t>
      </w:r>
      <w:r w:rsidRPr="00CF7E40">
        <w:t xml:space="preserve"> </w:t>
      </w:r>
      <w:r>
        <w:t>are submitted in dB</w:t>
      </w:r>
      <w:r w:rsidRPr="00CF7E40">
        <w:t xml:space="preserve">(W/Hz) averaged over the necessary bandwidth (C.8.h) and 4 kHz (C.8.b.2) in accordance with Appendix </w:t>
      </w:r>
      <w:r w:rsidRPr="00CF7E40">
        <w:rPr>
          <w:b/>
          <w:bCs/>
        </w:rPr>
        <w:t>4</w:t>
      </w:r>
      <w:r w:rsidRPr="00CF7E40">
        <w:t>. Th</w:t>
      </w:r>
      <w:r>
        <w:t>e</w:t>
      </w:r>
      <w:r w:rsidRPr="00CF7E40">
        <w:t xml:space="preserve"> discrepancy between the reference bandwidth for the limits and the averaging bandwidth for submission might lead to</w:t>
      </w:r>
      <w:r>
        <w:t xml:space="preserve"> the</w:t>
      </w:r>
      <w:r w:rsidRPr="00CF7E40">
        <w:t xml:space="preserve"> overestimation of interference when a few narrow-band carriers</w:t>
      </w:r>
      <w:r>
        <w:t xml:space="preserve"> are used,</w:t>
      </w:r>
      <w:r w:rsidRPr="00CF7E40">
        <w:t xml:space="preserve"> e.g. carriers for tracking, telemetry and telecommand. On the other hand</w:t>
      </w:r>
      <w:r>
        <w:t>,</w:t>
      </w:r>
      <w:r w:rsidRPr="00CF7E40">
        <w:t xml:space="preserve"> a narrow-band carrier might cause significant interference to other narrow-band carriers if these carriers are accidentally overlapping wi</w:t>
      </w:r>
      <w:r>
        <w:t>th each other.</w:t>
      </w:r>
    </w:p>
    <w:p w:rsidR="001838C3" w:rsidRPr="00CF7E40" w:rsidRDefault="001838C3" w:rsidP="001838C3">
      <w:r w:rsidRPr="00CF7E40">
        <w:t>2</w:t>
      </w:r>
      <w:r w:rsidRPr="00CF7E40">
        <w:tab/>
        <w:t xml:space="preserve">In order to avoid </w:t>
      </w:r>
      <w:r>
        <w:t xml:space="preserve">the </w:t>
      </w:r>
      <w:r w:rsidRPr="00CF7E40">
        <w:t>overestimati</w:t>
      </w:r>
      <w:r>
        <w:t>on of</w:t>
      </w:r>
      <w:r w:rsidRPr="00CF7E40">
        <w:t xml:space="preserve"> interference from narrow-band carriers </w:t>
      </w:r>
      <w:r>
        <w:t>in</w:t>
      </w:r>
      <w:r w:rsidRPr="00CF7E40">
        <w:t>to wideband carriers</w:t>
      </w:r>
      <w:r>
        <w:t xml:space="preserve"> caused</w:t>
      </w:r>
      <w:r w:rsidRPr="00CF7E40">
        <w:t xml:space="preserve"> by integrating the power of narrow-band carriers from 1 Hz to 1</w:t>
      </w:r>
      <w:r>
        <w:t> </w:t>
      </w:r>
      <w:r w:rsidRPr="00CF7E40">
        <w:t xml:space="preserve">MHz </w:t>
      </w:r>
      <w:r>
        <w:t>and to provide</w:t>
      </w:r>
      <w:r w:rsidRPr="00CF7E40">
        <w:t xml:space="preserve"> a mechanism to resolve unexpected interference between narrow-band carriers, the Board decided on the following course of action.</w:t>
      </w:r>
    </w:p>
    <w:p w:rsidR="001838C3" w:rsidRPr="00CF7E40" w:rsidRDefault="001838C3" w:rsidP="001838C3">
      <w:r w:rsidRPr="00CF7E40">
        <w:t>2.1</w:t>
      </w:r>
      <w:r w:rsidRPr="00CF7E40">
        <w:tab/>
        <w:t>In the case when:</w:t>
      </w:r>
    </w:p>
    <w:p w:rsidR="001838C3" w:rsidRDefault="001838C3" w:rsidP="001838C3">
      <w:pPr>
        <w:pStyle w:val="enumlev1"/>
      </w:pPr>
      <w:r w:rsidRPr="00FA0BD7">
        <w:rPr>
          <w:i/>
          <w:iCs/>
        </w:rPr>
        <w:t>a</w:t>
      </w:r>
      <w:r w:rsidRPr="00CF7E40">
        <w:t>)</w:t>
      </w:r>
      <w:r w:rsidRPr="00CF7E40">
        <w:tab/>
        <w:t>the maximum power density, in dB(W/Hz), averaged over the worst 1 MHz band, supplied to the input of the antenna taking into account the number of carriers and power level of each carrier to be operated within the averaging bandwidth of 1 MHz;</w:t>
      </w:r>
    </w:p>
    <w:p w:rsidR="001838C3" w:rsidRPr="00CF7E40" w:rsidRDefault="001838C3" w:rsidP="001838C3">
      <w:r w:rsidRPr="00CF7E40">
        <w:t>is lower than;</w:t>
      </w:r>
    </w:p>
    <w:p w:rsidR="001838C3" w:rsidRPr="00CF7E40" w:rsidRDefault="001838C3" w:rsidP="001838C3">
      <w:pPr>
        <w:pStyle w:val="enumlev1"/>
      </w:pPr>
      <w:r w:rsidRPr="00FA0BD7">
        <w:rPr>
          <w:i/>
          <w:iCs/>
        </w:rPr>
        <w:t>b</w:t>
      </w:r>
      <w:r w:rsidRPr="00CF7E40">
        <w:t>)</w:t>
      </w:r>
      <w:r w:rsidRPr="00CF7E40">
        <w:tab/>
        <w:t>the maximum power density, in dB(W/Hz), averaged over the necessary bandwidth (C.8.h);</w:t>
      </w:r>
    </w:p>
    <w:p w:rsidR="001838C3" w:rsidRPr="00CF7E40" w:rsidRDefault="001838C3" w:rsidP="001838C3">
      <w:r w:rsidRPr="00CF7E40">
        <w:t>2.2</w:t>
      </w:r>
      <w:r w:rsidRPr="00CF7E40">
        <w:tab/>
        <w:t xml:space="preserve">the power density value as described in </w:t>
      </w:r>
      <w:r>
        <w:t xml:space="preserve">2.1 </w:t>
      </w:r>
      <w:r w:rsidRPr="00933FC2">
        <w:rPr>
          <w:i/>
          <w:iCs/>
        </w:rPr>
        <w:t>a</w:t>
      </w:r>
      <w:r w:rsidRPr="00CF7E40">
        <w:t xml:space="preserve">) above shall be provided by a notifying administration together with the relevant Appendix </w:t>
      </w:r>
      <w:r w:rsidRPr="00ED63D0">
        <w:rPr>
          <w:b/>
          <w:bCs/>
        </w:rPr>
        <w:t>4</w:t>
      </w:r>
      <w:r w:rsidRPr="00CF7E40">
        <w:t xml:space="preserve"> information;</w:t>
      </w:r>
    </w:p>
    <w:p w:rsidR="001838C3" w:rsidRPr="00CF7E40" w:rsidRDefault="001838C3" w:rsidP="001838C3">
      <w:r w:rsidRPr="00CF7E40">
        <w:t>2.3</w:t>
      </w:r>
      <w:r w:rsidRPr="00CF7E40">
        <w:tab/>
        <w:t xml:space="preserve">the Bureau shall use the submitted power density value as described in </w:t>
      </w:r>
      <w:r>
        <w:t>2.1 </w:t>
      </w:r>
      <w:r w:rsidRPr="007F7798">
        <w:rPr>
          <w:i/>
          <w:iCs/>
        </w:rPr>
        <w:t>a)</w:t>
      </w:r>
      <w:r w:rsidRPr="00CF7E40">
        <w:t xml:space="preserve"> above for its examination under Annexes 3 and 4 and publish it in the relevant Special Section;</w:t>
      </w:r>
    </w:p>
    <w:p w:rsidR="001838C3" w:rsidRDefault="001838C3" w:rsidP="001838C3">
      <w:pPr>
        <w:rPr>
          <w:rtl/>
        </w:rPr>
      </w:pPr>
      <w:r w:rsidRPr="00CF7E40">
        <w:t>2.4</w:t>
      </w:r>
      <w:r w:rsidRPr="00CF7E40">
        <w:tab/>
        <w:t xml:space="preserve">those operating assignments whose power density value as described in </w:t>
      </w:r>
      <w:r>
        <w:t xml:space="preserve">2.1 </w:t>
      </w:r>
      <w:r w:rsidRPr="00FA0BD7">
        <w:rPr>
          <w:i/>
          <w:iCs/>
        </w:rPr>
        <w:t>b</w:t>
      </w:r>
      <w:r w:rsidRPr="00CF7E40">
        <w:t xml:space="preserve">) is higher than that in </w:t>
      </w:r>
      <w:r>
        <w:t xml:space="preserve">2.1 </w:t>
      </w:r>
      <w:r w:rsidRPr="00FA0BD7">
        <w:rPr>
          <w:i/>
          <w:iCs/>
        </w:rPr>
        <w:t>a</w:t>
      </w:r>
      <w:r w:rsidRPr="00CF7E40">
        <w:t>) shall not cause harmful interference to, or claim protection from, prior assignments recorded in the MIFR.</w:t>
      </w:r>
    </w:p>
    <w:p w:rsidR="007D5348" w:rsidRDefault="007D5348" w:rsidP="001838C3">
      <w:pPr>
        <w:sectPr w:rsidR="007D5348" w:rsidSect="00DE57F6">
          <w:headerReference w:type="default" r:id="rId16"/>
          <w:footnotePr>
            <w:pos w:val="beneathText"/>
          </w:footnotePr>
          <w:pgSz w:w="11907" w:h="16840" w:code="9"/>
          <w:pgMar w:top="1701" w:right="851" w:bottom="1134" w:left="1985" w:header="720" w:footer="482" w:gutter="0"/>
          <w:cols w:space="720"/>
          <w:vAlign w:val="both"/>
        </w:sectPr>
      </w:pPr>
    </w:p>
    <w:p w:rsidR="007D5348" w:rsidRPr="007D5348" w:rsidRDefault="007D5348" w:rsidP="00E64CB2">
      <w:pPr>
        <w:pStyle w:val="Heading8"/>
        <w:spacing w:before="0"/>
        <w:jc w:val="left"/>
        <w:rPr>
          <w:lang w:val="en-US"/>
        </w:rPr>
      </w:pPr>
      <w:r w:rsidRPr="00A20DDD">
        <w:lastRenderedPageBreak/>
        <w:t>An</w:t>
      </w:r>
      <w:r w:rsidR="00E64CB2">
        <w:t>nex</w:t>
      </w:r>
      <w:r w:rsidRPr="00A20DDD">
        <w:t xml:space="preserve"> 4</w:t>
      </w:r>
      <w:r>
        <w:rPr>
          <w:lang w:val="en-US"/>
        </w:rPr>
        <w:tab/>
      </w:r>
      <w:r>
        <w:rPr>
          <w:lang w:val="en-US"/>
        </w:rPr>
        <w:tab/>
      </w:r>
      <w:r w:rsidRPr="007D5348">
        <w:rPr>
          <w:b w:val="0"/>
          <w:bCs/>
          <w:sz w:val="16"/>
          <w:szCs w:val="16"/>
          <w:lang w:val="en-US"/>
        </w:rPr>
        <w:t>(ADD RRB13/64)</w:t>
      </w:r>
    </w:p>
    <w:p w:rsidR="008E2C91" w:rsidRDefault="008E2C91" w:rsidP="00E64CB2">
      <w:pPr>
        <w:pStyle w:val="AnnexTitle"/>
        <w:spacing w:before="360"/>
        <w:rPr>
          <w:rFonts w:eastAsia="SimSun"/>
          <w:lang w:eastAsia="zh-CN"/>
        </w:rPr>
      </w:pPr>
      <w:r>
        <w:rPr>
          <w:rFonts w:eastAsia="SimSun"/>
          <w:lang w:eastAsia="zh-CN"/>
        </w:rPr>
        <w:t>Criteria for determining whether an allotment or</w:t>
      </w:r>
      <w:r>
        <w:rPr>
          <w:rFonts w:eastAsia="SimSun"/>
          <w:lang w:eastAsia="zh-CN"/>
        </w:rPr>
        <w:br/>
        <w:t>an assignment is considered to be affected</w:t>
      </w:r>
    </w:p>
    <w:p w:rsidR="006A5FD8" w:rsidRPr="006A5FD8" w:rsidRDefault="006A5FD8" w:rsidP="00E64CB2">
      <w:pPr>
        <w:pStyle w:val="Heading8"/>
        <w:pBdr>
          <w:top w:val="double" w:sz="4" w:space="1" w:color="auto"/>
          <w:left w:val="double" w:sz="4" w:space="1" w:color="auto"/>
          <w:bottom w:val="double" w:sz="4" w:space="1" w:color="auto"/>
          <w:right w:val="double" w:sz="4" w:space="1" w:color="auto"/>
        </w:pBdr>
      </w:pPr>
      <w:r>
        <w:t>2.2</w:t>
      </w:r>
      <w:bookmarkStart w:id="0" w:name="_GoBack"/>
      <w:bookmarkEnd w:id="0"/>
    </w:p>
    <w:p w:rsidR="007D5348" w:rsidRPr="00326947" w:rsidRDefault="007D5348" w:rsidP="007D5348">
      <w:pPr>
        <w:tabs>
          <w:tab w:val="left" w:pos="0"/>
          <w:tab w:val="left" w:pos="709"/>
        </w:tabs>
        <w:rPr>
          <w:rFonts w:eastAsia="SimSun"/>
          <w:szCs w:val="24"/>
          <w:lang w:eastAsia="zh-CN"/>
        </w:rPr>
      </w:pPr>
      <w:r w:rsidRPr="00326947">
        <w:rPr>
          <w:rFonts w:eastAsia="SimSun"/>
          <w:szCs w:val="24"/>
          <w:lang w:eastAsia="zh-CN"/>
        </w:rPr>
        <w:t>1</w:t>
      </w:r>
      <w:r w:rsidRPr="00326947">
        <w:rPr>
          <w:rFonts w:eastAsia="SimSun"/>
          <w:szCs w:val="24"/>
          <w:lang w:eastAsia="zh-CN"/>
        </w:rPr>
        <w:tab/>
        <w:t xml:space="preserve">In order to adequately protect the existing networks in their entire service area, WRC-07 introduced the examination over the service area under § 2.2 of Annex 4 of Appendix </w:t>
      </w:r>
      <w:r w:rsidRPr="00326947">
        <w:rPr>
          <w:rFonts w:eastAsia="SimSun"/>
          <w:b/>
          <w:bCs/>
          <w:szCs w:val="24"/>
          <w:lang w:eastAsia="zh-CN"/>
        </w:rPr>
        <w:t>30B</w:t>
      </w:r>
      <w:r w:rsidRPr="00326947">
        <w:rPr>
          <w:rFonts w:eastAsia="SimSun"/>
          <w:szCs w:val="24"/>
          <w:lang w:eastAsia="zh-CN"/>
        </w:rPr>
        <w:t xml:space="preserve">. </w:t>
      </w:r>
    </w:p>
    <w:p w:rsidR="007D5348" w:rsidRDefault="007D5348" w:rsidP="008E2C91">
      <w:pPr>
        <w:tabs>
          <w:tab w:val="left" w:pos="0"/>
          <w:tab w:val="left" w:pos="709"/>
        </w:tabs>
        <w:rPr>
          <w:rFonts w:eastAsia="SimSun"/>
          <w:color w:val="000000"/>
          <w:szCs w:val="24"/>
        </w:rPr>
      </w:pPr>
      <w:r w:rsidRPr="00326947">
        <w:rPr>
          <w:rFonts w:eastAsia="SimSun"/>
          <w:szCs w:val="24"/>
          <w:lang w:eastAsia="zh-CN"/>
        </w:rPr>
        <w:t>2</w:t>
      </w:r>
      <w:r w:rsidRPr="00326947">
        <w:rPr>
          <w:rFonts w:eastAsia="SimSun"/>
          <w:szCs w:val="24"/>
          <w:lang w:eastAsia="zh-CN"/>
        </w:rPr>
        <w:tab/>
        <w:t xml:space="preserve">As indicated in footnote 19 to § 2.2 of Annex 4 of Appendix </w:t>
      </w:r>
      <w:r w:rsidRPr="00326947">
        <w:rPr>
          <w:rFonts w:eastAsia="SimSun"/>
          <w:b/>
          <w:bCs/>
          <w:szCs w:val="24"/>
          <w:lang w:eastAsia="zh-CN"/>
        </w:rPr>
        <w:t>30B</w:t>
      </w:r>
      <w:r w:rsidRPr="00326947">
        <w:rPr>
          <w:rFonts w:eastAsia="SimSun"/>
          <w:szCs w:val="24"/>
          <w:lang w:eastAsia="zh-CN"/>
        </w:rPr>
        <w:t xml:space="preserve">, the reference values within the service area are interpolated from the reference values on the test points. </w:t>
      </w:r>
      <w:r w:rsidRPr="00326947">
        <w:rPr>
          <w:rFonts w:eastAsia="SimSun"/>
          <w:color w:val="000000"/>
          <w:szCs w:val="24"/>
        </w:rPr>
        <w:t>The following interpolation formula and condition shall be used to calculate the interpolated values at grid points</w:t>
      </w:r>
      <w:r w:rsidR="00EC2B1F">
        <w:rPr>
          <w:rStyle w:val="FootnoteReference"/>
          <w:rFonts w:eastAsia="SimSun"/>
          <w:color w:val="000000"/>
          <w:szCs w:val="24"/>
        </w:rPr>
        <w:footnoteReference w:customMarkFollows="1" w:id="4"/>
        <w:t>4</w:t>
      </w:r>
      <w:r w:rsidRPr="00326947">
        <w:rPr>
          <w:rFonts w:eastAsia="SimSun"/>
          <w:color w:val="000000"/>
          <w:szCs w:val="24"/>
        </w:rPr>
        <w:t xml:space="preserve"> within the service area:</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8"/>
        <w:gridCol w:w="7911"/>
        <w:gridCol w:w="688"/>
      </w:tblGrid>
      <w:tr w:rsidR="008A4CBB" w:rsidTr="00EC2B1F">
        <w:tc>
          <w:tcPr>
            <w:tcW w:w="688" w:type="dxa"/>
            <w:vAlign w:val="center"/>
          </w:tcPr>
          <w:p w:rsidR="008A4CBB" w:rsidRDefault="008A4CBB" w:rsidP="008E2C91">
            <w:pPr>
              <w:tabs>
                <w:tab w:val="left" w:pos="0"/>
                <w:tab w:val="left" w:pos="709"/>
              </w:tabs>
              <w:rPr>
                <w:rFonts w:eastAsia="SimSun"/>
                <w:color w:val="000000"/>
                <w:szCs w:val="24"/>
              </w:rPr>
            </w:pPr>
          </w:p>
        </w:tc>
        <w:tc>
          <w:tcPr>
            <w:tcW w:w="7911" w:type="dxa"/>
            <w:vAlign w:val="center"/>
          </w:tcPr>
          <w:p w:rsidR="008A4CBB" w:rsidRDefault="008A4CBB" w:rsidP="00EC2B1F">
            <w:pPr>
              <w:tabs>
                <w:tab w:val="left" w:pos="0"/>
                <w:tab w:val="left" w:pos="709"/>
              </w:tabs>
              <w:jc w:val="center"/>
              <w:rPr>
                <w:rFonts w:eastAsia="SimSun"/>
                <w:color w:val="000000"/>
                <w:szCs w:val="24"/>
              </w:rPr>
            </w:pPr>
            <w:r w:rsidRPr="00326947">
              <w:rPr>
                <w:rFonts w:eastAsia="SimSun"/>
              </w:rPr>
              <w:object w:dxaOrig="160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65pt;height:80.35pt" o:ole="">
                  <v:imagedata r:id="rId17" o:title=""/>
                </v:shape>
                <o:OLEObject Type="Embed" ProgID="Equation.3" ShapeID="_x0000_i1025" DrawAspect="Content" ObjectID="_1448713531" r:id="rId18"/>
              </w:object>
            </w:r>
          </w:p>
        </w:tc>
        <w:tc>
          <w:tcPr>
            <w:tcW w:w="688" w:type="dxa"/>
            <w:vAlign w:val="center"/>
          </w:tcPr>
          <w:p w:rsidR="008A4CBB" w:rsidRDefault="008A4CBB" w:rsidP="008A4CBB">
            <w:pPr>
              <w:tabs>
                <w:tab w:val="left" w:pos="0"/>
                <w:tab w:val="left" w:pos="709"/>
              </w:tabs>
              <w:jc w:val="right"/>
              <w:rPr>
                <w:rFonts w:eastAsia="SimSun"/>
                <w:color w:val="000000"/>
                <w:szCs w:val="24"/>
              </w:rPr>
            </w:pPr>
            <w:r w:rsidRPr="00326947">
              <w:rPr>
                <w:rFonts w:eastAsia="SimSun"/>
              </w:rPr>
              <w:t>(1)</w:t>
            </w:r>
          </w:p>
        </w:tc>
      </w:tr>
    </w:tbl>
    <w:p w:rsidR="007D5348" w:rsidRPr="00326947" w:rsidRDefault="007D5348" w:rsidP="007D5348">
      <w:pPr>
        <w:rPr>
          <w:rFonts w:eastAsia="SimSun"/>
        </w:rPr>
      </w:pPr>
      <w:r w:rsidRPr="00326947">
        <w:rPr>
          <w:rFonts w:eastAsia="SimSun"/>
        </w:rPr>
        <w:t>where:</w:t>
      </w:r>
    </w:p>
    <w:p w:rsidR="007D5348" w:rsidRPr="00326947" w:rsidRDefault="008E2C91" w:rsidP="008E2C91">
      <w:pPr>
        <w:tabs>
          <w:tab w:val="clear" w:pos="1871"/>
          <w:tab w:val="clear" w:pos="2268"/>
          <w:tab w:val="right" w:pos="2410"/>
          <w:tab w:val="left" w:pos="2835"/>
        </w:tabs>
        <w:spacing w:before="80"/>
        <w:ind w:left="1960"/>
        <w:rPr>
          <w:rFonts w:eastAsia="SimSun"/>
        </w:rPr>
      </w:pPr>
      <w:r>
        <w:rPr>
          <w:rFonts w:eastAsia="SimSun"/>
          <w:i/>
          <w:iCs/>
        </w:rPr>
        <w:tab/>
      </w:r>
      <w:r w:rsidR="007D5348" w:rsidRPr="00326947">
        <w:rPr>
          <w:rFonts w:eastAsia="SimSun"/>
          <w:i/>
          <w:iCs/>
        </w:rPr>
        <w:t>Th</w:t>
      </w:r>
      <w:r w:rsidR="007D5348" w:rsidRPr="00326947">
        <w:rPr>
          <w:rFonts w:eastAsia="SimSun"/>
        </w:rPr>
        <w:t xml:space="preserve">: </w:t>
      </w:r>
      <w:r w:rsidR="007D5348" w:rsidRPr="00326947">
        <w:rPr>
          <w:rFonts w:eastAsia="SimSun"/>
        </w:rPr>
        <w:tab/>
        <w:t>test point number h of the wanted downlink service area;</w:t>
      </w:r>
    </w:p>
    <w:p w:rsidR="007D5348" w:rsidRPr="00326947" w:rsidRDefault="008E2C91" w:rsidP="00796226">
      <w:pPr>
        <w:tabs>
          <w:tab w:val="clear" w:pos="1871"/>
          <w:tab w:val="clear" w:pos="2268"/>
          <w:tab w:val="right" w:pos="2410"/>
          <w:tab w:val="left" w:pos="2835"/>
        </w:tabs>
        <w:spacing w:before="80"/>
        <w:ind w:left="2835" w:hanging="875"/>
        <w:rPr>
          <w:rFonts w:eastAsia="SimSun"/>
        </w:rPr>
      </w:pPr>
      <w:r>
        <w:rPr>
          <w:rFonts w:eastAsia="SimSun"/>
          <w:i/>
          <w:iCs/>
        </w:rPr>
        <w:tab/>
      </w:r>
      <w:r w:rsidR="007D5348" w:rsidRPr="00326947">
        <w:rPr>
          <w:rFonts w:eastAsia="SimSun"/>
          <w:i/>
          <w:iCs/>
        </w:rPr>
        <w:t>Eg</w:t>
      </w:r>
      <w:r w:rsidR="007D5348" w:rsidRPr="00326947">
        <w:rPr>
          <w:rFonts w:eastAsia="SimSun"/>
        </w:rPr>
        <w:t>:</w:t>
      </w:r>
      <w:r w:rsidR="007D5348" w:rsidRPr="00326947">
        <w:rPr>
          <w:rFonts w:eastAsia="SimSun"/>
        </w:rPr>
        <w:tab/>
        <w:t>point number g of the grid of examination points on the wanted downlink service area;</w:t>
      </w:r>
    </w:p>
    <w:p w:rsidR="007D5348" w:rsidRPr="00326947" w:rsidRDefault="008E2C91" w:rsidP="008E2C91">
      <w:pPr>
        <w:tabs>
          <w:tab w:val="clear" w:pos="1871"/>
          <w:tab w:val="clear" w:pos="2268"/>
          <w:tab w:val="right" w:pos="2410"/>
          <w:tab w:val="left" w:pos="2835"/>
        </w:tabs>
        <w:spacing w:before="80"/>
        <w:ind w:left="1960"/>
        <w:rPr>
          <w:rFonts w:eastAsia="SimSun"/>
        </w:rPr>
      </w:pPr>
      <w:r>
        <w:rPr>
          <w:rFonts w:eastAsia="SimSun"/>
          <w:i/>
          <w:iCs/>
        </w:rPr>
        <w:tab/>
      </w:r>
      <w:r w:rsidR="007D5348" w:rsidRPr="00326947">
        <w:rPr>
          <w:rFonts w:eastAsia="SimSun"/>
          <w:i/>
          <w:iCs/>
        </w:rPr>
        <w:t>Nt</w:t>
      </w:r>
      <w:r w:rsidR="007D5348" w:rsidRPr="00326947">
        <w:rPr>
          <w:rFonts w:eastAsia="SimSun"/>
        </w:rPr>
        <w:t>:</w:t>
      </w:r>
      <w:r w:rsidR="007D5348" w:rsidRPr="00326947">
        <w:rPr>
          <w:rFonts w:eastAsia="SimSun"/>
        </w:rPr>
        <w:tab/>
        <w:t>total number of test points;</w:t>
      </w:r>
    </w:p>
    <w:p w:rsidR="007D5348" w:rsidRPr="00326947" w:rsidRDefault="008E2C91" w:rsidP="008E2C91">
      <w:pPr>
        <w:tabs>
          <w:tab w:val="clear" w:pos="1871"/>
          <w:tab w:val="clear" w:pos="2268"/>
          <w:tab w:val="right" w:pos="2410"/>
          <w:tab w:val="left" w:pos="2835"/>
        </w:tabs>
        <w:spacing w:before="80"/>
        <w:ind w:left="1960"/>
        <w:rPr>
          <w:rFonts w:eastAsia="SimSun"/>
        </w:rPr>
      </w:pPr>
      <w:r>
        <w:rPr>
          <w:rFonts w:eastAsia="SimSun"/>
          <w:i/>
          <w:iCs/>
        </w:rPr>
        <w:tab/>
      </w:r>
      <w:r w:rsidR="007D5348" w:rsidRPr="00326947">
        <w:rPr>
          <w:rFonts w:eastAsia="SimSun"/>
          <w:i/>
          <w:iCs/>
        </w:rPr>
        <w:t>d</w:t>
      </w:r>
      <w:r w:rsidR="007D5348" w:rsidRPr="00326947">
        <w:rPr>
          <w:rFonts w:eastAsia="SimSun"/>
          <w:i/>
          <w:iCs/>
          <w:vertAlign w:val="subscript"/>
        </w:rPr>
        <w:t>Th</w:t>
      </w:r>
      <w:r w:rsidR="007D5348" w:rsidRPr="00326947">
        <w:rPr>
          <w:rFonts w:eastAsia="SimSun"/>
        </w:rPr>
        <w:t>:</w:t>
      </w:r>
      <w:r w:rsidR="007D5348" w:rsidRPr="00326947">
        <w:rPr>
          <w:rFonts w:eastAsia="SimSun"/>
        </w:rPr>
        <w:tab/>
        <w:t xml:space="preserve">distance  between the test point </w:t>
      </w:r>
      <w:r w:rsidR="007D5348" w:rsidRPr="00326947">
        <w:rPr>
          <w:rFonts w:eastAsia="SimSun"/>
          <w:i/>
          <w:iCs/>
        </w:rPr>
        <w:t>Th</w:t>
      </w:r>
      <w:r w:rsidR="007D5348" w:rsidRPr="00326947">
        <w:rPr>
          <w:rFonts w:eastAsia="SimSun"/>
        </w:rPr>
        <w:t xml:space="preserve"> and the grid point </w:t>
      </w:r>
      <w:r w:rsidR="007D5348" w:rsidRPr="00326947">
        <w:rPr>
          <w:rFonts w:eastAsia="SimSun"/>
          <w:i/>
          <w:iCs/>
        </w:rPr>
        <w:t>Eg</w:t>
      </w:r>
      <w:r w:rsidR="007D5348" w:rsidRPr="00326947">
        <w:rPr>
          <w:rFonts w:eastAsia="SimSun"/>
        </w:rPr>
        <w:t>;</w:t>
      </w:r>
    </w:p>
    <w:p w:rsidR="007D5348" w:rsidRPr="00326947" w:rsidRDefault="008E2C91" w:rsidP="008E2C91">
      <w:pPr>
        <w:tabs>
          <w:tab w:val="clear" w:pos="1871"/>
          <w:tab w:val="clear" w:pos="2268"/>
          <w:tab w:val="right" w:pos="2410"/>
          <w:tab w:val="left" w:pos="2835"/>
        </w:tabs>
        <w:spacing w:before="80"/>
        <w:ind w:left="1960"/>
        <w:rPr>
          <w:rFonts w:eastAsia="SimSun"/>
        </w:rPr>
      </w:pPr>
      <w:r>
        <w:rPr>
          <w:rFonts w:eastAsia="SimSun"/>
          <w:i/>
          <w:iCs/>
        </w:rPr>
        <w:tab/>
      </w:r>
      <w:r w:rsidR="007D5348" w:rsidRPr="00326947">
        <w:rPr>
          <w:rFonts w:eastAsia="SimSun"/>
          <w:i/>
          <w:iCs/>
        </w:rPr>
        <w:t>R</w:t>
      </w:r>
      <w:r w:rsidR="007D5348" w:rsidRPr="00326947">
        <w:rPr>
          <w:rFonts w:eastAsia="SimSun"/>
          <w:i/>
          <w:iCs/>
          <w:vertAlign w:val="subscript"/>
        </w:rPr>
        <w:t>Th</w:t>
      </w:r>
      <w:r w:rsidR="007D5348" w:rsidRPr="00326947">
        <w:rPr>
          <w:rFonts w:eastAsia="SimSun"/>
        </w:rPr>
        <w:t>:</w:t>
      </w:r>
      <w:r w:rsidR="007D5348" w:rsidRPr="00326947">
        <w:rPr>
          <w:rFonts w:eastAsia="SimSun"/>
        </w:rPr>
        <w:tab/>
        <w:t xml:space="preserve">single entry </w:t>
      </w:r>
      <w:r w:rsidR="007D5348" w:rsidRPr="00326947">
        <w:rPr>
          <w:rFonts w:eastAsia="SimSun"/>
          <w:i/>
          <w:iCs/>
        </w:rPr>
        <w:t>C</w:t>
      </w:r>
      <w:r w:rsidR="007D5348" w:rsidRPr="00326947">
        <w:rPr>
          <w:rFonts w:eastAsia="SimSun"/>
        </w:rPr>
        <w:t>/</w:t>
      </w:r>
      <w:r w:rsidR="007D5348" w:rsidRPr="00326947">
        <w:rPr>
          <w:rFonts w:eastAsia="SimSun"/>
          <w:i/>
          <w:iCs/>
        </w:rPr>
        <w:t>I</w:t>
      </w:r>
      <w:r w:rsidR="007D5348" w:rsidRPr="00326947">
        <w:rPr>
          <w:rFonts w:eastAsia="SimSun"/>
        </w:rPr>
        <w:t xml:space="preserve"> reference value (dB) at the test point </w:t>
      </w:r>
      <w:r w:rsidR="007D5348" w:rsidRPr="00326947">
        <w:rPr>
          <w:rFonts w:eastAsia="SimSun"/>
          <w:i/>
          <w:iCs/>
        </w:rPr>
        <w:t>Th</w:t>
      </w:r>
      <w:r w:rsidR="007D5348" w:rsidRPr="00326947">
        <w:rPr>
          <w:rFonts w:eastAsia="SimSun"/>
        </w:rPr>
        <w:t>;</w:t>
      </w:r>
    </w:p>
    <w:p w:rsidR="007D5348" w:rsidRPr="00326947" w:rsidRDefault="008E2C91" w:rsidP="00796226">
      <w:pPr>
        <w:tabs>
          <w:tab w:val="clear" w:pos="1871"/>
          <w:tab w:val="clear" w:pos="2268"/>
          <w:tab w:val="right" w:pos="2410"/>
          <w:tab w:val="left" w:pos="2835"/>
        </w:tabs>
        <w:spacing w:before="80"/>
        <w:ind w:left="2835" w:hanging="875"/>
        <w:rPr>
          <w:rFonts w:eastAsia="SimSun"/>
        </w:rPr>
      </w:pPr>
      <w:r>
        <w:rPr>
          <w:rFonts w:eastAsia="SimSun"/>
          <w:i/>
          <w:iCs/>
        </w:rPr>
        <w:tab/>
      </w:r>
      <w:r w:rsidR="007D5348" w:rsidRPr="00326947">
        <w:rPr>
          <w:rFonts w:eastAsia="SimSun"/>
          <w:i/>
          <w:iCs/>
        </w:rPr>
        <w:t>V</w:t>
      </w:r>
      <w:r w:rsidR="007D5348" w:rsidRPr="00326947">
        <w:rPr>
          <w:rFonts w:eastAsia="SimSun"/>
          <w:i/>
          <w:iCs/>
          <w:vertAlign w:val="subscript"/>
        </w:rPr>
        <w:t>Eg</w:t>
      </w:r>
      <w:r w:rsidR="007D5348" w:rsidRPr="00326947">
        <w:rPr>
          <w:rFonts w:eastAsia="SimSun"/>
        </w:rPr>
        <w:t xml:space="preserve">: </w:t>
      </w:r>
      <w:r w:rsidR="007D5348" w:rsidRPr="00326947">
        <w:rPr>
          <w:rFonts w:eastAsia="SimSun"/>
        </w:rPr>
        <w:tab/>
        <w:t>interpolated</w:t>
      </w:r>
      <w:r w:rsidR="007D5348" w:rsidRPr="00326947">
        <w:rPr>
          <w:rFonts w:eastAsia="SimSun"/>
          <w:b/>
          <w:bCs/>
          <w:i/>
          <w:iCs/>
        </w:rPr>
        <w:t xml:space="preserve"> </w:t>
      </w:r>
      <w:r w:rsidR="007D5348" w:rsidRPr="00326947">
        <w:rPr>
          <w:rFonts w:eastAsia="SimSun"/>
        </w:rPr>
        <w:t xml:space="preserve">single entry </w:t>
      </w:r>
      <w:r w:rsidR="007D5348" w:rsidRPr="00326947">
        <w:rPr>
          <w:rFonts w:eastAsia="SimSun"/>
          <w:i/>
          <w:iCs/>
        </w:rPr>
        <w:t>C</w:t>
      </w:r>
      <w:r w:rsidR="007D5348" w:rsidRPr="00326947">
        <w:rPr>
          <w:rFonts w:eastAsia="SimSun"/>
        </w:rPr>
        <w:t>/</w:t>
      </w:r>
      <w:r w:rsidR="007D5348" w:rsidRPr="00326947">
        <w:rPr>
          <w:rFonts w:eastAsia="SimSun"/>
          <w:i/>
          <w:iCs/>
        </w:rPr>
        <w:t>I</w:t>
      </w:r>
      <w:r w:rsidR="007D5348" w:rsidRPr="00326947">
        <w:rPr>
          <w:rFonts w:eastAsia="SimSun"/>
        </w:rPr>
        <w:t xml:space="preserve"> reference value (dB) </w:t>
      </w:r>
      <w:r w:rsidR="007D5348" w:rsidRPr="00326947">
        <w:rPr>
          <w:rFonts w:eastAsia="SimSun"/>
          <w:lang w:eastAsia="zh-CN"/>
        </w:rPr>
        <w:t xml:space="preserve">at the </w:t>
      </w:r>
      <w:r w:rsidR="007D5348" w:rsidRPr="00326947">
        <w:rPr>
          <w:rFonts w:eastAsia="SimSun"/>
        </w:rPr>
        <w:t xml:space="preserve">grid point </w:t>
      </w:r>
      <w:r w:rsidR="007D5348" w:rsidRPr="00326947">
        <w:rPr>
          <w:rFonts w:eastAsia="SimSun"/>
          <w:i/>
          <w:iCs/>
        </w:rPr>
        <w:t>Eg</w:t>
      </w:r>
      <w:r w:rsidR="007D5348" w:rsidRPr="00326947">
        <w:rPr>
          <w:rFonts w:eastAsia="SimSun"/>
        </w:rPr>
        <w:t>.</w:t>
      </w:r>
    </w:p>
    <w:p w:rsidR="007D5348" w:rsidRPr="00326947" w:rsidRDefault="007D5348" w:rsidP="007D5348">
      <w:pPr>
        <w:tabs>
          <w:tab w:val="left" w:pos="0"/>
          <w:tab w:val="left" w:pos="709"/>
        </w:tabs>
        <w:contextualSpacing/>
        <w:rPr>
          <w:rFonts w:eastAsia="SimSun"/>
          <w:lang w:eastAsia="zh-CN"/>
        </w:rPr>
      </w:pPr>
      <w:r w:rsidRPr="00326947">
        <w:rPr>
          <w:rFonts w:eastAsia="SimSun"/>
          <w:lang w:eastAsia="zh-CN"/>
        </w:rPr>
        <w:t>If the value</w:t>
      </w:r>
      <w:r w:rsidRPr="00326947">
        <w:rPr>
          <w:rFonts w:eastAsia="SimSun"/>
          <w:i/>
          <w:iCs/>
        </w:rPr>
        <w:t xml:space="preserve"> (R</w:t>
      </w:r>
      <w:r w:rsidRPr="00326947">
        <w:rPr>
          <w:rFonts w:eastAsia="SimSun"/>
          <w:i/>
          <w:iCs/>
          <w:vertAlign w:val="subscript"/>
        </w:rPr>
        <w:t>Th</w:t>
      </w:r>
      <w:r w:rsidRPr="00326947">
        <w:rPr>
          <w:rFonts w:eastAsia="SimSun"/>
          <w:i/>
          <w:iCs/>
        </w:rPr>
        <w:t xml:space="preserve"> –((C/N)</w:t>
      </w:r>
      <w:r w:rsidRPr="00326947">
        <w:rPr>
          <w:rFonts w:eastAsia="SimSun"/>
          <w:i/>
          <w:iCs/>
          <w:vertAlign w:val="subscript"/>
        </w:rPr>
        <w:t>d,Th</w:t>
      </w:r>
      <w:r w:rsidRPr="00326947">
        <w:rPr>
          <w:rFonts w:eastAsia="SimSun"/>
          <w:i/>
          <w:iCs/>
        </w:rPr>
        <w:t xml:space="preserve"> – (C/N)</w:t>
      </w:r>
      <w:r w:rsidRPr="00326947">
        <w:rPr>
          <w:rFonts w:eastAsia="SimSun"/>
          <w:i/>
          <w:iCs/>
          <w:vertAlign w:val="subscript"/>
        </w:rPr>
        <w:t>d,</w:t>
      </w:r>
      <w:r w:rsidRPr="00326947">
        <w:rPr>
          <w:rFonts w:eastAsia="SimSun"/>
          <w:i/>
          <w:iCs/>
          <w:vertAlign w:val="subscript"/>
          <w:lang w:eastAsia="zh-CN"/>
        </w:rPr>
        <w:t>E</w:t>
      </w:r>
      <w:r w:rsidRPr="00326947">
        <w:rPr>
          <w:rFonts w:eastAsia="SimSun"/>
          <w:i/>
          <w:iCs/>
          <w:vertAlign w:val="subscript"/>
        </w:rPr>
        <w:t>g</w:t>
      </w:r>
      <w:r w:rsidRPr="00326947">
        <w:rPr>
          <w:rFonts w:eastAsia="SimSun"/>
          <w:i/>
          <w:iCs/>
        </w:rPr>
        <w:t xml:space="preserve">)) </w:t>
      </w:r>
      <w:r w:rsidRPr="00326947">
        <w:rPr>
          <w:rFonts w:eastAsia="SimSun"/>
          <w:lang w:eastAsia="zh-CN"/>
        </w:rPr>
        <w:t>is lower than</w:t>
      </w:r>
      <w:r w:rsidRPr="00326947">
        <w:rPr>
          <w:rFonts w:eastAsia="SimSun"/>
          <w:i/>
          <w:iCs/>
        </w:rPr>
        <w:t xml:space="preserve">  R</w:t>
      </w:r>
      <w:r w:rsidRPr="00326947">
        <w:rPr>
          <w:rFonts w:eastAsia="SimSun"/>
          <w:i/>
          <w:iCs/>
          <w:vertAlign w:val="subscript"/>
        </w:rPr>
        <w:t>Th</w:t>
      </w:r>
      <w:r w:rsidRPr="00326947">
        <w:rPr>
          <w:rFonts w:eastAsia="SimSun"/>
          <w:lang w:eastAsia="zh-CN"/>
        </w:rPr>
        <w:t xml:space="preserve">, then </w:t>
      </w:r>
      <w:r w:rsidRPr="00326947">
        <w:rPr>
          <w:rFonts w:eastAsia="SimSun"/>
          <w:i/>
          <w:iCs/>
        </w:rPr>
        <w:t>(R</w:t>
      </w:r>
      <w:r w:rsidRPr="00326947">
        <w:rPr>
          <w:rFonts w:eastAsia="SimSun"/>
          <w:i/>
          <w:iCs/>
          <w:vertAlign w:val="subscript"/>
        </w:rPr>
        <w:t>Th</w:t>
      </w:r>
      <w:r w:rsidRPr="00326947">
        <w:rPr>
          <w:rFonts w:eastAsia="SimSun"/>
          <w:i/>
          <w:iCs/>
        </w:rPr>
        <w:t xml:space="preserve"> –((C/N)</w:t>
      </w:r>
      <w:r w:rsidRPr="00326947">
        <w:rPr>
          <w:rFonts w:eastAsia="SimSun"/>
          <w:i/>
          <w:iCs/>
          <w:vertAlign w:val="subscript"/>
        </w:rPr>
        <w:t xml:space="preserve"> d,Th</w:t>
      </w:r>
      <w:r w:rsidRPr="00326947">
        <w:rPr>
          <w:rFonts w:eastAsia="SimSun"/>
          <w:i/>
          <w:iCs/>
        </w:rPr>
        <w:t xml:space="preserve"> – (C/N)</w:t>
      </w:r>
      <w:r w:rsidRPr="00326947">
        <w:rPr>
          <w:rFonts w:eastAsia="SimSun"/>
          <w:i/>
          <w:iCs/>
          <w:vertAlign w:val="subscript"/>
        </w:rPr>
        <w:t xml:space="preserve"> d,</w:t>
      </w:r>
      <w:r w:rsidRPr="00326947">
        <w:rPr>
          <w:rFonts w:eastAsia="SimSun"/>
          <w:i/>
          <w:iCs/>
          <w:vertAlign w:val="subscript"/>
          <w:lang w:eastAsia="zh-CN"/>
        </w:rPr>
        <w:t>E</w:t>
      </w:r>
      <w:r w:rsidRPr="00326947">
        <w:rPr>
          <w:rFonts w:eastAsia="SimSun"/>
          <w:i/>
          <w:iCs/>
          <w:vertAlign w:val="subscript"/>
        </w:rPr>
        <w:t>g</w:t>
      </w:r>
      <w:r w:rsidRPr="00326947">
        <w:rPr>
          <w:rFonts w:eastAsia="SimSun"/>
          <w:i/>
          <w:iCs/>
        </w:rPr>
        <w:t xml:space="preserve">)) </w:t>
      </w:r>
      <w:r w:rsidRPr="00326947">
        <w:rPr>
          <w:rFonts w:eastAsia="SimSun"/>
        </w:rPr>
        <w:t>shall be used in</w:t>
      </w:r>
      <w:r w:rsidRPr="00326947">
        <w:rPr>
          <w:rFonts w:eastAsia="SimSun"/>
          <w:i/>
          <w:iCs/>
        </w:rPr>
        <w:t xml:space="preserve"> </w:t>
      </w:r>
      <w:r w:rsidRPr="00326947">
        <w:rPr>
          <w:rFonts w:eastAsia="SimSun"/>
        </w:rPr>
        <w:t>(1) instead of</w:t>
      </w:r>
      <w:r w:rsidRPr="00326947">
        <w:rPr>
          <w:rFonts w:eastAsia="SimSun"/>
          <w:i/>
          <w:iCs/>
        </w:rPr>
        <w:t xml:space="preserve"> </w:t>
      </w:r>
      <w:r w:rsidRPr="00326947">
        <w:rPr>
          <w:rFonts w:eastAsia="SimSun"/>
          <w:i/>
          <w:iCs/>
          <w:lang w:eastAsia="zh-CN"/>
        </w:rPr>
        <w:t xml:space="preserve"> </w:t>
      </w:r>
      <w:r w:rsidRPr="00326947">
        <w:rPr>
          <w:rFonts w:eastAsia="SimSun"/>
          <w:i/>
          <w:iCs/>
        </w:rPr>
        <w:t>R</w:t>
      </w:r>
      <w:r w:rsidRPr="00326947">
        <w:rPr>
          <w:rFonts w:eastAsia="SimSun"/>
          <w:i/>
          <w:iCs/>
          <w:vertAlign w:val="subscript"/>
        </w:rPr>
        <w:t>Th</w:t>
      </w:r>
      <w:r w:rsidRPr="00326947">
        <w:rPr>
          <w:rFonts w:eastAsia="SimSun"/>
        </w:rPr>
        <w:t xml:space="preserve">, </w:t>
      </w:r>
    </w:p>
    <w:p w:rsidR="007D5348" w:rsidRPr="00326947" w:rsidRDefault="007D5348" w:rsidP="007D5348">
      <w:pPr>
        <w:tabs>
          <w:tab w:val="left" w:pos="0"/>
          <w:tab w:val="left" w:pos="709"/>
        </w:tabs>
        <w:contextualSpacing/>
        <w:rPr>
          <w:rFonts w:eastAsia="SimSun"/>
          <w:lang w:eastAsia="zh-CN"/>
        </w:rPr>
      </w:pPr>
      <w:r w:rsidRPr="00326947">
        <w:rPr>
          <w:rFonts w:eastAsia="SimSun"/>
          <w:lang w:eastAsia="zh-CN"/>
        </w:rPr>
        <w:t>w</w:t>
      </w:r>
      <w:r w:rsidRPr="00326947">
        <w:rPr>
          <w:rFonts w:eastAsia="SimSun"/>
        </w:rPr>
        <w:t>here</w:t>
      </w:r>
      <w:r w:rsidRPr="00326947">
        <w:rPr>
          <w:rFonts w:eastAsia="SimSun"/>
          <w:lang w:eastAsia="zh-CN"/>
        </w:rPr>
        <w:t>：</w:t>
      </w:r>
    </w:p>
    <w:p w:rsidR="007D5348" w:rsidRPr="00326947" w:rsidRDefault="007D5348" w:rsidP="007D5348">
      <w:pPr>
        <w:tabs>
          <w:tab w:val="left" w:pos="0"/>
          <w:tab w:val="left" w:pos="709"/>
        </w:tabs>
        <w:contextualSpacing/>
        <w:rPr>
          <w:rFonts w:eastAsia="SimSun"/>
          <w:i/>
          <w:iCs/>
          <w:lang w:eastAsia="zh-CN"/>
        </w:rPr>
      </w:pPr>
      <w:r w:rsidRPr="00326947">
        <w:rPr>
          <w:rFonts w:eastAsia="SimSun"/>
          <w:lang w:eastAsia="zh-CN"/>
        </w:rPr>
        <w:tab/>
      </w:r>
      <w:r w:rsidRPr="00326947">
        <w:rPr>
          <w:rFonts w:eastAsia="SimSun"/>
          <w:lang w:eastAsia="zh-CN"/>
        </w:rPr>
        <w:tab/>
      </w:r>
      <w:r w:rsidRPr="00326947">
        <w:rPr>
          <w:rFonts w:eastAsia="SimSun"/>
          <w:i/>
          <w:iCs/>
        </w:rPr>
        <w:t>(C/N)</w:t>
      </w:r>
      <w:r w:rsidRPr="00326947">
        <w:rPr>
          <w:rFonts w:eastAsia="SimSun"/>
          <w:i/>
          <w:iCs/>
          <w:vertAlign w:val="subscript"/>
        </w:rPr>
        <w:t>d,Th</w:t>
      </w:r>
      <w:r w:rsidRPr="00326947">
        <w:rPr>
          <w:rFonts w:eastAsia="SimSun"/>
        </w:rPr>
        <w:t>:</w:t>
      </w:r>
      <w:r w:rsidRPr="00326947">
        <w:rPr>
          <w:rFonts w:eastAsia="SimSun"/>
          <w:lang w:eastAsia="zh-CN"/>
        </w:rPr>
        <w:t xml:space="preserve"> </w:t>
      </w:r>
      <w:r w:rsidRPr="00326947">
        <w:rPr>
          <w:rFonts w:eastAsia="SimSun"/>
          <w:lang w:eastAsia="zh-CN"/>
        </w:rPr>
        <w:tab/>
        <w:t xml:space="preserve">the downlink </w:t>
      </w:r>
      <w:r w:rsidRPr="00326947">
        <w:rPr>
          <w:rFonts w:eastAsia="SimSun"/>
          <w:i/>
          <w:iCs/>
        </w:rPr>
        <w:t xml:space="preserve">C/N </w:t>
      </w:r>
      <w:r w:rsidRPr="00326947">
        <w:rPr>
          <w:rFonts w:eastAsia="SimSun"/>
          <w:lang w:eastAsia="zh-CN"/>
        </w:rPr>
        <w:t>value at test point</w:t>
      </w:r>
      <w:r w:rsidRPr="00326947">
        <w:rPr>
          <w:rFonts w:eastAsia="SimSun"/>
          <w:i/>
          <w:iCs/>
        </w:rPr>
        <w:t xml:space="preserve"> Th</w:t>
      </w:r>
      <w:r w:rsidRPr="00326947">
        <w:rPr>
          <w:rFonts w:eastAsia="SimSun"/>
          <w:i/>
          <w:iCs/>
          <w:lang w:eastAsia="zh-CN"/>
        </w:rPr>
        <w:t>；</w:t>
      </w:r>
    </w:p>
    <w:p w:rsidR="007D5348" w:rsidRPr="00326947" w:rsidRDefault="007D5348" w:rsidP="007D5348">
      <w:pPr>
        <w:tabs>
          <w:tab w:val="left" w:pos="0"/>
          <w:tab w:val="left" w:pos="709"/>
        </w:tabs>
        <w:contextualSpacing/>
        <w:rPr>
          <w:rFonts w:eastAsia="SimSun"/>
          <w:i/>
          <w:iCs/>
          <w:lang w:eastAsia="zh-CN"/>
        </w:rPr>
      </w:pPr>
      <w:r w:rsidRPr="00326947">
        <w:rPr>
          <w:rFonts w:eastAsia="SimSun"/>
          <w:i/>
          <w:iCs/>
          <w:lang w:eastAsia="zh-CN"/>
        </w:rPr>
        <w:tab/>
      </w:r>
      <w:r w:rsidRPr="00326947">
        <w:rPr>
          <w:rFonts w:eastAsia="SimSun"/>
          <w:i/>
          <w:iCs/>
          <w:lang w:eastAsia="zh-CN"/>
        </w:rPr>
        <w:tab/>
      </w:r>
      <w:r w:rsidRPr="00326947">
        <w:rPr>
          <w:rFonts w:eastAsia="SimSun"/>
          <w:i/>
          <w:iCs/>
        </w:rPr>
        <w:t>(C/N)</w:t>
      </w:r>
      <w:r w:rsidRPr="00326947">
        <w:rPr>
          <w:rFonts w:eastAsia="SimSun"/>
          <w:i/>
          <w:iCs/>
          <w:vertAlign w:val="subscript"/>
        </w:rPr>
        <w:t>d</w:t>
      </w:r>
      <w:r w:rsidRPr="00326947">
        <w:rPr>
          <w:rFonts w:eastAsia="SimSun"/>
          <w:i/>
          <w:iCs/>
          <w:vertAlign w:val="subscript"/>
          <w:lang w:eastAsia="zh-CN"/>
        </w:rPr>
        <w:t>,Eg</w:t>
      </w:r>
      <w:r w:rsidRPr="00326947">
        <w:rPr>
          <w:rFonts w:eastAsia="SimSun"/>
        </w:rPr>
        <w:t>:</w:t>
      </w:r>
      <w:r w:rsidRPr="00326947">
        <w:rPr>
          <w:rFonts w:eastAsia="SimSun"/>
          <w:lang w:eastAsia="zh-CN"/>
        </w:rPr>
        <w:tab/>
        <w:t xml:space="preserve">the downlink </w:t>
      </w:r>
      <w:r w:rsidRPr="00326947">
        <w:rPr>
          <w:rFonts w:eastAsia="SimSun"/>
          <w:i/>
          <w:iCs/>
          <w:lang w:eastAsia="zh-CN"/>
        </w:rPr>
        <w:t xml:space="preserve">C/N </w:t>
      </w:r>
      <w:r w:rsidRPr="00326947">
        <w:rPr>
          <w:rFonts w:eastAsia="SimSun"/>
        </w:rPr>
        <w:t>value</w:t>
      </w:r>
      <w:r w:rsidRPr="00326947">
        <w:rPr>
          <w:rFonts w:eastAsia="SimSun"/>
          <w:i/>
          <w:iCs/>
          <w:lang w:eastAsia="zh-CN"/>
        </w:rPr>
        <w:t xml:space="preserve"> </w:t>
      </w:r>
      <w:r w:rsidRPr="00326947">
        <w:rPr>
          <w:rFonts w:eastAsia="SimSun"/>
          <w:lang w:eastAsia="zh-CN"/>
        </w:rPr>
        <w:t>at</w:t>
      </w:r>
      <w:r w:rsidRPr="00326947">
        <w:rPr>
          <w:rFonts w:eastAsia="SimSun"/>
          <w:i/>
          <w:iCs/>
          <w:lang w:eastAsia="zh-CN"/>
        </w:rPr>
        <w:t xml:space="preserve"> </w:t>
      </w:r>
      <w:r w:rsidRPr="00326947">
        <w:rPr>
          <w:rFonts w:eastAsia="SimSun"/>
        </w:rPr>
        <w:t xml:space="preserve">grid point </w:t>
      </w:r>
      <w:r w:rsidRPr="00326947">
        <w:rPr>
          <w:rFonts w:eastAsia="SimSun"/>
          <w:i/>
          <w:iCs/>
        </w:rPr>
        <w:t>Eg</w:t>
      </w:r>
      <w:r w:rsidRPr="00326947">
        <w:rPr>
          <w:rFonts w:eastAsia="SimSun"/>
          <w:i/>
          <w:iCs/>
          <w:lang w:eastAsia="zh-CN"/>
        </w:rPr>
        <w:t xml:space="preserve">.  </w:t>
      </w:r>
    </w:p>
    <w:p w:rsidR="007D5348" w:rsidRDefault="007D5348" w:rsidP="00EC2B1F">
      <w:pPr>
        <w:tabs>
          <w:tab w:val="left" w:pos="0"/>
          <w:tab w:val="left" w:pos="709"/>
        </w:tabs>
        <w:spacing w:before="240"/>
      </w:pPr>
      <w:r>
        <w:rPr>
          <w:rFonts w:eastAsia="SimSun"/>
        </w:rPr>
        <w:t>3</w:t>
      </w:r>
      <w:r>
        <w:rPr>
          <w:rFonts w:eastAsia="SimSun"/>
        </w:rPr>
        <w:tab/>
      </w:r>
      <w:r w:rsidRPr="00326947">
        <w:rPr>
          <w:rFonts w:eastAsia="SimSun"/>
        </w:rPr>
        <w:t xml:space="preserve">If the interpolated value </w:t>
      </w:r>
      <w:r w:rsidRPr="00326947">
        <w:rPr>
          <w:rFonts w:eastAsia="SimSun"/>
          <w:i/>
          <w:iCs/>
        </w:rPr>
        <w:t>V</w:t>
      </w:r>
      <w:r w:rsidRPr="00326947">
        <w:rPr>
          <w:rFonts w:eastAsia="SimSun"/>
          <w:i/>
          <w:iCs/>
          <w:vertAlign w:val="subscript"/>
        </w:rPr>
        <w:t>Eg</w:t>
      </w:r>
      <w:r w:rsidRPr="00326947">
        <w:rPr>
          <w:rFonts w:eastAsia="SimSun"/>
        </w:rPr>
        <w:t xml:space="preserve"> is higher than (</w:t>
      </w:r>
      <w:r w:rsidRPr="00326947">
        <w:rPr>
          <w:rFonts w:eastAsia="SimSun"/>
          <w:i/>
          <w:iCs/>
        </w:rPr>
        <w:t>C</w:t>
      </w:r>
      <w:r w:rsidRPr="00326947">
        <w:rPr>
          <w:rFonts w:eastAsia="SimSun"/>
        </w:rPr>
        <w:t>/</w:t>
      </w:r>
      <w:r w:rsidRPr="00326947">
        <w:rPr>
          <w:rFonts w:eastAsia="SimSun"/>
          <w:i/>
          <w:iCs/>
        </w:rPr>
        <w:t>N</w:t>
      </w:r>
      <w:r w:rsidRPr="00326947">
        <w:rPr>
          <w:rFonts w:eastAsia="SimSun"/>
        </w:rPr>
        <w:t>)</w:t>
      </w:r>
      <w:r w:rsidRPr="00326947">
        <w:rPr>
          <w:rFonts w:eastAsia="SimSun"/>
          <w:i/>
          <w:iCs/>
          <w:vertAlign w:val="subscript"/>
        </w:rPr>
        <w:t>d</w:t>
      </w:r>
      <w:r w:rsidRPr="00326947">
        <w:rPr>
          <w:rFonts w:eastAsia="SimSun"/>
          <w:i/>
          <w:iCs/>
          <w:vertAlign w:val="subscript"/>
          <w:lang w:eastAsia="zh-CN"/>
        </w:rPr>
        <w:t>, Eg</w:t>
      </w:r>
      <w:r w:rsidRPr="00326947">
        <w:rPr>
          <w:rFonts w:eastAsia="SimSun"/>
        </w:rPr>
        <w:t xml:space="preserve"> +11.65 dB , (</w:t>
      </w:r>
      <w:r w:rsidRPr="00326947">
        <w:rPr>
          <w:rFonts w:eastAsia="SimSun"/>
          <w:i/>
          <w:iCs/>
        </w:rPr>
        <w:t>C</w:t>
      </w:r>
      <w:r w:rsidRPr="00326947">
        <w:rPr>
          <w:rFonts w:eastAsia="SimSun"/>
        </w:rPr>
        <w:t>/</w:t>
      </w:r>
      <w:r w:rsidRPr="00326947">
        <w:rPr>
          <w:rFonts w:eastAsia="SimSun"/>
          <w:i/>
          <w:iCs/>
        </w:rPr>
        <w:t>N</w:t>
      </w:r>
      <w:r w:rsidRPr="00326947">
        <w:rPr>
          <w:rFonts w:eastAsia="SimSun"/>
        </w:rPr>
        <w:t>)</w:t>
      </w:r>
      <w:r w:rsidRPr="00326947">
        <w:rPr>
          <w:rFonts w:eastAsia="SimSun"/>
          <w:i/>
          <w:iCs/>
          <w:vertAlign w:val="subscript"/>
        </w:rPr>
        <w:t>d</w:t>
      </w:r>
      <w:r w:rsidRPr="00326947">
        <w:rPr>
          <w:rFonts w:eastAsia="SimSun"/>
          <w:i/>
          <w:iCs/>
          <w:vertAlign w:val="subscript"/>
          <w:lang w:eastAsia="zh-CN"/>
        </w:rPr>
        <w:t>, Eg</w:t>
      </w:r>
      <w:r w:rsidRPr="00326947">
        <w:rPr>
          <w:rFonts w:eastAsia="SimSun"/>
        </w:rPr>
        <w:t xml:space="preserve"> +11.65 dB shall be used as the reference value for grid point</w:t>
      </w:r>
      <w:r w:rsidRPr="00326947">
        <w:rPr>
          <w:rFonts w:eastAsia="SimSun"/>
          <w:lang w:eastAsia="zh-CN"/>
        </w:rPr>
        <w:t xml:space="preserve"> </w:t>
      </w:r>
      <w:r w:rsidRPr="00326947">
        <w:rPr>
          <w:rFonts w:eastAsia="SimSun"/>
          <w:i/>
          <w:iCs/>
        </w:rPr>
        <w:t>Eg</w:t>
      </w:r>
      <w:r w:rsidRPr="00326947">
        <w:rPr>
          <w:rFonts w:eastAsia="SimSun"/>
          <w:lang w:eastAsia="zh-CN"/>
        </w:rPr>
        <w:t>.</w:t>
      </w:r>
      <w:r w:rsidRPr="00326947">
        <w:rPr>
          <w:rFonts w:eastAsia="SimSun"/>
        </w:rPr>
        <w:t xml:space="preserve"> </w:t>
      </w:r>
      <w:r w:rsidRPr="00326947">
        <w:rPr>
          <w:rFonts w:eastAsia="SimSun"/>
          <w:lang w:eastAsia="zh-CN"/>
        </w:rPr>
        <w:t>O</w:t>
      </w:r>
      <w:r w:rsidRPr="00326947">
        <w:rPr>
          <w:rFonts w:eastAsia="SimSun"/>
        </w:rPr>
        <w:t>therwise, the interpolated value is the reference value.</w:t>
      </w:r>
    </w:p>
    <w:p w:rsidR="004C01D1" w:rsidRPr="009F272C" w:rsidRDefault="001838C3" w:rsidP="00EC2B1F">
      <w:pPr>
        <w:spacing w:before="120"/>
        <w:jc w:val="center"/>
        <w:rPr>
          <w:color w:val="000000"/>
        </w:rPr>
      </w:pPr>
      <w:r w:rsidRPr="004C01D1">
        <w:rPr>
          <w:color w:val="000000"/>
        </w:rPr>
        <w:t>____________________</w:t>
      </w:r>
    </w:p>
    <w:p w:rsidR="0001013B" w:rsidRPr="004C01D1" w:rsidRDefault="0001013B" w:rsidP="004C01D1">
      <w:pPr>
        <w:sectPr w:rsidR="0001013B" w:rsidRPr="004C01D1" w:rsidSect="00DE57F6">
          <w:headerReference w:type="even" r:id="rId19"/>
          <w:footnotePr>
            <w:pos w:val="beneathText"/>
          </w:footnotePr>
          <w:pgSz w:w="11907" w:h="16840" w:code="9"/>
          <w:pgMar w:top="1701" w:right="851" w:bottom="1134" w:left="1985" w:header="720" w:footer="482" w:gutter="0"/>
          <w:cols w:space="720"/>
          <w:vAlign w:val="both"/>
        </w:sectPr>
      </w:pPr>
    </w:p>
    <w:p w:rsidR="00770297" w:rsidRPr="004C01D1" w:rsidRDefault="00770297" w:rsidP="004C01D1"/>
    <w:sectPr w:rsidR="00770297" w:rsidRPr="004C01D1" w:rsidSect="004C01D1">
      <w:headerReference w:type="first" r:id="rId2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BE3" w:rsidRDefault="009F2BE3">
      <w:r>
        <w:separator/>
      </w:r>
    </w:p>
  </w:endnote>
  <w:endnote w:type="continuationSeparator" w:id="0">
    <w:p w:rsidR="009F2BE3" w:rsidRDefault="009F2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249" w:rsidRDefault="006822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249" w:rsidRDefault="0068224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249" w:rsidRDefault="006822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BE3" w:rsidRDefault="009F2BE3">
      <w:r>
        <w:rPr>
          <w:b/>
        </w:rPr>
        <w:t>_______________</w:t>
      </w:r>
    </w:p>
  </w:footnote>
  <w:footnote w:type="continuationSeparator" w:id="0">
    <w:p w:rsidR="009F2BE3" w:rsidRDefault="009F2BE3">
      <w:r>
        <w:continuationSeparator/>
      </w:r>
    </w:p>
  </w:footnote>
  <w:footnote w:id="1">
    <w:p w:rsidR="009F2BE3" w:rsidRPr="004C01D1" w:rsidRDefault="009F2BE3" w:rsidP="004C01D1">
      <w:pPr>
        <w:pStyle w:val="FootnoteText"/>
        <w:rPr>
          <w:lang w:val="en-US"/>
        </w:rPr>
      </w:pPr>
      <w:r>
        <w:rPr>
          <w:rStyle w:val="FootnoteReference"/>
        </w:rPr>
        <w:t>1</w:t>
      </w:r>
      <w:r>
        <w:rPr>
          <w:lang w:val="en-US"/>
        </w:rPr>
        <w:tab/>
      </w:r>
      <w:r>
        <w:rPr>
          <w:color w:val="000000"/>
          <w:lang w:val="en-US"/>
        </w:rPr>
        <w:t>See Rules of Procedure relating to No. </w:t>
      </w:r>
      <w:r>
        <w:rPr>
          <w:b/>
          <w:bCs/>
          <w:color w:val="000000"/>
        </w:rPr>
        <w:t>21.11.</w:t>
      </w:r>
    </w:p>
  </w:footnote>
  <w:footnote w:id="2">
    <w:p w:rsidR="009F2BE3" w:rsidRPr="004C01D1" w:rsidRDefault="009F2BE3" w:rsidP="004C01D1">
      <w:pPr>
        <w:pStyle w:val="FootnoteText"/>
        <w:rPr>
          <w:lang w:val="en-US"/>
        </w:rPr>
      </w:pPr>
      <w:r>
        <w:rPr>
          <w:rStyle w:val="FootnoteReference"/>
        </w:rPr>
        <w:t>2</w:t>
      </w:r>
      <w:r>
        <w:rPr>
          <w:lang w:val="en-US"/>
        </w:rPr>
        <w:tab/>
      </w:r>
      <w:r>
        <w:rPr>
          <w:color w:val="000000"/>
          <w:lang w:val="en-US"/>
        </w:rPr>
        <w:t>See Rules of Procedure relating to No. </w:t>
      </w:r>
      <w:r>
        <w:rPr>
          <w:b/>
          <w:bCs/>
          <w:color w:val="000000"/>
        </w:rPr>
        <w:t>21.14</w:t>
      </w:r>
      <w:r>
        <w:rPr>
          <w:b/>
          <w:bCs/>
          <w:color w:val="000000"/>
          <w:lang w:val="en-US"/>
        </w:rPr>
        <w:t>.</w:t>
      </w:r>
    </w:p>
  </w:footnote>
  <w:footnote w:id="3">
    <w:p w:rsidR="009F2BE3" w:rsidRPr="004C01D1" w:rsidRDefault="009F2BE3" w:rsidP="004C01D1">
      <w:pPr>
        <w:pStyle w:val="FootnoteText"/>
        <w:rPr>
          <w:lang w:val="en-US"/>
        </w:rPr>
      </w:pPr>
      <w:r>
        <w:rPr>
          <w:rStyle w:val="FootnoteReference"/>
        </w:rPr>
        <w:t>3</w:t>
      </w:r>
      <w:r>
        <w:rPr>
          <w:lang w:val="en-US"/>
        </w:rPr>
        <w:tab/>
      </w:r>
      <w:r w:rsidRPr="00E1454B">
        <w:rPr>
          <w:rFonts w:hint="eastAsia"/>
          <w:lang w:val="en-US"/>
        </w:rPr>
        <w:t xml:space="preserve">For </w:t>
      </w:r>
      <w:r w:rsidRPr="00E1454B">
        <w:rPr>
          <w:lang w:val="en-US"/>
        </w:rPr>
        <w:t xml:space="preserve">a </w:t>
      </w:r>
      <w:r w:rsidRPr="00E1454B">
        <w:rPr>
          <w:rFonts w:hint="eastAsia"/>
          <w:color w:val="000000"/>
        </w:rPr>
        <w:t>request</w:t>
      </w:r>
      <w:r w:rsidRPr="00E1454B">
        <w:rPr>
          <w:rFonts w:hint="eastAsia"/>
          <w:lang w:val="en-US"/>
        </w:rPr>
        <w:t xml:space="preserve"> from </w:t>
      </w:r>
      <w:r w:rsidRPr="00E1454B">
        <w:rPr>
          <w:lang w:val="en-US"/>
        </w:rPr>
        <w:t xml:space="preserve">a </w:t>
      </w:r>
      <w:r w:rsidRPr="00E1454B">
        <w:rPr>
          <w:rFonts w:hint="eastAsia"/>
          <w:lang w:val="en-US"/>
        </w:rPr>
        <w:t xml:space="preserve">new </w:t>
      </w:r>
      <w:smartTag w:uri="urn:schemas-microsoft-com:office:smarttags" w:element="place">
        <w:smartTag w:uri="urn:schemas-microsoft-com:office:smarttags" w:element="PlaceName">
          <w:r w:rsidRPr="00E1454B">
            <w:rPr>
              <w:rFonts w:hint="eastAsia"/>
              <w:lang w:val="en-US"/>
            </w:rPr>
            <w:t>Member</w:t>
          </w:r>
        </w:smartTag>
        <w:r w:rsidRPr="00E1454B">
          <w:rPr>
            <w:rFonts w:hint="eastAsia"/>
            <w:lang w:val="en-US"/>
          </w:rPr>
          <w:t xml:space="preserve"> </w:t>
        </w:r>
        <w:smartTag w:uri="urn:schemas-microsoft-com:office:smarttags" w:element="PlaceType">
          <w:r w:rsidRPr="00E1454B">
            <w:rPr>
              <w:rFonts w:hint="eastAsia"/>
              <w:lang w:val="en-US"/>
            </w:rPr>
            <w:t>State</w:t>
          </w:r>
        </w:smartTag>
      </w:smartTag>
      <w:r w:rsidRPr="00E1454B">
        <w:rPr>
          <w:rFonts w:hint="eastAsia"/>
          <w:lang w:val="en-US"/>
        </w:rPr>
        <w:t xml:space="preserve"> received before 17 November 2007, a single entry of 25</w:t>
      </w:r>
      <w:r w:rsidRPr="00E1454B">
        <w:rPr>
          <w:lang w:val="en-US"/>
        </w:rPr>
        <w:t> </w:t>
      </w:r>
      <w:r w:rsidRPr="00E1454B">
        <w:rPr>
          <w:rFonts w:hint="eastAsia"/>
          <w:lang w:val="en-US"/>
        </w:rPr>
        <w:t xml:space="preserve">dB and an aggregate </w:t>
      </w:r>
      <w:r w:rsidRPr="00C969A0">
        <w:rPr>
          <w:rFonts w:hint="eastAsia"/>
          <w:i/>
          <w:lang w:val="en-US"/>
        </w:rPr>
        <w:t>C</w:t>
      </w:r>
      <w:r w:rsidRPr="00E1454B">
        <w:rPr>
          <w:rFonts w:hint="eastAsia"/>
          <w:lang w:val="en-US"/>
        </w:rPr>
        <w:t>/</w:t>
      </w:r>
      <w:r w:rsidRPr="00C969A0">
        <w:rPr>
          <w:rFonts w:hint="eastAsia"/>
          <w:i/>
          <w:lang w:val="en-US"/>
        </w:rPr>
        <w:t>I</w:t>
      </w:r>
      <w:r w:rsidRPr="00E1454B">
        <w:rPr>
          <w:rFonts w:hint="eastAsia"/>
          <w:lang w:val="en-US"/>
        </w:rPr>
        <w:t xml:space="preserve"> of 21</w:t>
      </w:r>
      <w:r w:rsidRPr="00E1454B">
        <w:rPr>
          <w:lang w:val="en-US"/>
        </w:rPr>
        <w:t> </w:t>
      </w:r>
      <w:r w:rsidRPr="00E1454B">
        <w:rPr>
          <w:rFonts w:hint="eastAsia"/>
          <w:lang w:val="en-US"/>
        </w:rPr>
        <w:t>dB shall be applied.</w:t>
      </w:r>
    </w:p>
  </w:footnote>
  <w:footnote w:id="4">
    <w:p w:rsidR="00EC2B1F" w:rsidRPr="0072008F" w:rsidRDefault="00EC2B1F" w:rsidP="007D5348">
      <w:pPr>
        <w:pStyle w:val="FootnoteText"/>
        <w:rPr>
          <w:szCs w:val="24"/>
        </w:rPr>
      </w:pPr>
      <w:r>
        <w:rPr>
          <w:rStyle w:val="FootnoteReference"/>
        </w:rPr>
        <w:t>4</w:t>
      </w:r>
      <w:r w:rsidRPr="00B460C9">
        <w:rPr>
          <w:rFonts w:asciiTheme="minorHAnsi" w:hAnsiTheme="minorHAnsi"/>
          <w:szCs w:val="24"/>
        </w:rPr>
        <w:t xml:space="preserve"> </w:t>
      </w:r>
      <w:r w:rsidRPr="0072008F">
        <w:rPr>
          <w:rFonts w:eastAsia="SimSun"/>
          <w:szCs w:val="24"/>
        </w:rPr>
        <w:t>The service area is regularly covered by a grid of points so that the average distance between points is set to a value proportional to the area size, with a maximum of 600 km and a minimum of 100 km. To ensure good coverage of irregularly shaped areas, points are also added on the border of the service area.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F2BE3">
      <w:trPr>
        <w:cantSplit/>
      </w:trPr>
      <w:tc>
        <w:tcPr>
          <w:tcW w:w="1701" w:type="dxa"/>
          <w:tcBorders>
            <w:top w:val="single" w:sz="6" w:space="0" w:color="auto"/>
            <w:left w:val="single" w:sz="6" w:space="0" w:color="auto"/>
            <w:bottom w:val="single" w:sz="6" w:space="0" w:color="auto"/>
            <w:right w:val="single" w:sz="6" w:space="0" w:color="auto"/>
          </w:tcBorders>
        </w:tcPr>
        <w:p w:rsidR="009F2BE3" w:rsidRDefault="009F2BE3">
          <w:pPr>
            <w:pStyle w:val="HeaderRegProc"/>
          </w:pPr>
          <w:r>
            <w:t>Part A</w:t>
          </w:r>
          <w:r>
            <w:fldChar w:fldCharType="begin"/>
          </w:r>
          <w:r>
            <w:instrText>styleref href</w:instrText>
          </w:r>
          <w:r>
            <w:fldChar w:fldCharType="separate"/>
          </w:r>
          <w:r w:rsidR="006A5400">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9F2BE3" w:rsidRDefault="00E64CB2">
          <w:pPr>
            <w:pStyle w:val="HeaderRegProc"/>
            <w:rPr>
              <w:lang w:val="fr-FR"/>
            </w:rPr>
          </w:pPr>
          <w:r>
            <w:fldChar w:fldCharType="begin"/>
          </w:r>
          <w:r>
            <w:instrText xml:space="preserve"> DOCPROPERTY "Header1" \* MERGEFORMAT </w:instrText>
          </w:r>
          <w:r>
            <w:fldChar w:fldCharType="separate"/>
          </w:r>
          <w:r w:rsidR="006A5400">
            <w:t>AP</w:t>
          </w:r>
          <w:r>
            <w:fldChar w:fldCharType="end"/>
          </w:r>
          <w:r w:rsidR="009F2BE3">
            <w:fldChar w:fldCharType="begin"/>
          </w:r>
          <w:r w:rsidR="009F2BE3">
            <w:instrText>styleref href2</w:instrText>
          </w:r>
          <w:r w:rsidR="009F2BE3">
            <w:fldChar w:fldCharType="separate"/>
          </w:r>
          <w:r w:rsidR="006A5400">
            <w:rPr>
              <w:noProof/>
            </w:rPr>
            <w:t>30B</w:t>
          </w:r>
          <w:r w:rsidR="009F2BE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9F2BE3" w:rsidRDefault="009F2BE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F2BE3" w:rsidRDefault="009F2BE3" w:rsidP="001838C3">
          <w:pPr>
            <w:pStyle w:val="HeaderRegProc"/>
            <w:rPr>
              <w:lang w:val="fr-CH"/>
            </w:rPr>
          </w:pPr>
          <w:r>
            <w:rPr>
              <w:lang w:val="fr-CH"/>
            </w:rPr>
            <w:t>rev.</w:t>
          </w:r>
          <w:r>
            <w:t>-</w:t>
          </w:r>
        </w:p>
      </w:tc>
    </w:tr>
  </w:tbl>
  <w:p w:rsidR="009F2BE3" w:rsidRDefault="009F2BE3">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F2BE3">
      <w:trPr>
        <w:cantSplit/>
        <w:jc w:val="right"/>
      </w:trPr>
      <w:tc>
        <w:tcPr>
          <w:tcW w:w="1701" w:type="dxa"/>
          <w:tcBorders>
            <w:top w:val="single" w:sz="6" w:space="0" w:color="auto"/>
            <w:left w:val="single" w:sz="6" w:space="0" w:color="auto"/>
            <w:bottom w:val="single" w:sz="6" w:space="0" w:color="auto"/>
            <w:right w:val="single" w:sz="6" w:space="0" w:color="auto"/>
          </w:tcBorders>
        </w:tcPr>
        <w:p w:rsidR="009F2BE3" w:rsidRDefault="009F2BE3">
          <w:pPr>
            <w:pStyle w:val="HeaderRegProc"/>
          </w:pPr>
          <w:r>
            <w:t>Part A</w:t>
          </w:r>
          <w:r>
            <w:fldChar w:fldCharType="begin"/>
          </w:r>
          <w:r>
            <w:instrText>styleref href</w:instrText>
          </w:r>
          <w:r>
            <w:fldChar w:fldCharType="separate"/>
          </w:r>
          <w:r w:rsidR="00E64CB2">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9F2BE3" w:rsidRDefault="00E64CB2">
          <w:pPr>
            <w:pStyle w:val="HeaderRegProc"/>
            <w:rPr>
              <w:lang w:val="fr-FR"/>
            </w:rPr>
          </w:pPr>
          <w:r>
            <w:fldChar w:fldCharType="begin"/>
          </w:r>
          <w:r>
            <w:instrText xml:space="preserve"> DOCPROPERTY "Header1" \* MERGEFORMAT </w:instrText>
          </w:r>
          <w:r>
            <w:fldChar w:fldCharType="separate"/>
          </w:r>
          <w:r w:rsidR="006A5400">
            <w:t>AP</w:t>
          </w:r>
          <w:r>
            <w:fldChar w:fldCharType="end"/>
          </w:r>
          <w:r w:rsidR="009F2BE3">
            <w:fldChar w:fldCharType="begin"/>
          </w:r>
          <w:r w:rsidR="009F2BE3">
            <w:instrText>styleref href2</w:instrText>
          </w:r>
          <w:r w:rsidR="009F2BE3">
            <w:fldChar w:fldCharType="separate"/>
          </w:r>
          <w:r>
            <w:rPr>
              <w:noProof/>
            </w:rPr>
            <w:t>30B</w:t>
          </w:r>
          <w:r w:rsidR="009F2BE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9F2BE3" w:rsidRDefault="009F2BE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64CB2">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F2BE3" w:rsidRDefault="009F2BE3" w:rsidP="001838C3">
          <w:pPr>
            <w:pStyle w:val="HeaderRegProc"/>
            <w:rPr>
              <w:lang w:val="fr-CH"/>
            </w:rPr>
          </w:pPr>
          <w:r>
            <w:rPr>
              <w:lang w:val="fr-CH"/>
            </w:rPr>
            <w:t>rev.-</w:t>
          </w:r>
        </w:p>
      </w:tc>
    </w:tr>
  </w:tbl>
  <w:p w:rsidR="009F2BE3" w:rsidRDefault="009F2BE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249" w:rsidRDefault="0068224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F2BE3">
      <w:trPr>
        <w:cantSplit/>
      </w:trPr>
      <w:tc>
        <w:tcPr>
          <w:tcW w:w="1701" w:type="dxa"/>
          <w:tcBorders>
            <w:top w:val="single" w:sz="6" w:space="0" w:color="auto"/>
            <w:left w:val="single" w:sz="6" w:space="0" w:color="auto"/>
            <w:bottom w:val="single" w:sz="6" w:space="0" w:color="auto"/>
            <w:right w:val="single" w:sz="6" w:space="0" w:color="auto"/>
          </w:tcBorders>
        </w:tcPr>
        <w:p w:rsidR="009F2BE3" w:rsidRDefault="009F2BE3">
          <w:pPr>
            <w:pStyle w:val="HeaderRegProc"/>
          </w:pPr>
          <w:r>
            <w:t>Part A</w:t>
          </w:r>
          <w:r>
            <w:fldChar w:fldCharType="begin"/>
          </w:r>
          <w:r>
            <w:instrText>styleref href</w:instrText>
          </w:r>
          <w:r>
            <w:fldChar w:fldCharType="separate"/>
          </w:r>
          <w:r w:rsidR="00E64CB2">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9F2BE3" w:rsidRDefault="00E64CB2">
          <w:pPr>
            <w:pStyle w:val="HeaderRegProc"/>
            <w:rPr>
              <w:lang w:val="fr-FR"/>
            </w:rPr>
          </w:pPr>
          <w:r>
            <w:fldChar w:fldCharType="begin"/>
          </w:r>
          <w:r>
            <w:instrText xml:space="preserve"> DOCPROPERTY "Header1" \* MERGEFORMAT </w:instrText>
          </w:r>
          <w:r>
            <w:fldChar w:fldCharType="separate"/>
          </w:r>
          <w:r w:rsidR="006A5400">
            <w:t>AP</w:t>
          </w:r>
          <w:r>
            <w:fldChar w:fldCharType="end"/>
          </w:r>
          <w:r w:rsidR="009F2BE3">
            <w:fldChar w:fldCharType="begin"/>
          </w:r>
          <w:r w:rsidR="009F2BE3">
            <w:instrText>styleref href2</w:instrText>
          </w:r>
          <w:r w:rsidR="009F2BE3">
            <w:fldChar w:fldCharType="separate"/>
          </w:r>
          <w:r>
            <w:rPr>
              <w:noProof/>
            </w:rPr>
            <w:t>30B</w:t>
          </w:r>
          <w:r w:rsidR="009F2BE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9F2BE3" w:rsidRDefault="009F2BE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64CB2">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F2BE3" w:rsidRDefault="009F2BE3" w:rsidP="00DE57F6">
          <w:pPr>
            <w:pStyle w:val="HeaderRegProc"/>
            <w:rPr>
              <w:lang w:val="fr-CH"/>
            </w:rPr>
          </w:pPr>
          <w:r>
            <w:rPr>
              <w:lang w:val="fr-CH"/>
            </w:rPr>
            <w:t>rev.</w:t>
          </w:r>
          <w:r>
            <w:t xml:space="preserve"> 1</w:t>
          </w:r>
        </w:p>
      </w:tc>
    </w:tr>
  </w:tbl>
  <w:p w:rsidR="009F2BE3" w:rsidRDefault="009F2BE3">
    <w:pPr>
      <w:rPr>
        <w:lang w:val="fr-C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F2BE3">
      <w:trPr>
        <w:cantSplit/>
        <w:jc w:val="right"/>
      </w:trPr>
      <w:tc>
        <w:tcPr>
          <w:tcW w:w="1701" w:type="dxa"/>
          <w:tcBorders>
            <w:top w:val="single" w:sz="6" w:space="0" w:color="auto"/>
            <w:left w:val="single" w:sz="6" w:space="0" w:color="auto"/>
            <w:bottom w:val="single" w:sz="6" w:space="0" w:color="auto"/>
            <w:right w:val="single" w:sz="6" w:space="0" w:color="auto"/>
          </w:tcBorders>
        </w:tcPr>
        <w:p w:rsidR="009F2BE3" w:rsidRDefault="009F2BE3">
          <w:pPr>
            <w:pStyle w:val="HeaderRegProc"/>
          </w:pPr>
          <w:r>
            <w:t>Part A</w:t>
          </w:r>
          <w:r>
            <w:fldChar w:fldCharType="begin"/>
          </w:r>
          <w:r>
            <w:instrText>styleref href</w:instrText>
          </w:r>
          <w:r>
            <w:fldChar w:fldCharType="separate"/>
          </w:r>
          <w:r w:rsidR="00E64CB2">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9F2BE3" w:rsidRDefault="00E64CB2">
          <w:pPr>
            <w:pStyle w:val="HeaderRegProc"/>
            <w:rPr>
              <w:lang w:val="fr-FR"/>
            </w:rPr>
          </w:pPr>
          <w:r>
            <w:fldChar w:fldCharType="begin"/>
          </w:r>
          <w:r>
            <w:instrText xml:space="preserve"> DOCPROPERTY "Header1" \* MERGEFORMAT </w:instrText>
          </w:r>
          <w:r>
            <w:fldChar w:fldCharType="separate"/>
          </w:r>
          <w:r w:rsidR="006A5400">
            <w:t>AP</w:t>
          </w:r>
          <w:r>
            <w:fldChar w:fldCharType="end"/>
          </w:r>
          <w:r w:rsidR="009F2BE3">
            <w:fldChar w:fldCharType="begin"/>
          </w:r>
          <w:r w:rsidR="009F2BE3">
            <w:instrText>styleref href2</w:instrText>
          </w:r>
          <w:r w:rsidR="009F2BE3">
            <w:fldChar w:fldCharType="separate"/>
          </w:r>
          <w:r>
            <w:rPr>
              <w:noProof/>
            </w:rPr>
            <w:t>30B</w:t>
          </w:r>
          <w:r w:rsidR="009F2BE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9F2BE3" w:rsidRDefault="009F2BE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64CB2">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F2BE3" w:rsidRDefault="009F2BE3" w:rsidP="009F2C7A">
          <w:pPr>
            <w:pStyle w:val="HeaderRegProc"/>
            <w:rPr>
              <w:lang w:val="fr-CH"/>
            </w:rPr>
          </w:pPr>
          <w:r>
            <w:rPr>
              <w:lang w:val="fr-CH"/>
            </w:rPr>
            <w:t>rev. 1</w:t>
          </w:r>
        </w:p>
      </w:tc>
    </w:tr>
  </w:tbl>
  <w:p w:rsidR="009F2BE3" w:rsidRDefault="009F2BE3">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82249">
      <w:trPr>
        <w:cantSplit/>
      </w:trPr>
      <w:tc>
        <w:tcPr>
          <w:tcW w:w="1701" w:type="dxa"/>
          <w:tcBorders>
            <w:top w:val="single" w:sz="6" w:space="0" w:color="auto"/>
            <w:left w:val="single" w:sz="6" w:space="0" w:color="auto"/>
            <w:bottom w:val="single" w:sz="6" w:space="0" w:color="auto"/>
            <w:right w:val="single" w:sz="6" w:space="0" w:color="auto"/>
          </w:tcBorders>
        </w:tcPr>
        <w:p w:rsidR="00682249" w:rsidRDefault="00682249">
          <w:pPr>
            <w:pStyle w:val="HeaderRegProc"/>
          </w:pPr>
          <w:r>
            <w:t>Part A</w:t>
          </w:r>
          <w:r>
            <w:fldChar w:fldCharType="begin"/>
          </w:r>
          <w:r>
            <w:instrText>styleref href</w:instrText>
          </w:r>
          <w:r>
            <w:fldChar w:fldCharType="separate"/>
          </w:r>
          <w:r w:rsidR="00E64CB2">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682249" w:rsidRDefault="00EC2B1F">
          <w:pPr>
            <w:pStyle w:val="HeaderRegProc"/>
            <w:rPr>
              <w:lang w:val="fr-FR"/>
            </w:rPr>
          </w:pPr>
          <w:fldSimple w:instr=" DOCPROPERTY &quot;Header1&quot; \* MERGEFORMAT ">
            <w:r w:rsidR="00682249">
              <w:t>AP</w:t>
            </w:r>
          </w:fldSimple>
          <w:r w:rsidR="00682249">
            <w:fldChar w:fldCharType="begin"/>
          </w:r>
          <w:r w:rsidR="00682249">
            <w:instrText>styleref href2</w:instrText>
          </w:r>
          <w:r w:rsidR="00682249">
            <w:fldChar w:fldCharType="separate"/>
          </w:r>
          <w:r w:rsidR="00E64CB2">
            <w:rPr>
              <w:noProof/>
            </w:rPr>
            <w:t>30B</w:t>
          </w:r>
          <w:r w:rsidR="0068224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682249" w:rsidRDefault="0068224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64CB2">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82249" w:rsidRDefault="00682249" w:rsidP="00682249">
          <w:pPr>
            <w:pStyle w:val="HeaderRegProc"/>
            <w:rPr>
              <w:lang w:val="fr-CH"/>
            </w:rPr>
          </w:pPr>
          <w:r>
            <w:rPr>
              <w:lang w:val="fr-CH"/>
            </w:rPr>
            <w:t>rev.</w:t>
          </w:r>
          <w:r>
            <w:t xml:space="preserve"> 5</w:t>
          </w:r>
        </w:p>
      </w:tc>
    </w:tr>
  </w:tbl>
  <w:p w:rsidR="00682249" w:rsidRDefault="00682249">
    <w:pPr>
      <w:rPr>
        <w:lang w:val="fr-CH"/>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F68" w:rsidRDefault="00781F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EF6B9C"/>
    <w:multiLevelType w:val="multilevel"/>
    <w:tmpl w:val="5050A512"/>
    <w:lvl w:ilvl="0">
      <w:start w:val="3"/>
      <w:numFmt w:val="decimal"/>
      <w:lvlText w:val="%1"/>
      <w:lvlJc w:val="left"/>
      <w:pPr>
        <w:tabs>
          <w:tab w:val="num" w:pos="1128"/>
        </w:tabs>
        <w:ind w:left="1128" w:hanging="1128"/>
      </w:pPr>
      <w:rPr>
        <w:rFonts w:hint="default"/>
      </w:rPr>
    </w:lvl>
    <w:lvl w:ilvl="1">
      <w:start w:val="10"/>
      <w:numFmt w:val="decimal"/>
      <w:lvlText w:val="%1.%2"/>
      <w:lvlJc w:val="left"/>
      <w:pPr>
        <w:tabs>
          <w:tab w:val="num" w:pos="1128"/>
        </w:tabs>
        <w:ind w:left="1128" w:hanging="1128"/>
      </w:pPr>
      <w:rPr>
        <w:rFonts w:hint="default"/>
      </w:rPr>
    </w:lvl>
    <w:lvl w:ilvl="2">
      <w:start w:val="1"/>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297"/>
    <w:rsid w:val="00007102"/>
    <w:rsid w:val="0001013B"/>
    <w:rsid w:val="00025941"/>
    <w:rsid w:val="0004075A"/>
    <w:rsid w:val="000572F6"/>
    <w:rsid w:val="0013713A"/>
    <w:rsid w:val="00182C8F"/>
    <w:rsid w:val="001838C3"/>
    <w:rsid w:val="002845B5"/>
    <w:rsid w:val="002D3821"/>
    <w:rsid w:val="002F0850"/>
    <w:rsid w:val="00311037"/>
    <w:rsid w:val="003358AB"/>
    <w:rsid w:val="00365999"/>
    <w:rsid w:val="003A477C"/>
    <w:rsid w:val="003B4528"/>
    <w:rsid w:val="003E6EEE"/>
    <w:rsid w:val="00421D23"/>
    <w:rsid w:val="004C01D1"/>
    <w:rsid w:val="0050065C"/>
    <w:rsid w:val="00523779"/>
    <w:rsid w:val="00572339"/>
    <w:rsid w:val="005740A3"/>
    <w:rsid w:val="00583970"/>
    <w:rsid w:val="005A4646"/>
    <w:rsid w:val="005C4805"/>
    <w:rsid w:val="005C5F37"/>
    <w:rsid w:val="005F2BE0"/>
    <w:rsid w:val="005F4A3B"/>
    <w:rsid w:val="00602F8C"/>
    <w:rsid w:val="00632623"/>
    <w:rsid w:val="006544EA"/>
    <w:rsid w:val="00682249"/>
    <w:rsid w:val="006878D4"/>
    <w:rsid w:val="006A5400"/>
    <w:rsid w:val="006A5FD8"/>
    <w:rsid w:val="006F31B3"/>
    <w:rsid w:val="006F5BF9"/>
    <w:rsid w:val="00770297"/>
    <w:rsid w:val="00781F68"/>
    <w:rsid w:val="00796226"/>
    <w:rsid w:val="00797EF2"/>
    <w:rsid w:val="007B5DFF"/>
    <w:rsid w:val="007C5B6A"/>
    <w:rsid w:val="007D5348"/>
    <w:rsid w:val="007D7071"/>
    <w:rsid w:val="007E411A"/>
    <w:rsid w:val="007F7798"/>
    <w:rsid w:val="008923CD"/>
    <w:rsid w:val="008A4CBB"/>
    <w:rsid w:val="008A6CD6"/>
    <w:rsid w:val="008E2C91"/>
    <w:rsid w:val="009335D4"/>
    <w:rsid w:val="0098040E"/>
    <w:rsid w:val="009961E4"/>
    <w:rsid w:val="00997078"/>
    <w:rsid w:val="009F272C"/>
    <w:rsid w:val="009F2BE3"/>
    <w:rsid w:val="009F2C7A"/>
    <w:rsid w:val="00A06C3A"/>
    <w:rsid w:val="00A20DDD"/>
    <w:rsid w:val="00A66A9A"/>
    <w:rsid w:val="00AC5624"/>
    <w:rsid w:val="00B0024F"/>
    <w:rsid w:val="00B05B0B"/>
    <w:rsid w:val="00B657F0"/>
    <w:rsid w:val="00B71E2C"/>
    <w:rsid w:val="00B80CD7"/>
    <w:rsid w:val="00BA061E"/>
    <w:rsid w:val="00BA5758"/>
    <w:rsid w:val="00C60716"/>
    <w:rsid w:val="00C7013D"/>
    <w:rsid w:val="00CA762B"/>
    <w:rsid w:val="00CB70A1"/>
    <w:rsid w:val="00CF1065"/>
    <w:rsid w:val="00D34692"/>
    <w:rsid w:val="00D779B1"/>
    <w:rsid w:val="00DB17E2"/>
    <w:rsid w:val="00DC79E8"/>
    <w:rsid w:val="00DE25FE"/>
    <w:rsid w:val="00DE57F6"/>
    <w:rsid w:val="00E64CB2"/>
    <w:rsid w:val="00E82238"/>
    <w:rsid w:val="00EC2B1F"/>
    <w:rsid w:val="00ED0421"/>
    <w:rsid w:val="00F062CD"/>
    <w:rsid w:val="00F6383B"/>
    <w:rsid w:val="00FD03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2F8C"/>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602F8C"/>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rsid w:val="00602F8C"/>
    <w:pPr>
      <w:spacing w:before="480"/>
      <w:outlineLvl w:val="1"/>
    </w:pPr>
    <w:rPr>
      <w:sz w:val="26"/>
    </w:rPr>
  </w:style>
  <w:style w:type="paragraph" w:styleId="Heading3">
    <w:name w:val="heading 3"/>
    <w:basedOn w:val="Heading1"/>
    <w:next w:val="Normal"/>
    <w:qFormat/>
    <w:rsid w:val="00602F8C"/>
    <w:pPr>
      <w:spacing w:before="360"/>
      <w:outlineLvl w:val="2"/>
    </w:pPr>
    <w:rPr>
      <w:sz w:val="24"/>
    </w:rPr>
  </w:style>
  <w:style w:type="paragraph" w:styleId="Heading4">
    <w:name w:val="heading 4"/>
    <w:basedOn w:val="Heading3"/>
    <w:next w:val="Normal"/>
    <w:qFormat/>
    <w:rsid w:val="00602F8C"/>
    <w:pPr>
      <w:outlineLvl w:val="3"/>
    </w:pPr>
  </w:style>
  <w:style w:type="paragraph" w:styleId="Heading5">
    <w:name w:val="heading 5"/>
    <w:basedOn w:val="Heading3"/>
    <w:next w:val="Normal"/>
    <w:qFormat/>
    <w:rsid w:val="00602F8C"/>
    <w:pPr>
      <w:outlineLvl w:val="4"/>
    </w:pPr>
  </w:style>
  <w:style w:type="paragraph" w:styleId="Heading6">
    <w:name w:val="heading 6"/>
    <w:basedOn w:val="Heading3"/>
    <w:next w:val="Normal"/>
    <w:qFormat/>
    <w:rsid w:val="00602F8C"/>
    <w:pPr>
      <w:outlineLvl w:val="5"/>
    </w:pPr>
  </w:style>
  <w:style w:type="paragraph" w:styleId="Heading7">
    <w:name w:val="heading 7"/>
    <w:basedOn w:val="Heading3"/>
    <w:next w:val="Normal"/>
    <w:qFormat/>
    <w:rsid w:val="00602F8C"/>
    <w:pPr>
      <w:outlineLvl w:val="6"/>
    </w:pPr>
  </w:style>
  <w:style w:type="paragraph" w:styleId="Heading8">
    <w:name w:val="heading 8"/>
    <w:basedOn w:val="Heading3"/>
    <w:next w:val="Normal"/>
    <w:qFormat/>
    <w:rsid w:val="00602F8C"/>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602F8C"/>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602F8C"/>
    <w:rPr>
      <w:vertAlign w:val="superscript"/>
    </w:rPr>
  </w:style>
  <w:style w:type="paragraph" w:styleId="TOC8">
    <w:name w:val="toc 8"/>
    <w:basedOn w:val="Normal"/>
    <w:next w:val="Normal"/>
    <w:semiHidden/>
    <w:rsid w:val="00602F8C"/>
    <w:pPr>
      <w:tabs>
        <w:tab w:val="left" w:pos="7711"/>
        <w:tab w:val="right" w:leader="dot" w:pos="9725"/>
      </w:tabs>
      <w:ind w:left="6350"/>
    </w:pPr>
  </w:style>
  <w:style w:type="paragraph" w:styleId="TOC7">
    <w:name w:val="toc 7"/>
    <w:basedOn w:val="Normal"/>
    <w:next w:val="Normal"/>
    <w:semiHidden/>
    <w:rsid w:val="00602F8C"/>
    <w:pPr>
      <w:tabs>
        <w:tab w:val="left" w:pos="6350"/>
        <w:tab w:val="right" w:leader="dot" w:pos="9725"/>
      </w:tabs>
      <w:ind w:left="5103"/>
    </w:pPr>
  </w:style>
  <w:style w:type="paragraph" w:styleId="TOC6">
    <w:name w:val="toc 6"/>
    <w:basedOn w:val="TOC4"/>
    <w:next w:val="Normal"/>
    <w:semiHidden/>
    <w:rsid w:val="00602F8C"/>
    <w:pPr>
      <w:ind w:left="3913"/>
    </w:pPr>
  </w:style>
  <w:style w:type="paragraph" w:styleId="TOC4">
    <w:name w:val="toc 4"/>
    <w:basedOn w:val="TOC3"/>
    <w:next w:val="Normal"/>
    <w:semiHidden/>
    <w:rsid w:val="00602F8C"/>
    <w:pPr>
      <w:tabs>
        <w:tab w:val="clear" w:pos="2268"/>
      </w:tabs>
      <w:spacing w:before="80"/>
      <w:ind w:left="3119" w:hanging="851"/>
    </w:pPr>
  </w:style>
  <w:style w:type="paragraph" w:styleId="TOC3">
    <w:name w:val="toc 3"/>
    <w:basedOn w:val="TOC2"/>
    <w:next w:val="Normal"/>
    <w:semiHidden/>
    <w:rsid w:val="00602F8C"/>
    <w:pPr>
      <w:tabs>
        <w:tab w:val="clear" w:pos="1985"/>
        <w:tab w:val="left" w:pos="2268"/>
      </w:tabs>
      <w:ind w:left="2268" w:hanging="2268"/>
    </w:pPr>
  </w:style>
  <w:style w:type="paragraph" w:styleId="TOC2">
    <w:name w:val="toc 2"/>
    <w:basedOn w:val="TOC1"/>
    <w:next w:val="Normal"/>
    <w:semiHidden/>
    <w:rsid w:val="00602F8C"/>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602F8C"/>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602F8C"/>
    <w:pPr>
      <w:tabs>
        <w:tab w:val="clear" w:pos="2268"/>
        <w:tab w:val="left" w:pos="3062"/>
      </w:tabs>
      <w:ind w:left="3062" w:hanging="3062"/>
    </w:pPr>
  </w:style>
  <w:style w:type="paragraph" w:styleId="Index1">
    <w:name w:val="index 1"/>
    <w:basedOn w:val="Normal"/>
    <w:next w:val="Normal"/>
    <w:semiHidden/>
    <w:rsid w:val="00602F8C"/>
  </w:style>
  <w:style w:type="paragraph" w:styleId="Footer">
    <w:name w:val="footer"/>
    <w:aliases w:val="pie de página"/>
    <w:basedOn w:val="Normal"/>
    <w:rsid w:val="00602F8C"/>
    <w:pPr>
      <w:tabs>
        <w:tab w:val="left" w:pos="567"/>
        <w:tab w:val="center" w:pos="3742"/>
        <w:tab w:val="right" w:pos="6974"/>
      </w:tabs>
    </w:pPr>
  </w:style>
  <w:style w:type="paragraph" w:styleId="Header">
    <w:name w:val="header"/>
    <w:aliases w:val="encabezado"/>
    <w:basedOn w:val="Normal"/>
    <w:rsid w:val="00602F8C"/>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602F8C"/>
    <w:rPr>
      <w:position w:val="6"/>
      <w:sz w:val="16"/>
    </w:rPr>
  </w:style>
  <w:style w:type="paragraph" w:styleId="FootnoteText">
    <w:name w:val="footnote text"/>
    <w:basedOn w:val="Normal"/>
    <w:link w:val="FootnoteTextChar"/>
    <w:rsid w:val="00602F8C"/>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602F8C"/>
    <w:pPr>
      <w:spacing w:before="120"/>
      <w:ind w:left="1134"/>
    </w:pPr>
  </w:style>
  <w:style w:type="paragraph" w:customStyle="1" w:styleId="TableLegend">
    <w:name w:val="Table_Legend"/>
    <w:basedOn w:val="TableText"/>
    <w:next w:val="Normal"/>
    <w:rsid w:val="00602F8C"/>
    <w:pPr>
      <w:keepNext/>
      <w:tabs>
        <w:tab w:val="left" w:pos="284"/>
        <w:tab w:val="left" w:pos="567"/>
        <w:tab w:val="left" w:pos="851"/>
        <w:tab w:val="left" w:pos="1134"/>
      </w:tabs>
      <w:spacing w:before="120" w:after="0"/>
    </w:pPr>
  </w:style>
  <w:style w:type="paragraph" w:customStyle="1" w:styleId="TableText">
    <w:name w:val="Table_Text"/>
    <w:basedOn w:val="Normal"/>
    <w:rsid w:val="00602F8C"/>
    <w:pPr>
      <w:tabs>
        <w:tab w:val="clear" w:pos="1134"/>
        <w:tab w:val="clear" w:pos="1871"/>
        <w:tab w:val="clear" w:pos="2268"/>
      </w:tabs>
      <w:spacing w:before="40" w:after="40"/>
    </w:pPr>
    <w:rPr>
      <w:sz w:val="20"/>
    </w:rPr>
  </w:style>
  <w:style w:type="paragraph" w:customStyle="1" w:styleId="TableTitle">
    <w:name w:val="Table_Title"/>
    <w:basedOn w:val="Table"/>
    <w:next w:val="TableText"/>
    <w:rsid w:val="00602F8C"/>
    <w:pPr>
      <w:spacing w:before="0"/>
    </w:pPr>
    <w:rPr>
      <w:b/>
    </w:rPr>
  </w:style>
  <w:style w:type="paragraph" w:customStyle="1" w:styleId="Table">
    <w:name w:val="Table_#"/>
    <w:basedOn w:val="Normal"/>
    <w:next w:val="TableTitle"/>
    <w:rsid w:val="00602F8C"/>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602F8C"/>
    <w:pPr>
      <w:tabs>
        <w:tab w:val="clear" w:pos="2268"/>
        <w:tab w:val="left" w:pos="2608"/>
        <w:tab w:val="left" w:pos="3345"/>
      </w:tabs>
      <w:spacing w:before="120"/>
      <w:ind w:left="454" w:hanging="454"/>
    </w:pPr>
  </w:style>
  <w:style w:type="paragraph" w:customStyle="1" w:styleId="enumlev2">
    <w:name w:val="enumlev2"/>
    <w:basedOn w:val="enumlev1"/>
    <w:rsid w:val="00602F8C"/>
    <w:pPr>
      <w:tabs>
        <w:tab w:val="left" w:pos="907"/>
      </w:tabs>
      <w:ind w:left="908"/>
    </w:pPr>
  </w:style>
  <w:style w:type="paragraph" w:customStyle="1" w:styleId="enumlev3">
    <w:name w:val="enumlev3"/>
    <w:basedOn w:val="enumlev2"/>
    <w:rsid w:val="00602F8C"/>
    <w:pPr>
      <w:tabs>
        <w:tab w:val="clear" w:pos="1134"/>
        <w:tab w:val="clear" w:pos="1871"/>
        <w:tab w:val="clear" w:pos="2608"/>
        <w:tab w:val="left" w:pos="1361"/>
      </w:tabs>
      <w:ind w:left="1361"/>
    </w:pPr>
  </w:style>
  <w:style w:type="paragraph" w:customStyle="1" w:styleId="Figure">
    <w:name w:val="Figure"/>
    <w:basedOn w:val="Normal"/>
    <w:rsid w:val="00602F8C"/>
    <w:pPr>
      <w:keepNext/>
      <w:keepLines/>
      <w:spacing w:before="240"/>
      <w:jc w:val="center"/>
    </w:pPr>
  </w:style>
  <w:style w:type="paragraph" w:customStyle="1" w:styleId="FigureLegend">
    <w:name w:val="Figure_Legend"/>
    <w:basedOn w:val="TableLegend"/>
    <w:next w:val="Figure0"/>
    <w:rsid w:val="00602F8C"/>
  </w:style>
  <w:style w:type="paragraph" w:customStyle="1" w:styleId="Figure0">
    <w:name w:val="Figure_#"/>
    <w:basedOn w:val="Table"/>
    <w:next w:val="FigureTitle"/>
    <w:rsid w:val="00602F8C"/>
  </w:style>
  <w:style w:type="paragraph" w:customStyle="1" w:styleId="FigureTitle">
    <w:name w:val="Figure_Title"/>
    <w:basedOn w:val="TableTitle"/>
    <w:next w:val="Normal"/>
    <w:rsid w:val="00602F8C"/>
    <w:pPr>
      <w:spacing w:after="720"/>
    </w:pPr>
  </w:style>
  <w:style w:type="paragraph" w:customStyle="1" w:styleId="Annex">
    <w:name w:val="Annex_#"/>
    <w:basedOn w:val="Art"/>
    <w:next w:val="AnnexRef"/>
    <w:rsid w:val="00602F8C"/>
  </w:style>
  <w:style w:type="paragraph" w:customStyle="1" w:styleId="Art">
    <w:name w:val="Art_#"/>
    <w:basedOn w:val="Normal"/>
    <w:next w:val="Arttitle"/>
    <w:rsid w:val="00602F8C"/>
    <w:pPr>
      <w:keepNext/>
      <w:keepLines/>
      <w:spacing w:before="720"/>
      <w:jc w:val="center"/>
    </w:pPr>
    <w:rPr>
      <w:sz w:val="28"/>
    </w:rPr>
  </w:style>
  <w:style w:type="paragraph" w:customStyle="1" w:styleId="Arttitle">
    <w:name w:val="Art_title"/>
    <w:next w:val="Normalaftertitle"/>
    <w:rsid w:val="00602F8C"/>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602F8C"/>
    <w:pPr>
      <w:spacing w:before="360"/>
    </w:pPr>
  </w:style>
  <w:style w:type="paragraph" w:customStyle="1" w:styleId="AnnexRef">
    <w:name w:val="Annex_Ref"/>
    <w:basedOn w:val="Normal"/>
    <w:rsid w:val="00602F8C"/>
    <w:pPr>
      <w:jc w:val="center"/>
    </w:pPr>
  </w:style>
  <w:style w:type="paragraph" w:customStyle="1" w:styleId="AnnexTitle">
    <w:name w:val="Annex_Title"/>
    <w:basedOn w:val="Arttitle"/>
    <w:next w:val="Normal"/>
    <w:rsid w:val="00602F8C"/>
    <w:pPr>
      <w:spacing w:after="0"/>
    </w:pPr>
  </w:style>
  <w:style w:type="paragraph" w:customStyle="1" w:styleId="Appendix">
    <w:name w:val="Appendix_#"/>
    <w:basedOn w:val="Art"/>
    <w:next w:val="AppendixTitle"/>
    <w:rsid w:val="00602F8C"/>
  </w:style>
  <w:style w:type="paragraph" w:customStyle="1" w:styleId="AppendixTitle">
    <w:name w:val="Appendix_Title"/>
    <w:basedOn w:val="Arttitle"/>
    <w:next w:val="Normal"/>
    <w:rsid w:val="00602F8C"/>
  </w:style>
  <w:style w:type="paragraph" w:customStyle="1" w:styleId="headfoot">
    <w:name w:val="head_foot"/>
    <w:basedOn w:val="Normal"/>
    <w:next w:val="Normalaftertitle"/>
    <w:rsid w:val="00602F8C"/>
    <w:pPr>
      <w:spacing w:before="0"/>
    </w:pPr>
    <w:rPr>
      <w:color w:val="0000FF"/>
      <w:sz w:val="20"/>
    </w:rPr>
  </w:style>
  <w:style w:type="paragraph" w:customStyle="1" w:styleId="AppendixRef">
    <w:name w:val="Appendix_Ref"/>
    <w:basedOn w:val="AnnexRef"/>
    <w:next w:val="AppendixTitle"/>
    <w:rsid w:val="00602F8C"/>
  </w:style>
  <w:style w:type="paragraph" w:customStyle="1" w:styleId="RefTitle">
    <w:name w:val="Ref_Title"/>
    <w:basedOn w:val="Normal"/>
    <w:next w:val="RefText"/>
    <w:rsid w:val="00602F8C"/>
    <w:pPr>
      <w:spacing w:before="480"/>
      <w:jc w:val="left"/>
    </w:pPr>
    <w:rPr>
      <w:b/>
    </w:rPr>
  </w:style>
  <w:style w:type="paragraph" w:customStyle="1" w:styleId="RefText">
    <w:name w:val="Ref_Text"/>
    <w:basedOn w:val="Normal"/>
    <w:rsid w:val="00602F8C"/>
  </w:style>
  <w:style w:type="paragraph" w:customStyle="1" w:styleId="listitem">
    <w:name w:val="listitem"/>
    <w:basedOn w:val="Normal"/>
    <w:rsid w:val="00602F8C"/>
    <w:pPr>
      <w:keepLines/>
      <w:spacing w:before="0"/>
      <w:jc w:val="left"/>
    </w:pPr>
  </w:style>
  <w:style w:type="paragraph" w:customStyle="1" w:styleId="TableRef">
    <w:name w:val="Table_Ref"/>
    <w:basedOn w:val="Normal"/>
    <w:next w:val="TableTitle"/>
    <w:rsid w:val="00602F8C"/>
    <w:pPr>
      <w:keepNext/>
      <w:spacing w:before="567"/>
      <w:jc w:val="center"/>
    </w:pPr>
    <w:rPr>
      <w:sz w:val="18"/>
    </w:rPr>
  </w:style>
  <w:style w:type="paragraph" w:customStyle="1" w:styleId="Signcountry">
    <w:name w:val="Sign_country"/>
    <w:basedOn w:val="Normal"/>
    <w:next w:val="SignPart"/>
    <w:rsid w:val="00602F8C"/>
    <w:pPr>
      <w:keepNext/>
      <w:keepLines/>
      <w:spacing w:before="240" w:after="57"/>
      <w:jc w:val="left"/>
    </w:pPr>
    <w:rPr>
      <w:b/>
    </w:rPr>
  </w:style>
  <w:style w:type="paragraph" w:customStyle="1" w:styleId="SignPart">
    <w:name w:val="Sign_Part"/>
    <w:basedOn w:val="Signcountry"/>
    <w:rsid w:val="00602F8C"/>
    <w:pPr>
      <w:keepNext w:val="0"/>
      <w:keepLines w:val="0"/>
      <w:spacing w:before="0"/>
      <w:ind w:left="284"/>
    </w:pPr>
    <w:rPr>
      <w:b w:val="0"/>
      <w:smallCaps/>
    </w:rPr>
  </w:style>
  <w:style w:type="paragraph" w:customStyle="1" w:styleId="Chap">
    <w:name w:val="Chap_#"/>
    <w:basedOn w:val="Art"/>
    <w:next w:val="Chaptitle"/>
    <w:rsid w:val="00602F8C"/>
    <w:pPr>
      <w:spacing w:before="1200"/>
    </w:pPr>
    <w:rPr>
      <w:sz w:val="32"/>
    </w:rPr>
  </w:style>
  <w:style w:type="paragraph" w:customStyle="1" w:styleId="Chaptitle">
    <w:name w:val="Chap_title"/>
    <w:basedOn w:val="Arttitle"/>
    <w:next w:val="Art"/>
    <w:rsid w:val="00602F8C"/>
    <w:rPr>
      <w:sz w:val="32"/>
    </w:rPr>
  </w:style>
  <w:style w:type="paragraph" w:customStyle="1" w:styleId="Protfin">
    <w:name w:val="Prot_fin"/>
    <w:basedOn w:val="Normal"/>
    <w:next w:val="Normalaftertitle"/>
    <w:rsid w:val="00602F8C"/>
    <w:pPr>
      <w:pageBreakBefore/>
      <w:spacing w:before="720" w:after="240"/>
      <w:jc w:val="center"/>
    </w:pPr>
    <w:rPr>
      <w:b/>
    </w:rPr>
  </w:style>
  <w:style w:type="paragraph" w:customStyle="1" w:styleId="Prot">
    <w:name w:val="Prot_#"/>
    <w:basedOn w:val="Normal"/>
    <w:next w:val="Protlang"/>
    <w:rsid w:val="00602F8C"/>
    <w:pPr>
      <w:keepNext/>
      <w:spacing w:before="240"/>
      <w:jc w:val="center"/>
    </w:pPr>
  </w:style>
  <w:style w:type="paragraph" w:customStyle="1" w:styleId="Protlang">
    <w:name w:val="Prot_lang"/>
    <w:basedOn w:val="Prot"/>
    <w:next w:val="Protpays"/>
    <w:rsid w:val="00602F8C"/>
    <w:pPr>
      <w:keepLines/>
      <w:framePr w:hSpace="181" w:vSpace="181" w:wrap="auto" w:hAnchor="text" w:xAlign="right"/>
      <w:spacing w:before="0"/>
      <w:jc w:val="right"/>
    </w:pPr>
    <w:rPr>
      <w:i/>
      <w:sz w:val="18"/>
    </w:rPr>
  </w:style>
  <w:style w:type="paragraph" w:customStyle="1" w:styleId="Protpays">
    <w:name w:val="Prot_pays"/>
    <w:basedOn w:val="Protlang"/>
    <w:next w:val="headfoot"/>
    <w:rsid w:val="00602F8C"/>
    <w:pPr>
      <w:framePr w:wrap="auto"/>
      <w:spacing w:before="113" w:line="199" w:lineRule="exact"/>
      <w:jc w:val="left"/>
    </w:pPr>
  </w:style>
  <w:style w:type="paragraph" w:customStyle="1" w:styleId="Prottexte">
    <w:name w:val="Prot_texte"/>
    <w:basedOn w:val="Protlang"/>
    <w:rsid w:val="00602F8C"/>
    <w:pPr>
      <w:keepNext w:val="0"/>
      <w:keepLines w:val="0"/>
      <w:framePr w:wrap="auto"/>
      <w:spacing w:before="113" w:line="199" w:lineRule="exact"/>
      <w:jc w:val="both"/>
    </w:pPr>
    <w:rPr>
      <w:i w:val="0"/>
    </w:rPr>
  </w:style>
  <w:style w:type="paragraph" w:customStyle="1" w:styleId="Protcall">
    <w:name w:val="Prot_call"/>
    <w:basedOn w:val="Prottexte"/>
    <w:next w:val="Prottexte"/>
    <w:rsid w:val="00602F8C"/>
    <w:pPr>
      <w:keepNext/>
      <w:keepLines/>
      <w:framePr w:wrap="auto" w:xAlign="left"/>
      <w:spacing w:before="170"/>
      <w:ind w:left="794"/>
      <w:jc w:val="left"/>
    </w:pPr>
    <w:rPr>
      <w:i/>
    </w:rPr>
  </w:style>
  <w:style w:type="paragraph" w:customStyle="1" w:styleId="Res">
    <w:name w:val="Res_#"/>
    <w:basedOn w:val="Art"/>
    <w:next w:val="Restitle"/>
    <w:rsid w:val="00602F8C"/>
  </w:style>
  <w:style w:type="paragraph" w:customStyle="1" w:styleId="Restitle">
    <w:name w:val="Res_title"/>
    <w:basedOn w:val="Arttitle"/>
    <w:next w:val="headfoot"/>
    <w:rsid w:val="00602F8C"/>
    <w:pPr>
      <w:spacing w:after="120"/>
    </w:pPr>
  </w:style>
  <w:style w:type="paragraph" w:customStyle="1" w:styleId="Rec">
    <w:name w:val="Rec_#"/>
    <w:basedOn w:val="Res"/>
    <w:next w:val="Rectitle"/>
    <w:rsid w:val="00602F8C"/>
  </w:style>
  <w:style w:type="paragraph" w:customStyle="1" w:styleId="Rectitle">
    <w:name w:val="Rec_title"/>
    <w:basedOn w:val="Restitle"/>
    <w:next w:val="headfoot"/>
    <w:rsid w:val="00602F8C"/>
  </w:style>
  <w:style w:type="paragraph" w:customStyle="1" w:styleId="Equation">
    <w:name w:val="Equation"/>
    <w:basedOn w:val="Normal"/>
    <w:rsid w:val="00602F8C"/>
    <w:pPr>
      <w:tabs>
        <w:tab w:val="clear" w:pos="1871"/>
        <w:tab w:val="clear" w:pos="2268"/>
        <w:tab w:val="center" w:pos="4678"/>
        <w:tab w:val="right" w:pos="9356"/>
      </w:tabs>
      <w:jc w:val="left"/>
    </w:pPr>
  </w:style>
  <w:style w:type="paragraph" w:customStyle="1" w:styleId="Note">
    <w:name w:val="Note"/>
    <w:basedOn w:val="Normal"/>
    <w:rsid w:val="00602F8C"/>
    <w:pPr>
      <w:tabs>
        <w:tab w:val="left" w:pos="284"/>
      </w:tabs>
      <w:spacing w:before="160"/>
    </w:pPr>
    <w:rPr>
      <w:sz w:val="20"/>
    </w:rPr>
  </w:style>
  <w:style w:type="paragraph" w:customStyle="1" w:styleId="Signcountry0">
    <w:name w:val="Sign country"/>
    <w:basedOn w:val="Normal"/>
    <w:next w:val="Signpart0"/>
    <w:rsid w:val="00602F8C"/>
    <w:pPr>
      <w:keepNext/>
      <w:keepLines/>
      <w:spacing w:before="240" w:after="57"/>
      <w:jc w:val="left"/>
    </w:pPr>
    <w:rPr>
      <w:b/>
    </w:rPr>
  </w:style>
  <w:style w:type="paragraph" w:customStyle="1" w:styleId="Signpart0">
    <w:name w:val="Sign part"/>
    <w:basedOn w:val="Signcountry0"/>
    <w:rsid w:val="00602F8C"/>
    <w:pPr>
      <w:keepNext w:val="0"/>
      <w:keepLines w:val="0"/>
      <w:spacing w:before="0"/>
      <w:ind w:left="284"/>
    </w:pPr>
    <w:rPr>
      <w:b w:val="0"/>
      <w:smallCaps/>
    </w:rPr>
  </w:style>
  <w:style w:type="paragraph" w:customStyle="1" w:styleId="Section1">
    <w:name w:val="Section_1"/>
    <w:basedOn w:val="Normal"/>
    <w:rsid w:val="00602F8C"/>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602F8C"/>
    <w:pPr>
      <w:pageBreakBefore/>
      <w:spacing w:before="720" w:after="240"/>
      <w:jc w:val="center"/>
    </w:pPr>
    <w:rPr>
      <w:b/>
    </w:rPr>
  </w:style>
  <w:style w:type="paragraph" w:customStyle="1" w:styleId="Prot0">
    <w:name w:val="Prot #"/>
    <w:basedOn w:val="Normal"/>
    <w:next w:val="Protlang0"/>
    <w:rsid w:val="00602F8C"/>
    <w:pPr>
      <w:keepNext/>
      <w:spacing w:before="240"/>
      <w:jc w:val="center"/>
    </w:pPr>
  </w:style>
  <w:style w:type="paragraph" w:customStyle="1" w:styleId="Protlang0">
    <w:name w:val="Prot lang"/>
    <w:basedOn w:val="Prot0"/>
    <w:next w:val="Protpays0"/>
    <w:rsid w:val="00602F8C"/>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602F8C"/>
    <w:pPr>
      <w:framePr w:wrap="auto"/>
      <w:spacing w:before="113" w:line="199" w:lineRule="exact"/>
      <w:jc w:val="left"/>
    </w:pPr>
  </w:style>
  <w:style w:type="paragraph" w:customStyle="1" w:styleId="Prottexte0">
    <w:name w:val="Prot texte"/>
    <w:basedOn w:val="Protlang0"/>
    <w:rsid w:val="00602F8C"/>
    <w:pPr>
      <w:keepNext w:val="0"/>
      <w:keepLines w:val="0"/>
      <w:framePr w:wrap="auto"/>
      <w:spacing w:before="113" w:line="199" w:lineRule="exact"/>
      <w:jc w:val="both"/>
    </w:pPr>
    <w:rPr>
      <w:i w:val="0"/>
    </w:rPr>
  </w:style>
  <w:style w:type="paragraph" w:customStyle="1" w:styleId="Protcall0">
    <w:name w:val="Prot call"/>
    <w:basedOn w:val="Prottexte0"/>
    <w:next w:val="Prottexte0"/>
    <w:rsid w:val="00602F8C"/>
    <w:pPr>
      <w:keepNext/>
      <w:keepLines/>
      <w:framePr w:wrap="auto" w:xAlign="left"/>
      <w:spacing w:before="170"/>
      <w:ind w:left="794"/>
      <w:jc w:val="left"/>
    </w:pPr>
    <w:rPr>
      <w:i/>
    </w:rPr>
  </w:style>
  <w:style w:type="character" w:styleId="PageNumber">
    <w:name w:val="page number"/>
    <w:basedOn w:val="DefaultParagraphFont"/>
    <w:rsid w:val="00602F8C"/>
  </w:style>
  <w:style w:type="paragraph" w:customStyle="1" w:styleId="TableFin">
    <w:name w:val="Table_Fin"/>
    <w:basedOn w:val="Normal"/>
    <w:rsid w:val="00602F8C"/>
    <w:pPr>
      <w:tabs>
        <w:tab w:val="clear" w:pos="1134"/>
      </w:tabs>
      <w:spacing w:before="0"/>
    </w:pPr>
    <w:rPr>
      <w:sz w:val="12"/>
    </w:rPr>
  </w:style>
  <w:style w:type="paragraph" w:customStyle="1" w:styleId="MEP">
    <w:name w:val="MEP"/>
    <w:basedOn w:val="Normal"/>
    <w:rsid w:val="00602F8C"/>
  </w:style>
  <w:style w:type="paragraph" w:customStyle="1" w:styleId="head">
    <w:name w:val="head"/>
    <w:basedOn w:val="headfoot"/>
    <w:rsid w:val="00602F8C"/>
  </w:style>
  <w:style w:type="paragraph" w:customStyle="1" w:styleId="foot">
    <w:name w:val="foot"/>
    <w:basedOn w:val="headfoot"/>
    <w:rsid w:val="00602F8C"/>
  </w:style>
  <w:style w:type="character" w:customStyle="1" w:styleId="href">
    <w:name w:val="href"/>
    <w:basedOn w:val="DefaultParagraphFont"/>
    <w:rsid w:val="00602F8C"/>
  </w:style>
  <w:style w:type="paragraph" w:customStyle="1" w:styleId="Section2">
    <w:name w:val="Section_2"/>
    <w:basedOn w:val="Section1"/>
    <w:rsid w:val="00602F8C"/>
    <w:pPr>
      <w:jc w:val="left"/>
    </w:pPr>
    <w:rPr>
      <w:b w:val="0"/>
      <w:i/>
    </w:rPr>
  </w:style>
  <w:style w:type="paragraph" w:customStyle="1" w:styleId="Section3">
    <w:name w:val="Section_3"/>
    <w:basedOn w:val="Section1"/>
    <w:rsid w:val="00602F8C"/>
    <w:rPr>
      <w:b w:val="0"/>
    </w:rPr>
  </w:style>
  <w:style w:type="paragraph" w:customStyle="1" w:styleId="EquationLegend">
    <w:name w:val="Equation_Legend"/>
    <w:basedOn w:val="NormalIndent"/>
    <w:rsid w:val="00602F8C"/>
  </w:style>
  <w:style w:type="paragraph" w:customStyle="1" w:styleId="Call">
    <w:name w:val="Call"/>
    <w:basedOn w:val="Normal"/>
    <w:next w:val="Normal"/>
    <w:rsid w:val="00602F8C"/>
    <w:pPr>
      <w:tabs>
        <w:tab w:val="clear" w:pos="1871"/>
        <w:tab w:val="clear" w:pos="2268"/>
      </w:tabs>
      <w:spacing w:before="360"/>
      <w:ind w:left="1134"/>
    </w:pPr>
    <w:rPr>
      <w:i/>
    </w:rPr>
  </w:style>
  <w:style w:type="paragraph" w:customStyle="1" w:styleId="Headingb">
    <w:name w:val="Heading b"/>
    <w:basedOn w:val="Heading3"/>
    <w:rsid w:val="00602F8C"/>
    <w:pPr>
      <w:spacing w:before="400"/>
      <w:ind w:left="0" w:firstLine="0"/>
      <w:outlineLvl w:val="9"/>
    </w:pPr>
  </w:style>
  <w:style w:type="paragraph" w:customStyle="1" w:styleId="TableHead">
    <w:name w:val="Table_Head"/>
    <w:basedOn w:val="TableText"/>
    <w:next w:val="TableText"/>
    <w:rsid w:val="00602F8C"/>
    <w:pPr>
      <w:spacing w:before="80" w:after="80"/>
      <w:jc w:val="center"/>
    </w:pPr>
    <w:rPr>
      <w:b/>
    </w:rPr>
  </w:style>
  <w:style w:type="paragraph" w:customStyle="1" w:styleId="Line">
    <w:name w:val="Line"/>
    <w:basedOn w:val="Normal"/>
    <w:next w:val="Normal"/>
    <w:rsid w:val="00602F8C"/>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602F8C"/>
    <w:rPr>
      <w:b w:val="0"/>
      <w:i/>
    </w:rPr>
  </w:style>
  <w:style w:type="paragraph" w:styleId="TableofFigures">
    <w:name w:val="table of figures"/>
    <w:basedOn w:val="Normal"/>
    <w:next w:val="Normal"/>
    <w:semiHidden/>
    <w:rsid w:val="00602F8C"/>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602F8C"/>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602F8C"/>
    <w:rPr>
      <w:sz w:val="16"/>
    </w:rPr>
  </w:style>
  <w:style w:type="paragraph" w:styleId="CommentText">
    <w:name w:val="annotation text"/>
    <w:basedOn w:val="Normal"/>
    <w:semiHidden/>
    <w:rsid w:val="00602F8C"/>
    <w:rPr>
      <w:sz w:val="20"/>
      <w:lang w:val="fr-FR"/>
    </w:rPr>
  </w:style>
  <w:style w:type="paragraph" w:customStyle="1" w:styleId="Tabletext0">
    <w:name w:val="Table_text"/>
    <w:basedOn w:val="Normal"/>
    <w:rsid w:val="00602F8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602F8C"/>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602F8C"/>
    <w:pPr>
      <w:keepNext/>
      <w:spacing w:before="80" w:after="80"/>
      <w:jc w:val="center"/>
    </w:pPr>
    <w:rPr>
      <w:b/>
    </w:rPr>
  </w:style>
  <w:style w:type="character" w:customStyle="1" w:styleId="Artrefdef">
    <w:name w:val="Art_ref_def"/>
    <w:basedOn w:val="DefaultParagraphFont"/>
    <w:rsid w:val="00602F8C"/>
  </w:style>
  <w:style w:type="character" w:customStyle="1" w:styleId="Apprefdef">
    <w:name w:val="App_ref_def"/>
    <w:basedOn w:val="DefaultParagraphFont"/>
    <w:rsid w:val="00602F8C"/>
  </w:style>
  <w:style w:type="character" w:customStyle="1" w:styleId="Resrefdef">
    <w:name w:val="Res_ref_def"/>
    <w:basedOn w:val="DefaultParagraphFont"/>
    <w:rsid w:val="00602F8C"/>
  </w:style>
  <w:style w:type="paragraph" w:customStyle="1" w:styleId="HeaderRegProc">
    <w:name w:val="Header_RegProc"/>
    <w:basedOn w:val="Normal"/>
    <w:rsid w:val="00602F8C"/>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602F8C"/>
    <w:pPr>
      <w:tabs>
        <w:tab w:val="clear" w:pos="907"/>
        <w:tab w:val="left" w:pos="1814"/>
      </w:tabs>
      <w:spacing w:before="80"/>
      <w:ind w:left="1815"/>
    </w:pPr>
    <w:rPr>
      <w:lang w:val="fr-CH"/>
    </w:rPr>
  </w:style>
  <w:style w:type="character" w:customStyle="1" w:styleId="href2">
    <w:name w:val="href2"/>
    <w:basedOn w:val="href"/>
    <w:rsid w:val="00602F8C"/>
  </w:style>
  <w:style w:type="character" w:customStyle="1" w:styleId="Style1">
    <w:name w:val="Style1"/>
    <w:basedOn w:val="DefaultParagraphFont"/>
    <w:rsid w:val="00602F8C"/>
  </w:style>
  <w:style w:type="character" w:customStyle="1" w:styleId="Appdef">
    <w:name w:val="App_def"/>
    <w:basedOn w:val="DefaultParagraphFont"/>
    <w:rsid w:val="00602F8C"/>
    <w:rPr>
      <w:b/>
      <w:color w:val="FFCC00"/>
    </w:rPr>
  </w:style>
  <w:style w:type="character" w:customStyle="1" w:styleId="Appref">
    <w:name w:val="App_ref"/>
    <w:basedOn w:val="DefaultParagraphFont"/>
    <w:rsid w:val="00602F8C"/>
    <w:rPr>
      <w:color w:val="3366FF"/>
    </w:rPr>
  </w:style>
  <w:style w:type="character" w:customStyle="1" w:styleId="Artdef">
    <w:name w:val="Art_def"/>
    <w:basedOn w:val="DefaultParagraphFont"/>
    <w:rsid w:val="00602F8C"/>
    <w:rPr>
      <w:b/>
      <w:color w:val="FFCC00"/>
    </w:rPr>
  </w:style>
  <w:style w:type="character" w:customStyle="1" w:styleId="Artref">
    <w:name w:val="Art_ref"/>
    <w:basedOn w:val="DefaultParagraphFont"/>
    <w:rsid w:val="00602F8C"/>
    <w:rPr>
      <w:color w:val="3366FF"/>
    </w:rPr>
  </w:style>
  <w:style w:type="character" w:customStyle="1" w:styleId="Recdef">
    <w:name w:val="Rec_def"/>
    <w:basedOn w:val="DefaultParagraphFont"/>
    <w:rsid w:val="00602F8C"/>
    <w:rPr>
      <w:b/>
      <w:color w:val="FFCC00"/>
    </w:rPr>
  </w:style>
  <w:style w:type="character" w:customStyle="1" w:styleId="Recref">
    <w:name w:val="Rec_ref"/>
    <w:basedOn w:val="DefaultParagraphFont"/>
    <w:rsid w:val="00602F8C"/>
    <w:rPr>
      <w:color w:val="3366FF"/>
    </w:rPr>
  </w:style>
  <w:style w:type="character" w:customStyle="1" w:styleId="Resdef">
    <w:name w:val="Res_def"/>
    <w:basedOn w:val="DefaultParagraphFont"/>
    <w:rsid w:val="00602F8C"/>
    <w:rPr>
      <w:b/>
      <w:color w:val="FFCC00"/>
    </w:rPr>
  </w:style>
  <w:style w:type="character" w:customStyle="1" w:styleId="Resref">
    <w:name w:val="Res_ref"/>
    <w:basedOn w:val="DefaultParagraphFont"/>
    <w:rsid w:val="00602F8C"/>
    <w:rPr>
      <w:color w:val="3366FF"/>
    </w:rPr>
  </w:style>
  <w:style w:type="character" w:customStyle="1" w:styleId="Tableref0">
    <w:name w:val="Table_ref"/>
    <w:basedOn w:val="DefaultParagraphFont"/>
    <w:rsid w:val="00602F8C"/>
    <w:rPr>
      <w:color w:val="3366FF"/>
    </w:rPr>
  </w:style>
  <w:style w:type="character" w:customStyle="1" w:styleId="Appref0">
    <w:name w:val="App#_ref"/>
    <w:basedOn w:val="DefaultParagraphFont"/>
    <w:rsid w:val="00602F8C"/>
  </w:style>
  <w:style w:type="paragraph" w:customStyle="1" w:styleId="Proposal">
    <w:name w:val="Proposal"/>
    <w:basedOn w:val="Normal"/>
    <w:next w:val="Normal"/>
    <w:rsid w:val="00602F8C"/>
    <w:pPr>
      <w:keepNext/>
      <w:spacing w:before="240"/>
      <w:jc w:val="left"/>
    </w:pPr>
    <w:rPr>
      <w:lang w:val="fr-FR"/>
    </w:rPr>
  </w:style>
  <w:style w:type="paragraph" w:customStyle="1" w:styleId="Char">
    <w:name w:val="Char"/>
    <w:basedOn w:val="Normal"/>
    <w:rsid w:val="00BA061E"/>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Normalaftertitle0">
    <w:name w:val="Normal_after_title"/>
    <w:basedOn w:val="Normal"/>
    <w:next w:val="Normal"/>
    <w:rsid w:val="00A20DDD"/>
    <w:pPr>
      <w:tabs>
        <w:tab w:val="clear" w:pos="1134"/>
        <w:tab w:val="clear" w:pos="1871"/>
        <w:tab w:val="clear" w:pos="2268"/>
        <w:tab w:val="left" w:pos="794"/>
        <w:tab w:val="left" w:pos="1191"/>
        <w:tab w:val="left" w:pos="1588"/>
        <w:tab w:val="left" w:pos="1985"/>
      </w:tabs>
      <w:spacing w:before="360"/>
      <w:jc w:val="left"/>
    </w:pPr>
  </w:style>
  <w:style w:type="character" w:customStyle="1" w:styleId="FootnoteTextChar">
    <w:name w:val="Footnote Text Char"/>
    <w:basedOn w:val="DefaultParagraphFont"/>
    <w:link w:val="FootnoteText"/>
    <w:rsid w:val="007D5348"/>
    <w:rPr>
      <w:lang w:val="en-GB" w:eastAsia="en-US"/>
    </w:rPr>
  </w:style>
  <w:style w:type="table" w:styleId="TableGrid">
    <w:name w:val="Table Grid"/>
    <w:basedOn w:val="TableNormal"/>
    <w:rsid w:val="008A4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2F8C"/>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602F8C"/>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rsid w:val="00602F8C"/>
    <w:pPr>
      <w:spacing w:before="480"/>
      <w:outlineLvl w:val="1"/>
    </w:pPr>
    <w:rPr>
      <w:sz w:val="26"/>
    </w:rPr>
  </w:style>
  <w:style w:type="paragraph" w:styleId="Heading3">
    <w:name w:val="heading 3"/>
    <w:basedOn w:val="Heading1"/>
    <w:next w:val="Normal"/>
    <w:qFormat/>
    <w:rsid w:val="00602F8C"/>
    <w:pPr>
      <w:spacing w:before="360"/>
      <w:outlineLvl w:val="2"/>
    </w:pPr>
    <w:rPr>
      <w:sz w:val="24"/>
    </w:rPr>
  </w:style>
  <w:style w:type="paragraph" w:styleId="Heading4">
    <w:name w:val="heading 4"/>
    <w:basedOn w:val="Heading3"/>
    <w:next w:val="Normal"/>
    <w:qFormat/>
    <w:rsid w:val="00602F8C"/>
    <w:pPr>
      <w:outlineLvl w:val="3"/>
    </w:pPr>
  </w:style>
  <w:style w:type="paragraph" w:styleId="Heading5">
    <w:name w:val="heading 5"/>
    <w:basedOn w:val="Heading3"/>
    <w:next w:val="Normal"/>
    <w:qFormat/>
    <w:rsid w:val="00602F8C"/>
    <w:pPr>
      <w:outlineLvl w:val="4"/>
    </w:pPr>
  </w:style>
  <w:style w:type="paragraph" w:styleId="Heading6">
    <w:name w:val="heading 6"/>
    <w:basedOn w:val="Heading3"/>
    <w:next w:val="Normal"/>
    <w:qFormat/>
    <w:rsid w:val="00602F8C"/>
    <w:pPr>
      <w:outlineLvl w:val="5"/>
    </w:pPr>
  </w:style>
  <w:style w:type="paragraph" w:styleId="Heading7">
    <w:name w:val="heading 7"/>
    <w:basedOn w:val="Heading3"/>
    <w:next w:val="Normal"/>
    <w:qFormat/>
    <w:rsid w:val="00602F8C"/>
    <w:pPr>
      <w:outlineLvl w:val="6"/>
    </w:pPr>
  </w:style>
  <w:style w:type="paragraph" w:styleId="Heading8">
    <w:name w:val="heading 8"/>
    <w:basedOn w:val="Heading3"/>
    <w:next w:val="Normal"/>
    <w:qFormat/>
    <w:rsid w:val="00602F8C"/>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602F8C"/>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602F8C"/>
    <w:rPr>
      <w:vertAlign w:val="superscript"/>
    </w:rPr>
  </w:style>
  <w:style w:type="paragraph" w:styleId="TOC8">
    <w:name w:val="toc 8"/>
    <w:basedOn w:val="Normal"/>
    <w:next w:val="Normal"/>
    <w:semiHidden/>
    <w:rsid w:val="00602F8C"/>
    <w:pPr>
      <w:tabs>
        <w:tab w:val="left" w:pos="7711"/>
        <w:tab w:val="right" w:leader="dot" w:pos="9725"/>
      </w:tabs>
      <w:ind w:left="6350"/>
    </w:pPr>
  </w:style>
  <w:style w:type="paragraph" w:styleId="TOC7">
    <w:name w:val="toc 7"/>
    <w:basedOn w:val="Normal"/>
    <w:next w:val="Normal"/>
    <w:semiHidden/>
    <w:rsid w:val="00602F8C"/>
    <w:pPr>
      <w:tabs>
        <w:tab w:val="left" w:pos="6350"/>
        <w:tab w:val="right" w:leader="dot" w:pos="9725"/>
      </w:tabs>
      <w:ind w:left="5103"/>
    </w:pPr>
  </w:style>
  <w:style w:type="paragraph" w:styleId="TOC6">
    <w:name w:val="toc 6"/>
    <w:basedOn w:val="TOC4"/>
    <w:next w:val="Normal"/>
    <w:semiHidden/>
    <w:rsid w:val="00602F8C"/>
    <w:pPr>
      <w:ind w:left="3913"/>
    </w:pPr>
  </w:style>
  <w:style w:type="paragraph" w:styleId="TOC4">
    <w:name w:val="toc 4"/>
    <w:basedOn w:val="TOC3"/>
    <w:next w:val="Normal"/>
    <w:semiHidden/>
    <w:rsid w:val="00602F8C"/>
    <w:pPr>
      <w:tabs>
        <w:tab w:val="clear" w:pos="2268"/>
      </w:tabs>
      <w:spacing w:before="80"/>
      <w:ind w:left="3119" w:hanging="851"/>
    </w:pPr>
  </w:style>
  <w:style w:type="paragraph" w:styleId="TOC3">
    <w:name w:val="toc 3"/>
    <w:basedOn w:val="TOC2"/>
    <w:next w:val="Normal"/>
    <w:semiHidden/>
    <w:rsid w:val="00602F8C"/>
    <w:pPr>
      <w:tabs>
        <w:tab w:val="clear" w:pos="1985"/>
        <w:tab w:val="left" w:pos="2268"/>
      </w:tabs>
      <w:ind w:left="2268" w:hanging="2268"/>
    </w:pPr>
  </w:style>
  <w:style w:type="paragraph" w:styleId="TOC2">
    <w:name w:val="toc 2"/>
    <w:basedOn w:val="TOC1"/>
    <w:next w:val="Normal"/>
    <w:semiHidden/>
    <w:rsid w:val="00602F8C"/>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602F8C"/>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602F8C"/>
    <w:pPr>
      <w:tabs>
        <w:tab w:val="clear" w:pos="2268"/>
        <w:tab w:val="left" w:pos="3062"/>
      </w:tabs>
      <w:ind w:left="3062" w:hanging="3062"/>
    </w:pPr>
  </w:style>
  <w:style w:type="paragraph" w:styleId="Index1">
    <w:name w:val="index 1"/>
    <w:basedOn w:val="Normal"/>
    <w:next w:val="Normal"/>
    <w:semiHidden/>
    <w:rsid w:val="00602F8C"/>
  </w:style>
  <w:style w:type="paragraph" w:styleId="Footer">
    <w:name w:val="footer"/>
    <w:aliases w:val="pie de página"/>
    <w:basedOn w:val="Normal"/>
    <w:rsid w:val="00602F8C"/>
    <w:pPr>
      <w:tabs>
        <w:tab w:val="left" w:pos="567"/>
        <w:tab w:val="center" w:pos="3742"/>
        <w:tab w:val="right" w:pos="6974"/>
      </w:tabs>
    </w:pPr>
  </w:style>
  <w:style w:type="paragraph" w:styleId="Header">
    <w:name w:val="header"/>
    <w:aliases w:val="encabezado"/>
    <w:basedOn w:val="Normal"/>
    <w:rsid w:val="00602F8C"/>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602F8C"/>
    <w:rPr>
      <w:position w:val="6"/>
      <w:sz w:val="16"/>
    </w:rPr>
  </w:style>
  <w:style w:type="paragraph" w:styleId="FootnoteText">
    <w:name w:val="footnote text"/>
    <w:basedOn w:val="Normal"/>
    <w:link w:val="FootnoteTextChar"/>
    <w:rsid w:val="00602F8C"/>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602F8C"/>
    <w:pPr>
      <w:spacing w:before="120"/>
      <w:ind w:left="1134"/>
    </w:pPr>
  </w:style>
  <w:style w:type="paragraph" w:customStyle="1" w:styleId="TableLegend">
    <w:name w:val="Table_Legend"/>
    <w:basedOn w:val="TableText"/>
    <w:next w:val="Normal"/>
    <w:rsid w:val="00602F8C"/>
    <w:pPr>
      <w:keepNext/>
      <w:tabs>
        <w:tab w:val="left" w:pos="284"/>
        <w:tab w:val="left" w:pos="567"/>
        <w:tab w:val="left" w:pos="851"/>
        <w:tab w:val="left" w:pos="1134"/>
      </w:tabs>
      <w:spacing w:before="120" w:after="0"/>
    </w:pPr>
  </w:style>
  <w:style w:type="paragraph" w:customStyle="1" w:styleId="TableText">
    <w:name w:val="Table_Text"/>
    <w:basedOn w:val="Normal"/>
    <w:rsid w:val="00602F8C"/>
    <w:pPr>
      <w:tabs>
        <w:tab w:val="clear" w:pos="1134"/>
        <w:tab w:val="clear" w:pos="1871"/>
        <w:tab w:val="clear" w:pos="2268"/>
      </w:tabs>
      <w:spacing w:before="40" w:after="40"/>
    </w:pPr>
    <w:rPr>
      <w:sz w:val="20"/>
    </w:rPr>
  </w:style>
  <w:style w:type="paragraph" w:customStyle="1" w:styleId="TableTitle">
    <w:name w:val="Table_Title"/>
    <w:basedOn w:val="Table"/>
    <w:next w:val="TableText"/>
    <w:rsid w:val="00602F8C"/>
    <w:pPr>
      <w:spacing w:before="0"/>
    </w:pPr>
    <w:rPr>
      <w:b/>
    </w:rPr>
  </w:style>
  <w:style w:type="paragraph" w:customStyle="1" w:styleId="Table">
    <w:name w:val="Table_#"/>
    <w:basedOn w:val="Normal"/>
    <w:next w:val="TableTitle"/>
    <w:rsid w:val="00602F8C"/>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602F8C"/>
    <w:pPr>
      <w:tabs>
        <w:tab w:val="clear" w:pos="2268"/>
        <w:tab w:val="left" w:pos="2608"/>
        <w:tab w:val="left" w:pos="3345"/>
      </w:tabs>
      <w:spacing w:before="120"/>
      <w:ind w:left="454" w:hanging="454"/>
    </w:pPr>
  </w:style>
  <w:style w:type="paragraph" w:customStyle="1" w:styleId="enumlev2">
    <w:name w:val="enumlev2"/>
    <w:basedOn w:val="enumlev1"/>
    <w:rsid w:val="00602F8C"/>
    <w:pPr>
      <w:tabs>
        <w:tab w:val="left" w:pos="907"/>
      </w:tabs>
      <w:ind w:left="908"/>
    </w:pPr>
  </w:style>
  <w:style w:type="paragraph" w:customStyle="1" w:styleId="enumlev3">
    <w:name w:val="enumlev3"/>
    <w:basedOn w:val="enumlev2"/>
    <w:rsid w:val="00602F8C"/>
    <w:pPr>
      <w:tabs>
        <w:tab w:val="clear" w:pos="1134"/>
        <w:tab w:val="clear" w:pos="1871"/>
        <w:tab w:val="clear" w:pos="2608"/>
        <w:tab w:val="left" w:pos="1361"/>
      </w:tabs>
      <w:ind w:left="1361"/>
    </w:pPr>
  </w:style>
  <w:style w:type="paragraph" w:customStyle="1" w:styleId="Figure">
    <w:name w:val="Figure"/>
    <w:basedOn w:val="Normal"/>
    <w:rsid w:val="00602F8C"/>
    <w:pPr>
      <w:keepNext/>
      <w:keepLines/>
      <w:spacing w:before="240"/>
      <w:jc w:val="center"/>
    </w:pPr>
  </w:style>
  <w:style w:type="paragraph" w:customStyle="1" w:styleId="FigureLegend">
    <w:name w:val="Figure_Legend"/>
    <w:basedOn w:val="TableLegend"/>
    <w:next w:val="Figure0"/>
    <w:rsid w:val="00602F8C"/>
  </w:style>
  <w:style w:type="paragraph" w:customStyle="1" w:styleId="Figure0">
    <w:name w:val="Figure_#"/>
    <w:basedOn w:val="Table"/>
    <w:next w:val="FigureTitle"/>
    <w:rsid w:val="00602F8C"/>
  </w:style>
  <w:style w:type="paragraph" w:customStyle="1" w:styleId="FigureTitle">
    <w:name w:val="Figure_Title"/>
    <w:basedOn w:val="TableTitle"/>
    <w:next w:val="Normal"/>
    <w:rsid w:val="00602F8C"/>
    <w:pPr>
      <w:spacing w:after="720"/>
    </w:pPr>
  </w:style>
  <w:style w:type="paragraph" w:customStyle="1" w:styleId="Annex">
    <w:name w:val="Annex_#"/>
    <w:basedOn w:val="Art"/>
    <w:next w:val="AnnexRef"/>
    <w:rsid w:val="00602F8C"/>
  </w:style>
  <w:style w:type="paragraph" w:customStyle="1" w:styleId="Art">
    <w:name w:val="Art_#"/>
    <w:basedOn w:val="Normal"/>
    <w:next w:val="Arttitle"/>
    <w:rsid w:val="00602F8C"/>
    <w:pPr>
      <w:keepNext/>
      <w:keepLines/>
      <w:spacing w:before="720"/>
      <w:jc w:val="center"/>
    </w:pPr>
    <w:rPr>
      <w:sz w:val="28"/>
    </w:rPr>
  </w:style>
  <w:style w:type="paragraph" w:customStyle="1" w:styleId="Arttitle">
    <w:name w:val="Art_title"/>
    <w:next w:val="Normalaftertitle"/>
    <w:rsid w:val="00602F8C"/>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602F8C"/>
    <w:pPr>
      <w:spacing w:before="360"/>
    </w:pPr>
  </w:style>
  <w:style w:type="paragraph" w:customStyle="1" w:styleId="AnnexRef">
    <w:name w:val="Annex_Ref"/>
    <w:basedOn w:val="Normal"/>
    <w:rsid w:val="00602F8C"/>
    <w:pPr>
      <w:jc w:val="center"/>
    </w:pPr>
  </w:style>
  <w:style w:type="paragraph" w:customStyle="1" w:styleId="AnnexTitle">
    <w:name w:val="Annex_Title"/>
    <w:basedOn w:val="Arttitle"/>
    <w:next w:val="Normal"/>
    <w:rsid w:val="00602F8C"/>
    <w:pPr>
      <w:spacing w:after="0"/>
    </w:pPr>
  </w:style>
  <w:style w:type="paragraph" w:customStyle="1" w:styleId="Appendix">
    <w:name w:val="Appendix_#"/>
    <w:basedOn w:val="Art"/>
    <w:next w:val="AppendixTitle"/>
    <w:rsid w:val="00602F8C"/>
  </w:style>
  <w:style w:type="paragraph" w:customStyle="1" w:styleId="AppendixTitle">
    <w:name w:val="Appendix_Title"/>
    <w:basedOn w:val="Arttitle"/>
    <w:next w:val="Normal"/>
    <w:rsid w:val="00602F8C"/>
  </w:style>
  <w:style w:type="paragraph" w:customStyle="1" w:styleId="headfoot">
    <w:name w:val="head_foot"/>
    <w:basedOn w:val="Normal"/>
    <w:next w:val="Normalaftertitle"/>
    <w:rsid w:val="00602F8C"/>
    <w:pPr>
      <w:spacing w:before="0"/>
    </w:pPr>
    <w:rPr>
      <w:color w:val="0000FF"/>
      <w:sz w:val="20"/>
    </w:rPr>
  </w:style>
  <w:style w:type="paragraph" w:customStyle="1" w:styleId="AppendixRef">
    <w:name w:val="Appendix_Ref"/>
    <w:basedOn w:val="AnnexRef"/>
    <w:next w:val="AppendixTitle"/>
    <w:rsid w:val="00602F8C"/>
  </w:style>
  <w:style w:type="paragraph" w:customStyle="1" w:styleId="RefTitle">
    <w:name w:val="Ref_Title"/>
    <w:basedOn w:val="Normal"/>
    <w:next w:val="RefText"/>
    <w:rsid w:val="00602F8C"/>
    <w:pPr>
      <w:spacing w:before="480"/>
      <w:jc w:val="left"/>
    </w:pPr>
    <w:rPr>
      <w:b/>
    </w:rPr>
  </w:style>
  <w:style w:type="paragraph" w:customStyle="1" w:styleId="RefText">
    <w:name w:val="Ref_Text"/>
    <w:basedOn w:val="Normal"/>
    <w:rsid w:val="00602F8C"/>
  </w:style>
  <w:style w:type="paragraph" w:customStyle="1" w:styleId="listitem">
    <w:name w:val="listitem"/>
    <w:basedOn w:val="Normal"/>
    <w:rsid w:val="00602F8C"/>
    <w:pPr>
      <w:keepLines/>
      <w:spacing w:before="0"/>
      <w:jc w:val="left"/>
    </w:pPr>
  </w:style>
  <w:style w:type="paragraph" w:customStyle="1" w:styleId="TableRef">
    <w:name w:val="Table_Ref"/>
    <w:basedOn w:val="Normal"/>
    <w:next w:val="TableTitle"/>
    <w:rsid w:val="00602F8C"/>
    <w:pPr>
      <w:keepNext/>
      <w:spacing w:before="567"/>
      <w:jc w:val="center"/>
    </w:pPr>
    <w:rPr>
      <w:sz w:val="18"/>
    </w:rPr>
  </w:style>
  <w:style w:type="paragraph" w:customStyle="1" w:styleId="Signcountry">
    <w:name w:val="Sign_country"/>
    <w:basedOn w:val="Normal"/>
    <w:next w:val="SignPart"/>
    <w:rsid w:val="00602F8C"/>
    <w:pPr>
      <w:keepNext/>
      <w:keepLines/>
      <w:spacing w:before="240" w:after="57"/>
      <w:jc w:val="left"/>
    </w:pPr>
    <w:rPr>
      <w:b/>
    </w:rPr>
  </w:style>
  <w:style w:type="paragraph" w:customStyle="1" w:styleId="SignPart">
    <w:name w:val="Sign_Part"/>
    <w:basedOn w:val="Signcountry"/>
    <w:rsid w:val="00602F8C"/>
    <w:pPr>
      <w:keepNext w:val="0"/>
      <w:keepLines w:val="0"/>
      <w:spacing w:before="0"/>
      <w:ind w:left="284"/>
    </w:pPr>
    <w:rPr>
      <w:b w:val="0"/>
      <w:smallCaps/>
    </w:rPr>
  </w:style>
  <w:style w:type="paragraph" w:customStyle="1" w:styleId="Chap">
    <w:name w:val="Chap_#"/>
    <w:basedOn w:val="Art"/>
    <w:next w:val="Chaptitle"/>
    <w:rsid w:val="00602F8C"/>
    <w:pPr>
      <w:spacing w:before="1200"/>
    </w:pPr>
    <w:rPr>
      <w:sz w:val="32"/>
    </w:rPr>
  </w:style>
  <w:style w:type="paragraph" w:customStyle="1" w:styleId="Chaptitle">
    <w:name w:val="Chap_title"/>
    <w:basedOn w:val="Arttitle"/>
    <w:next w:val="Art"/>
    <w:rsid w:val="00602F8C"/>
    <w:rPr>
      <w:sz w:val="32"/>
    </w:rPr>
  </w:style>
  <w:style w:type="paragraph" w:customStyle="1" w:styleId="Protfin">
    <w:name w:val="Prot_fin"/>
    <w:basedOn w:val="Normal"/>
    <w:next w:val="Normalaftertitle"/>
    <w:rsid w:val="00602F8C"/>
    <w:pPr>
      <w:pageBreakBefore/>
      <w:spacing w:before="720" w:after="240"/>
      <w:jc w:val="center"/>
    </w:pPr>
    <w:rPr>
      <w:b/>
    </w:rPr>
  </w:style>
  <w:style w:type="paragraph" w:customStyle="1" w:styleId="Prot">
    <w:name w:val="Prot_#"/>
    <w:basedOn w:val="Normal"/>
    <w:next w:val="Protlang"/>
    <w:rsid w:val="00602F8C"/>
    <w:pPr>
      <w:keepNext/>
      <w:spacing w:before="240"/>
      <w:jc w:val="center"/>
    </w:pPr>
  </w:style>
  <w:style w:type="paragraph" w:customStyle="1" w:styleId="Protlang">
    <w:name w:val="Prot_lang"/>
    <w:basedOn w:val="Prot"/>
    <w:next w:val="Protpays"/>
    <w:rsid w:val="00602F8C"/>
    <w:pPr>
      <w:keepLines/>
      <w:framePr w:hSpace="181" w:vSpace="181" w:wrap="auto" w:hAnchor="text" w:xAlign="right"/>
      <w:spacing w:before="0"/>
      <w:jc w:val="right"/>
    </w:pPr>
    <w:rPr>
      <w:i/>
      <w:sz w:val="18"/>
    </w:rPr>
  </w:style>
  <w:style w:type="paragraph" w:customStyle="1" w:styleId="Protpays">
    <w:name w:val="Prot_pays"/>
    <w:basedOn w:val="Protlang"/>
    <w:next w:val="headfoot"/>
    <w:rsid w:val="00602F8C"/>
    <w:pPr>
      <w:framePr w:wrap="auto"/>
      <w:spacing w:before="113" w:line="199" w:lineRule="exact"/>
      <w:jc w:val="left"/>
    </w:pPr>
  </w:style>
  <w:style w:type="paragraph" w:customStyle="1" w:styleId="Prottexte">
    <w:name w:val="Prot_texte"/>
    <w:basedOn w:val="Protlang"/>
    <w:rsid w:val="00602F8C"/>
    <w:pPr>
      <w:keepNext w:val="0"/>
      <w:keepLines w:val="0"/>
      <w:framePr w:wrap="auto"/>
      <w:spacing w:before="113" w:line="199" w:lineRule="exact"/>
      <w:jc w:val="both"/>
    </w:pPr>
    <w:rPr>
      <w:i w:val="0"/>
    </w:rPr>
  </w:style>
  <w:style w:type="paragraph" w:customStyle="1" w:styleId="Protcall">
    <w:name w:val="Prot_call"/>
    <w:basedOn w:val="Prottexte"/>
    <w:next w:val="Prottexte"/>
    <w:rsid w:val="00602F8C"/>
    <w:pPr>
      <w:keepNext/>
      <w:keepLines/>
      <w:framePr w:wrap="auto" w:xAlign="left"/>
      <w:spacing w:before="170"/>
      <w:ind w:left="794"/>
      <w:jc w:val="left"/>
    </w:pPr>
    <w:rPr>
      <w:i/>
    </w:rPr>
  </w:style>
  <w:style w:type="paragraph" w:customStyle="1" w:styleId="Res">
    <w:name w:val="Res_#"/>
    <w:basedOn w:val="Art"/>
    <w:next w:val="Restitle"/>
    <w:rsid w:val="00602F8C"/>
  </w:style>
  <w:style w:type="paragraph" w:customStyle="1" w:styleId="Restitle">
    <w:name w:val="Res_title"/>
    <w:basedOn w:val="Arttitle"/>
    <w:next w:val="headfoot"/>
    <w:rsid w:val="00602F8C"/>
    <w:pPr>
      <w:spacing w:after="120"/>
    </w:pPr>
  </w:style>
  <w:style w:type="paragraph" w:customStyle="1" w:styleId="Rec">
    <w:name w:val="Rec_#"/>
    <w:basedOn w:val="Res"/>
    <w:next w:val="Rectitle"/>
    <w:rsid w:val="00602F8C"/>
  </w:style>
  <w:style w:type="paragraph" w:customStyle="1" w:styleId="Rectitle">
    <w:name w:val="Rec_title"/>
    <w:basedOn w:val="Restitle"/>
    <w:next w:val="headfoot"/>
    <w:rsid w:val="00602F8C"/>
  </w:style>
  <w:style w:type="paragraph" w:customStyle="1" w:styleId="Equation">
    <w:name w:val="Equation"/>
    <w:basedOn w:val="Normal"/>
    <w:rsid w:val="00602F8C"/>
    <w:pPr>
      <w:tabs>
        <w:tab w:val="clear" w:pos="1871"/>
        <w:tab w:val="clear" w:pos="2268"/>
        <w:tab w:val="center" w:pos="4678"/>
        <w:tab w:val="right" w:pos="9356"/>
      </w:tabs>
      <w:jc w:val="left"/>
    </w:pPr>
  </w:style>
  <w:style w:type="paragraph" w:customStyle="1" w:styleId="Note">
    <w:name w:val="Note"/>
    <w:basedOn w:val="Normal"/>
    <w:rsid w:val="00602F8C"/>
    <w:pPr>
      <w:tabs>
        <w:tab w:val="left" w:pos="284"/>
      </w:tabs>
      <w:spacing w:before="160"/>
    </w:pPr>
    <w:rPr>
      <w:sz w:val="20"/>
    </w:rPr>
  </w:style>
  <w:style w:type="paragraph" w:customStyle="1" w:styleId="Signcountry0">
    <w:name w:val="Sign country"/>
    <w:basedOn w:val="Normal"/>
    <w:next w:val="Signpart0"/>
    <w:rsid w:val="00602F8C"/>
    <w:pPr>
      <w:keepNext/>
      <w:keepLines/>
      <w:spacing w:before="240" w:after="57"/>
      <w:jc w:val="left"/>
    </w:pPr>
    <w:rPr>
      <w:b/>
    </w:rPr>
  </w:style>
  <w:style w:type="paragraph" w:customStyle="1" w:styleId="Signpart0">
    <w:name w:val="Sign part"/>
    <w:basedOn w:val="Signcountry0"/>
    <w:rsid w:val="00602F8C"/>
    <w:pPr>
      <w:keepNext w:val="0"/>
      <w:keepLines w:val="0"/>
      <w:spacing w:before="0"/>
      <w:ind w:left="284"/>
    </w:pPr>
    <w:rPr>
      <w:b w:val="0"/>
      <w:smallCaps/>
    </w:rPr>
  </w:style>
  <w:style w:type="paragraph" w:customStyle="1" w:styleId="Section1">
    <w:name w:val="Section_1"/>
    <w:basedOn w:val="Normal"/>
    <w:rsid w:val="00602F8C"/>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602F8C"/>
    <w:pPr>
      <w:pageBreakBefore/>
      <w:spacing w:before="720" w:after="240"/>
      <w:jc w:val="center"/>
    </w:pPr>
    <w:rPr>
      <w:b/>
    </w:rPr>
  </w:style>
  <w:style w:type="paragraph" w:customStyle="1" w:styleId="Prot0">
    <w:name w:val="Prot #"/>
    <w:basedOn w:val="Normal"/>
    <w:next w:val="Protlang0"/>
    <w:rsid w:val="00602F8C"/>
    <w:pPr>
      <w:keepNext/>
      <w:spacing w:before="240"/>
      <w:jc w:val="center"/>
    </w:pPr>
  </w:style>
  <w:style w:type="paragraph" w:customStyle="1" w:styleId="Protlang0">
    <w:name w:val="Prot lang"/>
    <w:basedOn w:val="Prot0"/>
    <w:next w:val="Protpays0"/>
    <w:rsid w:val="00602F8C"/>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602F8C"/>
    <w:pPr>
      <w:framePr w:wrap="auto"/>
      <w:spacing w:before="113" w:line="199" w:lineRule="exact"/>
      <w:jc w:val="left"/>
    </w:pPr>
  </w:style>
  <w:style w:type="paragraph" w:customStyle="1" w:styleId="Prottexte0">
    <w:name w:val="Prot texte"/>
    <w:basedOn w:val="Protlang0"/>
    <w:rsid w:val="00602F8C"/>
    <w:pPr>
      <w:keepNext w:val="0"/>
      <w:keepLines w:val="0"/>
      <w:framePr w:wrap="auto"/>
      <w:spacing w:before="113" w:line="199" w:lineRule="exact"/>
      <w:jc w:val="both"/>
    </w:pPr>
    <w:rPr>
      <w:i w:val="0"/>
    </w:rPr>
  </w:style>
  <w:style w:type="paragraph" w:customStyle="1" w:styleId="Protcall0">
    <w:name w:val="Prot call"/>
    <w:basedOn w:val="Prottexte0"/>
    <w:next w:val="Prottexte0"/>
    <w:rsid w:val="00602F8C"/>
    <w:pPr>
      <w:keepNext/>
      <w:keepLines/>
      <w:framePr w:wrap="auto" w:xAlign="left"/>
      <w:spacing w:before="170"/>
      <w:ind w:left="794"/>
      <w:jc w:val="left"/>
    </w:pPr>
    <w:rPr>
      <w:i/>
    </w:rPr>
  </w:style>
  <w:style w:type="character" w:styleId="PageNumber">
    <w:name w:val="page number"/>
    <w:basedOn w:val="DefaultParagraphFont"/>
    <w:rsid w:val="00602F8C"/>
  </w:style>
  <w:style w:type="paragraph" w:customStyle="1" w:styleId="TableFin">
    <w:name w:val="Table_Fin"/>
    <w:basedOn w:val="Normal"/>
    <w:rsid w:val="00602F8C"/>
    <w:pPr>
      <w:tabs>
        <w:tab w:val="clear" w:pos="1134"/>
      </w:tabs>
      <w:spacing w:before="0"/>
    </w:pPr>
    <w:rPr>
      <w:sz w:val="12"/>
    </w:rPr>
  </w:style>
  <w:style w:type="paragraph" w:customStyle="1" w:styleId="MEP">
    <w:name w:val="MEP"/>
    <w:basedOn w:val="Normal"/>
    <w:rsid w:val="00602F8C"/>
  </w:style>
  <w:style w:type="paragraph" w:customStyle="1" w:styleId="head">
    <w:name w:val="head"/>
    <w:basedOn w:val="headfoot"/>
    <w:rsid w:val="00602F8C"/>
  </w:style>
  <w:style w:type="paragraph" w:customStyle="1" w:styleId="foot">
    <w:name w:val="foot"/>
    <w:basedOn w:val="headfoot"/>
    <w:rsid w:val="00602F8C"/>
  </w:style>
  <w:style w:type="character" w:customStyle="1" w:styleId="href">
    <w:name w:val="href"/>
    <w:basedOn w:val="DefaultParagraphFont"/>
    <w:rsid w:val="00602F8C"/>
  </w:style>
  <w:style w:type="paragraph" w:customStyle="1" w:styleId="Section2">
    <w:name w:val="Section_2"/>
    <w:basedOn w:val="Section1"/>
    <w:rsid w:val="00602F8C"/>
    <w:pPr>
      <w:jc w:val="left"/>
    </w:pPr>
    <w:rPr>
      <w:b w:val="0"/>
      <w:i/>
    </w:rPr>
  </w:style>
  <w:style w:type="paragraph" w:customStyle="1" w:styleId="Section3">
    <w:name w:val="Section_3"/>
    <w:basedOn w:val="Section1"/>
    <w:rsid w:val="00602F8C"/>
    <w:rPr>
      <w:b w:val="0"/>
    </w:rPr>
  </w:style>
  <w:style w:type="paragraph" w:customStyle="1" w:styleId="EquationLegend">
    <w:name w:val="Equation_Legend"/>
    <w:basedOn w:val="NormalIndent"/>
    <w:rsid w:val="00602F8C"/>
  </w:style>
  <w:style w:type="paragraph" w:customStyle="1" w:styleId="Call">
    <w:name w:val="Call"/>
    <w:basedOn w:val="Normal"/>
    <w:next w:val="Normal"/>
    <w:rsid w:val="00602F8C"/>
    <w:pPr>
      <w:tabs>
        <w:tab w:val="clear" w:pos="1871"/>
        <w:tab w:val="clear" w:pos="2268"/>
      </w:tabs>
      <w:spacing w:before="360"/>
      <w:ind w:left="1134"/>
    </w:pPr>
    <w:rPr>
      <w:i/>
    </w:rPr>
  </w:style>
  <w:style w:type="paragraph" w:customStyle="1" w:styleId="Headingb">
    <w:name w:val="Heading b"/>
    <w:basedOn w:val="Heading3"/>
    <w:rsid w:val="00602F8C"/>
    <w:pPr>
      <w:spacing w:before="400"/>
      <w:ind w:left="0" w:firstLine="0"/>
      <w:outlineLvl w:val="9"/>
    </w:pPr>
  </w:style>
  <w:style w:type="paragraph" w:customStyle="1" w:styleId="TableHead">
    <w:name w:val="Table_Head"/>
    <w:basedOn w:val="TableText"/>
    <w:next w:val="TableText"/>
    <w:rsid w:val="00602F8C"/>
    <w:pPr>
      <w:spacing w:before="80" w:after="80"/>
      <w:jc w:val="center"/>
    </w:pPr>
    <w:rPr>
      <w:b/>
    </w:rPr>
  </w:style>
  <w:style w:type="paragraph" w:customStyle="1" w:styleId="Line">
    <w:name w:val="Line"/>
    <w:basedOn w:val="Normal"/>
    <w:next w:val="Normal"/>
    <w:rsid w:val="00602F8C"/>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602F8C"/>
    <w:rPr>
      <w:b w:val="0"/>
      <w:i/>
    </w:rPr>
  </w:style>
  <w:style w:type="paragraph" w:styleId="TableofFigures">
    <w:name w:val="table of figures"/>
    <w:basedOn w:val="Normal"/>
    <w:next w:val="Normal"/>
    <w:semiHidden/>
    <w:rsid w:val="00602F8C"/>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602F8C"/>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602F8C"/>
    <w:rPr>
      <w:sz w:val="16"/>
    </w:rPr>
  </w:style>
  <w:style w:type="paragraph" w:styleId="CommentText">
    <w:name w:val="annotation text"/>
    <w:basedOn w:val="Normal"/>
    <w:semiHidden/>
    <w:rsid w:val="00602F8C"/>
    <w:rPr>
      <w:sz w:val="20"/>
      <w:lang w:val="fr-FR"/>
    </w:rPr>
  </w:style>
  <w:style w:type="paragraph" w:customStyle="1" w:styleId="Tabletext0">
    <w:name w:val="Table_text"/>
    <w:basedOn w:val="Normal"/>
    <w:rsid w:val="00602F8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602F8C"/>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602F8C"/>
    <w:pPr>
      <w:keepNext/>
      <w:spacing w:before="80" w:after="80"/>
      <w:jc w:val="center"/>
    </w:pPr>
    <w:rPr>
      <w:b/>
    </w:rPr>
  </w:style>
  <w:style w:type="character" w:customStyle="1" w:styleId="Artrefdef">
    <w:name w:val="Art_ref_def"/>
    <w:basedOn w:val="DefaultParagraphFont"/>
    <w:rsid w:val="00602F8C"/>
  </w:style>
  <w:style w:type="character" w:customStyle="1" w:styleId="Apprefdef">
    <w:name w:val="App_ref_def"/>
    <w:basedOn w:val="DefaultParagraphFont"/>
    <w:rsid w:val="00602F8C"/>
  </w:style>
  <w:style w:type="character" w:customStyle="1" w:styleId="Resrefdef">
    <w:name w:val="Res_ref_def"/>
    <w:basedOn w:val="DefaultParagraphFont"/>
    <w:rsid w:val="00602F8C"/>
  </w:style>
  <w:style w:type="paragraph" w:customStyle="1" w:styleId="HeaderRegProc">
    <w:name w:val="Header_RegProc"/>
    <w:basedOn w:val="Normal"/>
    <w:rsid w:val="00602F8C"/>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602F8C"/>
    <w:pPr>
      <w:tabs>
        <w:tab w:val="clear" w:pos="907"/>
        <w:tab w:val="left" w:pos="1814"/>
      </w:tabs>
      <w:spacing w:before="80"/>
      <w:ind w:left="1815"/>
    </w:pPr>
    <w:rPr>
      <w:lang w:val="fr-CH"/>
    </w:rPr>
  </w:style>
  <w:style w:type="character" w:customStyle="1" w:styleId="href2">
    <w:name w:val="href2"/>
    <w:basedOn w:val="href"/>
    <w:rsid w:val="00602F8C"/>
  </w:style>
  <w:style w:type="character" w:customStyle="1" w:styleId="Style1">
    <w:name w:val="Style1"/>
    <w:basedOn w:val="DefaultParagraphFont"/>
    <w:rsid w:val="00602F8C"/>
  </w:style>
  <w:style w:type="character" w:customStyle="1" w:styleId="Appdef">
    <w:name w:val="App_def"/>
    <w:basedOn w:val="DefaultParagraphFont"/>
    <w:rsid w:val="00602F8C"/>
    <w:rPr>
      <w:b/>
      <w:color w:val="FFCC00"/>
    </w:rPr>
  </w:style>
  <w:style w:type="character" w:customStyle="1" w:styleId="Appref">
    <w:name w:val="App_ref"/>
    <w:basedOn w:val="DefaultParagraphFont"/>
    <w:rsid w:val="00602F8C"/>
    <w:rPr>
      <w:color w:val="3366FF"/>
    </w:rPr>
  </w:style>
  <w:style w:type="character" w:customStyle="1" w:styleId="Artdef">
    <w:name w:val="Art_def"/>
    <w:basedOn w:val="DefaultParagraphFont"/>
    <w:rsid w:val="00602F8C"/>
    <w:rPr>
      <w:b/>
      <w:color w:val="FFCC00"/>
    </w:rPr>
  </w:style>
  <w:style w:type="character" w:customStyle="1" w:styleId="Artref">
    <w:name w:val="Art_ref"/>
    <w:basedOn w:val="DefaultParagraphFont"/>
    <w:rsid w:val="00602F8C"/>
    <w:rPr>
      <w:color w:val="3366FF"/>
    </w:rPr>
  </w:style>
  <w:style w:type="character" w:customStyle="1" w:styleId="Recdef">
    <w:name w:val="Rec_def"/>
    <w:basedOn w:val="DefaultParagraphFont"/>
    <w:rsid w:val="00602F8C"/>
    <w:rPr>
      <w:b/>
      <w:color w:val="FFCC00"/>
    </w:rPr>
  </w:style>
  <w:style w:type="character" w:customStyle="1" w:styleId="Recref">
    <w:name w:val="Rec_ref"/>
    <w:basedOn w:val="DefaultParagraphFont"/>
    <w:rsid w:val="00602F8C"/>
    <w:rPr>
      <w:color w:val="3366FF"/>
    </w:rPr>
  </w:style>
  <w:style w:type="character" w:customStyle="1" w:styleId="Resdef">
    <w:name w:val="Res_def"/>
    <w:basedOn w:val="DefaultParagraphFont"/>
    <w:rsid w:val="00602F8C"/>
    <w:rPr>
      <w:b/>
      <w:color w:val="FFCC00"/>
    </w:rPr>
  </w:style>
  <w:style w:type="character" w:customStyle="1" w:styleId="Resref">
    <w:name w:val="Res_ref"/>
    <w:basedOn w:val="DefaultParagraphFont"/>
    <w:rsid w:val="00602F8C"/>
    <w:rPr>
      <w:color w:val="3366FF"/>
    </w:rPr>
  </w:style>
  <w:style w:type="character" w:customStyle="1" w:styleId="Tableref0">
    <w:name w:val="Table_ref"/>
    <w:basedOn w:val="DefaultParagraphFont"/>
    <w:rsid w:val="00602F8C"/>
    <w:rPr>
      <w:color w:val="3366FF"/>
    </w:rPr>
  </w:style>
  <w:style w:type="character" w:customStyle="1" w:styleId="Appref0">
    <w:name w:val="App#_ref"/>
    <w:basedOn w:val="DefaultParagraphFont"/>
    <w:rsid w:val="00602F8C"/>
  </w:style>
  <w:style w:type="paragraph" w:customStyle="1" w:styleId="Proposal">
    <w:name w:val="Proposal"/>
    <w:basedOn w:val="Normal"/>
    <w:next w:val="Normal"/>
    <w:rsid w:val="00602F8C"/>
    <w:pPr>
      <w:keepNext/>
      <w:spacing w:before="240"/>
      <w:jc w:val="left"/>
    </w:pPr>
    <w:rPr>
      <w:lang w:val="fr-FR"/>
    </w:rPr>
  </w:style>
  <w:style w:type="paragraph" w:customStyle="1" w:styleId="Char">
    <w:name w:val="Char"/>
    <w:basedOn w:val="Normal"/>
    <w:rsid w:val="00BA061E"/>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Normalaftertitle0">
    <w:name w:val="Normal_after_title"/>
    <w:basedOn w:val="Normal"/>
    <w:next w:val="Normal"/>
    <w:rsid w:val="00A20DDD"/>
    <w:pPr>
      <w:tabs>
        <w:tab w:val="clear" w:pos="1134"/>
        <w:tab w:val="clear" w:pos="1871"/>
        <w:tab w:val="clear" w:pos="2268"/>
        <w:tab w:val="left" w:pos="794"/>
        <w:tab w:val="left" w:pos="1191"/>
        <w:tab w:val="left" w:pos="1588"/>
        <w:tab w:val="left" w:pos="1985"/>
      </w:tabs>
      <w:spacing w:before="360"/>
      <w:jc w:val="left"/>
    </w:pPr>
  </w:style>
  <w:style w:type="character" w:customStyle="1" w:styleId="FootnoteTextChar">
    <w:name w:val="Footnote Text Char"/>
    <w:basedOn w:val="DefaultParagraphFont"/>
    <w:link w:val="FootnoteText"/>
    <w:rsid w:val="007D5348"/>
    <w:rPr>
      <w:lang w:val="en-GB" w:eastAsia="en-US"/>
    </w:rPr>
  </w:style>
  <w:style w:type="table" w:styleId="TableGrid">
    <w:name w:val="Table Grid"/>
    <w:basedOn w:val="TableNormal"/>
    <w:rsid w:val="008A4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74573-709E-44D8-8E2A-8387E08AB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114</TotalTime>
  <Pages>9</Pages>
  <Words>2395</Words>
  <Characters>13653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16016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AP30B</dc:subject>
  <dc:creator>Composition des Publications</dc:creator>
  <cp:keywords>FOLIOS:  1  -  6 (bl)</cp:keywords>
  <dc:description>Edition 2009: 10.02.2009/SdN_x000d_
Corr.:  24.02.2009/DD  (dict. ok)</dc:description>
  <cp:lastModifiedBy>Al-Yammouni, Hala</cp:lastModifiedBy>
  <cp:revision>29</cp:revision>
  <cp:lastPrinted>2012-11-07T15:16:00Z</cp:lastPrinted>
  <dcterms:created xsi:type="dcterms:W3CDTF">2012-10-15T09:00:00Z</dcterms:created>
  <dcterms:modified xsi:type="dcterms:W3CDTF">2013-12-16T14:36:00Z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