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EC9" w:rsidRPr="00AE6FF0" w:rsidRDefault="00DA6EC9" w:rsidP="002A21D7">
      <w:pPr>
        <w:pStyle w:val="Heading1"/>
        <w:spacing w:before="300"/>
        <w:ind w:left="0" w:firstLine="0"/>
        <w:jc w:val="center"/>
      </w:pPr>
      <w:r w:rsidRPr="00AE6FF0">
        <w:t>Rules concerning</w:t>
      </w:r>
    </w:p>
    <w:p w:rsidR="00DA6EC9" w:rsidRPr="00AE6FF0" w:rsidRDefault="00DA6EC9">
      <w:pPr>
        <w:pStyle w:val="Heading2"/>
        <w:jc w:val="center"/>
      </w:pPr>
      <w:r w:rsidRPr="00AE6FF0">
        <w:t xml:space="preserve">APPENDIX  </w:t>
      </w:r>
      <w:r w:rsidRPr="00AE6FF0">
        <w:rPr>
          <w:rStyle w:val="href2"/>
        </w:rPr>
        <w:t>30</w:t>
      </w:r>
      <w:r w:rsidRPr="00AE6FF0">
        <w:t xml:space="preserve"> to the RR</w:t>
      </w:r>
    </w:p>
    <w:p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rsidR="00DA6EC9" w:rsidRPr="00AE6FF0" w:rsidRDefault="00DA6EC9" w:rsidP="002A21D7">
      <w:pPr>
        <w:pStyle w:val="Heading8"/>
      </w:pPr>
      <w:r w:rsidRPr="00AE6FF0">
        <w:t>Art. 3</w:t>
      </w:r>
    </w:p>
    <w:p w:rsidR="00DA6EC9" w:rsidRPr="00AE6FF0" w:rsidRDefault="00DA6EC9">
      <w:pPr>
        <w:jc w:val="center"/>
        <w:rPr>
          <w:b/>
          <w:bCs/>
          <w:sz w:val="26"/>
        </w:rPr>
      </w:pPr>
      <w:r w:rsidRPr="00AE6FF0">
        <w:rPr>
          <w:b/>
          <w:bCs/>
          <w:sz w:val="26"/>
        </w:rPr>
        <w:t>Execution of the provisions and associated Plans</w:t>
      </w:r>
    </w:p>
    <w:p w:rsidR="00DA6EC9" w:rsidRPr="00AE6FF0" w:rsidRDefault="00DA6EC9">
      <w:pPr>
        <w:pStyle w:val="Heading9"/>
      </w:pPr>
      <w:r w:rsidRPr="00AE6FF0">
        <w:t>3.1</w:t>
      </w:r>
    </w:p>
    <w:p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rsidR="00DA6EC9" w:rsidRPr="00AE6FF0" w:rsidRDefault="00DA6EC9" w:rsidP="002A21D7">
      <w:pPr>
        <w:pStyle w:val="Heading8"/>
        <w:spacing w:before="600"/>
      </w:pPr>
      <w:r w:rsidRPr="00AE6FF0">
        <w:t>Art. 4</w:t>
      </w:r>
    </w:p>
    <w:p w:rsidR="00DA6EC9" w:rsidRPr="00AE6FF0" w:rsidRDefault="00DA6EC9">
      <w:pPr>
        <w:jc w:val="center"/>
        <w:rPr>
          <w:b/>
          <w:bCs/>
          <w:sz w:val="26"/>
        </w:rPr>
      </w:pPr>
      <w:r w:rsidRPr="00AE6FF0">
        <w:rPr>
          <w:b/>
          <w:bCs/>
          <w:sz w:val="26"/>
        </w:rPr>
        <w:t>Procedures for modifications to the Region 2 Plan</w:t>
      </w:r>
      <w:r w:rsidRPr="00AE6FF0">
        <w:rPr>
          <w:b/>
          <w:bCs/>
          <w:sz w:val="26"/>
        </w:rPr>
        <w:br/>
        <w:t>or for additional uses in Regions 1 and 3</w:t>
      </w:r>
    </w:p>
    <w:p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r w:rsidRPr="00AE6FF0">
        <w:rPr>
          <w:rStyle w:val="Appref"/>
          <w:b/>
          <w:color w:val="000000"/>
        </w:rPr>
        <w:t>30A</w:t>
      </w:r>
      <w:r w:rsidRPr="00AE6FF0">
        <w:t xml:space="preserve"> respectively.</w:t>
      </w:r>
    </w:p>
    <w:p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rsidR="00DA6EC9" w:rsidRPr="00AE6FF0" w:rsidRDefault="00DA6EC9" w:rsidP="002A21D7">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(WRC-03)</w:t>
      </w:r>
      <w:r w:rsidR="004D4EDB">
        <w:rPr>
          <w:rStyle w:val="FootnoteReference"/>
          <w:b/>
          <w:bCs/>
        </w:rPr>
        <w:footnoteReference w:customMarkFollows="1" w:id="1"/>
        <w:t>*</w:t>
      </w:r>
      <w:r w:rsidRPr="00AE6FF0">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rsidR="00DA6EC9" w:rsidRPr="00AE6FF0" w:rsidRDefault="00DA6EC9">
      <w:r w:rsidRPr="00AE6FF0">
        <w:t>5</w:t>
      </w:r>
      <w:r w:rsidRPr="00AE6FF0">
        <w:tab/>
      </w:r>
      <w:r w:rsidRPr="00AE6FF0">
        <w:rPr>
          <w:color w:val="000000"/>
        </w:rPr>
        <w:t xml:space="preserve">In order to implement this separate examination and calculate the interference effect of </w:t>
      </w:r>
      <w:r w:rsidRPr="00AE6FF0">
        <w:t xml:space="preserve">an Article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(WRC-03)</w:t>
      </w:r>
      <w:r w:rsidR="004D4EDB" w:rsidRPr="00A70704">
        <w:rPr>
          <w:rStyle w:val="Resref"/>
          <w:rFonts w:ascii="Times New Roman Bold" w:hAnsi="Times New Roman Bold" w:cs="Times New Roman Bold"/>
          <w:b/>
          <w:bCs/>
          <w:color w:val="000000"/>
          <w:position w:val="6"/>
          <w:sz w:val="16"/>
          <w:szCs w:val="16"/>
        </w:rPr>
        <w:t>*</w:t>
      </w:r>
      <w:r w:rsidRPr="00AE6FF0">
        <w:t>, the Board concluded that the following method should be used.</w:t>
      </w:r>
    </w:p>
    <w:p w:rsidR="00DA6EC9" w:rsidRPr="00AE6FF0" w:rsidRDefault="00DA6EC9">
      <w:r w:rsidRPr="00AE6FF0">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rsidR="00DA6EC9" w:rsidRPr="00AE6FF0" w:rsidRDefault="00DA6EC9" w:rsidP="002A21D7">
      <w:pPr>
        <w:rPr>
          <w:rFonts w:cs="Arial"/>
          <w:szCs w:val="22"/>
        </w:rPr>
      </w:pPr>
      <w:r w:rsidRPr="00AE6FF0">
        <w:t xml:space="preserve">In addition, it is understood that this separate examination is not applicable in the case of other examinations, such as e.g.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rsidR="00DA6EC9" w:rsidRPr="00AE6FF0" w:rsidRDefault="00DA6EC9" w:rsidP="002A21D7">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(WRC-03)</w:t>
      </w:r>
      <w:r w:rsidR="004D4EDB" w:rsidRPr="00A70704">
        <w:rPr>
          <w:rStyle w:val="Resref"/>
          <w:rFonts w:ascii="Times New Roman Bold" w:hAnsi="Times New Roman Bold" w:cs="Times New Roman Bold"/>
          <w:b/>
          <w:bCs/>
          <w:color w:val="000000"/>
          <w:position w:val="6"/>
          <w:sz w:val="16"/>
          <w:szCs w:val="16"/>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rsidR="00DA6EC9" w:rsidRPr="00AE6FF0" w:rsidRDefault="00DA6EC9">
      <w:pPr>
        <w:pStyle w:val="Heading9"/>
      </w:pPr>
      <w:r w:rsidRPr="00AE6FF0">
        <w:t xml:space="preserve">4.1.1 </w:t>
      </w:r>
      <w:r w:rsidRPr="00AE6FF0">
        <w:rPr>
          <w:i/>
          <w:iCs/>
        </w:rPr>
        <w:t>c)</w:t>
      </w:r>
    </w:p>
    <w:p w:rsidR="00DA6EC9" w:rsidRPr="00AE6FF0" w:rsidRDefault="00DA6EC9" w:rsidP="002A21D7">
      <w:r w:rsidRPr="00AE6FF0">
        <w:t>In determining those administrations of Region 2 that might be affected, the proposed  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strations having assignments whose necessary</w:t>
      </w:r>
      <w:r w:rsidRPr="00AE6FF0">
        <w:rPr>
          <w:rStyle w:val="FootnoteReference"/>
          <w:sz w:val="20"/>
        </w:rPr>
        <w:footnoteReference w:customMarkFollows="1" w:id="2"/>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are considered to be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rsidR="00DA6EC9" w:rsidRPr="00AE6FF0" w:rsidRDefault="00DA6EC9">
      <w:pPr>
        <w:pStyle w:val="Heading9"/>
      </w:pPr>
      <w:r w:rsidRPr="00AE6FF0">
        <w:t xml:space="preserve">4.1.1 </w:t>
      </w:r>
      <w:r w:rsidRPr="00AE6FF0">
        <w:rPr>
          <w:i/>
          <w:iCs/>
        </w:rPr>
        <w:t>d)</w:t>
      </w:r>
    </w:p>
    <w:p w:rsidR="00DA6EC9" w:rsidRPr="00AE6FF0" w:rsidRDefault="00DA6EC9">
      <w:r w:rsidRPr="00AE6FF0">
        <w:t>1</w:t>
      </w:r>
      <w:r w:rsidRPr="00AE6FF0">
        <w:tab/>
        <w:t>This paragraph is understood by the Board as being intended to protect terrestrial services in any territory or part of a territory in the three Regions where this territory or part of a territory is not covered by a broadcasting-satellite assignment in a given necessary</w:t>
      </w:r>
      <w:r w:rsidRPr="00AE6FF0">
        <w:rPr>
          <w:position w:val="6"/>
          <w:sz w:val="20"/>
        </w:rPr>
        <w:t>1</w:t>
      </w:r>
      <w:r w:rsidRPr="00AE6FF0">
        <w:t xml:space="preserve"> band</w:t>
      </w:r>
      <w:r w:rsidRPr="00AE6FF0">
        <w:softHyphen/>
        <w:t>width. Therefore the proposed new or modified assignment to the Regions 1 and 3 List should take account of terrestrial stations in all Regions.</w:t>
      </w:r>
    </w:p>
    <w:p w:rsidR="002A21D7" w:rsidRPr="00AE6FF0" w:rsidRDefault="002A21D7" w:rsidP="002A21D7"/>
    <w:p w:rsidR="00DA6EC9" w:rsidRPr="009B3F3E" w:rsidRDefault="00DA6EC9" w:rsidP="009B3F3E">
      <w:r w:rsidRPr="00AE6FF0">
        <w:br w:type="page"/>
      </w:r>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The agreement of an administration is required when a pfd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3"/>
        <w:t>2</w:t>
      </w:r>
      <w:r w:rsidRPr="00AE6FF0">
        <w:t xml:space="preserve"> of the potentially affected administration in the Region 2 Plan or in the Regions 1 and 3 Plan or List and the area of pfd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rsidR="00DA6EC9" w:rsidRPr="00AE6FF0" w:rsidRDefault="00DA6EC9">
      <w:pPr>
        <w:pStyle w:val="Heading9"/>
      </w:pPr>
      <w:r w:rsidRPr="00AE6FF0">
        <w:t xml:space="preserve">4.1.1 </w:t>
      </w:r>
      <w:r w:rsidRPr="00AE6FF0">
        <w:rPr>
          <w:i/>
          <w:iCs/>
        </w:rPr>
        <w:t>e)</w:t>
      </w:r>
    </w:p>
    <w:p w:rsidR="00DA6EC9" w:rsidRPr="00AE6FF0" w:rsidRDefault="00DA6EC9" w:rsidP="002A21D7">
      <w:r w:rsidRPr="00AE6FF0">
        <w:t>1</w:t>
      </w:r>
      <w:r w:rsidRPr="00AE6FF0">
        <w:tab/>
        <w:t>This examination shall consider only those administrations having assignments to FSS space stations whose necessary</w:t>
      </w:r>
      <w:r w:rsidRPr="00AE6FF0">
        <w:rPr>
          <w:rStyle w:val="FootnoteReference"/>
          <w:sz w:val="20"/>
        </w:rPr>
        <w:footnoteReference w:customMarkFollows="1" w:id="4"/>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r w:rsidRPr="00AE6FF0">
        <w:rPr>
          <w:i/>
          <w:iCs/>
        </w:rPr>
        <w:t>cbis)</w:t>
      </w:r>
      <w:r w:rsidRPr="00AE6FF0">
        <w:t xml:space="preserve"> of Appendix</w:t>
      </w:r>
      <w:r w:rsidR="002A21D7" w:rsidRPr="00AE6FF0">
        <w:t> </w:t>
      </w:r>
      <w:r w:rsidRPr="00AE6FF0">
        <w:rPr>
          <w:rStyle w:val="Appref"/>
          <w:b/>
          <w:bCs/>
          <w:color w:val="000000"/>
        </w:rPr>
        <w:t>5</w:t>
      </w:r>
      <w:r w:rsidRPr="00AE6FF0">
        <w:t>.</w:t>
      </w:r>
    </w:p>
    <w:p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rsidR="00DA6EC9" w:rsidRPr="00AE6FF0"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rsidR="00A803A7" w:rsidRPr="00AE6FF0" w:rsidRDefault="00A803A7" w:rsidP="00A803A7"/>
    <w:p w:rsidR="00DA6EC9" w:rsidRPr="00AE6FF0" w:rsidRDefault="00DA6EC9">
      <w:pPr>
        <w:pStyle w:val="Heading9"/>
      </w:pPr>
      <w:r w:rsidRPr="00AE6FF0">
        <w:br w:type="page"/>
      </w:r>
      <w:r w:rsidRPr="00AE6FF0">
        <w:lastRenderedPageBreak/>
        <w:t>4.1.3</w:t>
      </w:r>
    </w:p>
    <w:p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4.1.3 and entered in the Regions 1 and 3 List, shall also be removed from the Plan or the List according to the case. The Bureau does not need to recalculate the affected administration(s) as a result of the above-mentioned cancellation.</w:t>
      </w:r>
    </w:p>
    <w:p w:rsidR="00DA6EC9" w:rsidRPr="00AE6FF0" w:rsidRDefault="00DA6EC9">
      <w:r w:rsidRPr="00AE6FF0">
        <w:t>2</w:t>
      </w:r>
      <w:r w:rsidRPr="00AE6FF0">
        <w:tab/>
        <w:t>See also Rules of Procedure concerning Receivability of the Forms of Notice.</w:t>
      </w:r>
    </w:p>
    <w:p w:rsidR="00DA6EC9" w:rsidRPr="00AE6FF0" w:rsidRDefault="00DA6EC9">
      <w:pPr>
        <w:pStyle w:val="Heading9"/>
      </w:pPr>
      <w:r w:rsidRPr="00AE6FF0">
        <w:t>4.1.7</w:t>
      </w:r>
    </w:p>
    <w:p w:rsidR="00DA6EC9" w:rsidRPr="00AE6FF0" w:rsidRDefault="00DA6EC9">
      <w:r w:rsidRPr="00AE6FF0">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rsidR="00DA6EC9" w:rsidRPr="00AE6FF0" w:rsidRDefault="00DA6EC9">
      <w:pPr>
        <w:pStyle w:val="Heading9"/>
      </w:pPr>
      <w:r w:rsidRPr="00AE6FF0">
        <w:t>4.1.7</w:t>
      </w:r>
      <w:r w:rsidRPr="00AE6FF0">
        <w:rPr>
          <w:i/>
          <w:iCs/>
        </w:rPr>
        <w:t>bis</w:t>
      </w:r>
    </w:p>
    <w:p w:rsidR="00DA6EC9" w:rsidRPr="00AE6FF0" w:rsidRDefault="00DA6EC9">
      <w:pPr>
        <w:rPr>
          <w:sz w:val="16"/>
        </w:rPr>
      </w:pPr>
      <w:r w:rsidRPr="00AE6FF0">
        <w:t>The agreement referred to in § 4.1.7</w:t>
      </w:r>
      <w:r w:rsidRPr="00AE6FF0">
        <w:rPr>
          <w:i/>
          <w:iCs/>
        </w:rPr>
        <w:t>bis</w:t>
      </w:r>
      <w:r w:rsidRPr="00AE6FF0">
        <w:t xml:space="preserve"> is the agreement of the administrations identified under § 4.1.1 and of those under § 4.1.7 which have been confirmed by the Bureau using the appropriate criteria.</w:t>
      </w:r>
    </w:p>
    <w:p w:rsidR="00DA6EC9" w:rsidRPr="00AE6FF0" w:rsidRDefault="00DA6EC9">
      <w:pPr>
        <w:pStyle w:val="Heading9"/>
      </w:pPr>
      <w:r w:rsidRPr="00AE6FF0">
        <w:t>4.1.8</w:t>
      </w:r>
    </w:p>
    <w:p w:rsidR="00DA6EC9" w:rsidRPr="00AE6FF0" w:rsidRDefault="00DA6EC9">
      <w:r w:rsidRPr="00AE6FF0">
        <w:t>An administration which has only requested additional information in accordance with § 4.1.8 or § 4.2.12 will not be considered by the Bureau to have submitted comments in accordance with § 4.1.10 or § 4.2.14 respectively.</w:t>
      </w:r>
    </w:p>
    <w:p w:rsidR="00DA6EC9" w:rsidRPr="00AE6FF0" w:rsidRDefault="00DA6EC9">
      <w:pPr>
        <w:pStyle w:val="Heading9"/>
      </w:pPr>
      <w:r w:rsidRPr="00AE6FF0">
        <w:t>4.1.11</w:t>
      </w:r>
    </w:p>
    <w:p w:rsidR="00DA6EC9" w:rsidRPr="00AE6FF0" w:rsidRDefault="00DA6EC9" w:rsidP="002A21D7">
      <w:r w:rsidRPr="00AE6FF0">
        <w:t>See also comments under §</w:t>
      </w:r>
      <w:r w:rsidR="002A21D7" w:rsidRPr="00AE6FF0">
        <w:t> </w:t>
      </w:r>
      <w:r w:rsidRPr="00AE6FF0">
        <w:t>4.1.3 and 4.2.6 and Rules relating to the Receivability of the Forms of Notice.</w:t>
      </w:r>
    </w:p>
    <w:p w:rsidR="00DA6EC9" w:rsidRPr="00AE6FF0" w:rsidRDefault="00DA6EC9">
      <w:pPr>
        <w:pStyle w:val="Heading9"/>
      </w:pPr>
      <w:r w:rsidRPr="00AE6FF0">
        <w:t>4.1.15</w:t>
      </w:r>
    </w:p>
    <w:p w:rsidR="00DA6EC9" w:rsidRPr="00AE6FF0"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rsidR="00DA6EC9" w:rsidRPr="00AE6FF0" w:rsidRDefault="00DA6EC9">
      <w:pPr>
        <w:tabs>
          <w:tab w:val="left" w:pos="6096"/>
        </w:tabs>
      </w:pPr>
      <w:r w:rsidRPr="00AE6FF0">
        <w:br w:type="page"/>
      </w:r>
      <w:r w:rsidRPr="00AE6FF0">
        <w:lastRenderedPageBreak/>
        <w:t>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as a result of the above-mentioned update.</w:t>
      </w:r>
    </w:p>
    <w:p w:rsidR="00DA6EC9" w:rsidRPr="00AE6FF0" w:rsidRDefault="00DA6EC9">
      <w:pPr>
        <w:pStyle w:val="Heading9"/>
      </w:pPr>
      <w:r w:rsidRPr="00AE6FF0">
        <w:t>4.1.23</w:t>
      </w:r>
    </w:p>
    <w:p w:rsidR="00DA6EC9" w:rsidRPr="00AE6FF0" w:rsidRDefault="00DA6EC9" w:rsidP="002A21D7">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2 Plan. The Bureau does not need to recalculate the affected administration(s) as a result of the above-mentioned cancellation.</w:t>
      </w:r>
    </w:p>
    <w:p w:rsidR="00DA6EC9" w:rsidRPr="00AE6FF0" w:rsidRDefault="00DA6EC9">
      <w:pPr>
        <w:pStyle w:val="Heading9"/>
      </w:pPr>
      <w:r w:rsidRPr="00AE6FF0">
        <w:t xml:space="preserve">4.2.1 </w:t>
      </w:r>
      <w:r w:rsidRPr="00AE6FF0">
        <w:rPr>
          <w:i/>
        </w:rPr>
        <w:t>a)</w:t>
      </w:r>
    </w:p>
    <w:p w:rsidR="00DA6EC9" w:rsidRPr="00AE6FF0" w:rsidRDefault="00DA6EC9" w:rsidP="002A21D7">
      <w:pPr>
        <w:spacing w:line="270" w:lineRule="exact"/>
      </w:pPr>
      <w:r w:rsidRPr="00AE6FF0">
        <w:t>This paragraph refers to the modification in the sense of a change to “the characteristics of any of its frequency assignments to a space station in the broadcasting-satellite service (BSS) which are shown in the Region 2 Plan”.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rsidR="00DA6EC9" w:rsidRPr="00AE6FF0" w:rsidRDefault="00DA6EC9">
      <w:r w:rsidRPr="00AE6FF0">
        <w:t>See also Rules of Procedure relating to § 4.2.6.</w:t>
      </w:r>
    </w:p>
    <w:p w:rsidR="00DA6EC9" w:rsidRPr="00AE6FF0" w:rsidRDefault="00DA6EC9">
      <w:pPr>
        <w:pStyle w:val="Heading9"/>
      </w:pPr>
      <w:r w:rsidRPr="00AE6FF0">
        <w:t xml:space="preserve">4.2.1 </w:t>
      </w:r>
      <w:r w:rsidRPr="00AE6FF0">
        <w:rPr>
          <w:i/>
        </w:rPr>
        <w:t>b)</w:t>
      </w:r>
    </w:p>
    <w:p w:rsidR="00DA6EC9" w:rsidRPr="00AE6FF0" w:rsidRDefault="00DA6EC9">
      <w:r w:rsidRPr="00AE6FF0">
        <w:t xml:space="preserve">See Rules of Procedure relating to § 4.2.1 </w:t>
      </w:r>
      <w:r w:rsidRPr="00AE6FF0">
        <w:rPr>
          <w:i/>
        </w:rPr>
        <w:t>a)</w:t>
      </w:r>
      <w:r w:rsidRPr="00AE6FF0">
        <w:t xml:space="preserve"> above.</w:t>
      </w:r>
    </w:p>
    <w:p w:rsidR="00DA6EC9" w:rsidRPr="00AE6FF0" w:rsidRDefault="00DA6EC9">
      <w:r w:rsidRPr="00AE6FF0">
        <w:t>See also Rules of Procedure relating to § 4.2.6.</w:t>
      </w:r>
    </w:p>
    <w:p w:rsidR="00DA6EC9" w:rsidRPr="00AE6FF0" w:rsidRDefault="00DA6EC9">
      <w:pPr>
        <w:pStyle w:val="Heading9"/>
      </w:pPr>
      <w:r w:rsidRPr="00AE6FF0">
        <w:br w:type="page"/>
      </w:r>
      <w:r w:rsidRPr="00AE6FF0">
        <w:lastRenderedPageBreak/>
        <w:t xml:space="preserve">4.2.1 </w:t>
      </w:r>
      <w:r w:rsidRPr="00AE6FF0">
        <w:rPr>
          <w:i/>
        </w:rPr>
        <w:t>c)</w:t>
      </w:r>
    </w:p>
    <w:p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4.2.6 deletes an assignment from the Plan, the reference situation of the Plan assignments and those in the process of modification would be updated. The Bureau does not need to recalculate the affected administration(s) as a result of the above-mentioned cancellation.</w:t>
      </w:r>
    </w:p>
    <w:p w:rsidR="00DA6EC9" w:rsidRPr="00AE6FF0" w:rsidRDefault="00DA6EC9">
      <w:pPr>
        <w:pStyle w:val="Heading9"/>
        <w:ind w:right="7541"/>
        <w:jc w:val="left"/>
      </w:pPr>
      <w:r w:rsidRPr="00AE6FF0">
        <w:t xml:space="preserve">4.2.3 </w:t>
      </w:r>
      <w:r w:rsidRPr="00AE6FF0">
        <w:rPr>
          <w:i/>
          <w:iCs/>
        </w:rPr>
        <w:t>a)</w:t>
      </w:r>
      <w:r w:rsidRPr="00AE6FF0">
        <w:br/>
        <w:t xml:space="preserve">and 4.2.3 </w:t>
      </w:r>
      <w:r w:rsidRPr="00AE6FF0">
        <w:rPr>
          <w:i/>
          <w:iCs/>
        </w:rPr>
        <w:t>b)</w:t>
      </w:r>
    </w:p>
    <w:p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trations having assignments whose necessary</w:t>
      </w:r>
      <w:r w:rsidRPr="00AE6FF0">
        <w:rPr>
          <w:rStyle w:val="FootnoteReference"/>
          <w:sz w:val="20"/>
        </w:rPr>
        <w:footnoteReference w:customMarkFollows="1" w:id="5"/>
        <w:t>4</w:t>
      </w:r>
      <w:r w:rsidRPr="00AE6FF0">
        <w:t xml:space="preserve"> bandwidth overlaps the necessary</w:t>
      </w:r>
      <w:r w:rsidRPr="00AE6FF0">
        <w:rPr>
          <w:position w:val="6"/>
          <w:sz w:val="20"/>
        </w:rPr>
        <w:t>4</w:t>
      </w:r>
      <w:r w:rsidRPr="00AE6FF0">
        <w:t xml:space="preserve"> bandwidth of the proposed modification of the Region 2 Plan. An administration of Region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rsidR="00DA6EC9" w:rsidRPr="00AE6FF0" w:rsidRDefault="00DA6EC9">
      <w:pPr>
        <w:pStyle w:val="Heading9"/>
      </w:pPr>
      <w:r w:rsidRPr="00AE6FF0">
        <w:t xml:space="preserve">4.2.3 </w:t>
      </w:r>
      <w:r w:rsidRPr="00AE6FF0">
        <w:rPr>
          <w:i/>
          <w:iCs/>
        </w:rPr>
        <w:t>c)</w:t>
      </w:r>
    </w:p>
    <w:p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rsidR="00DA6EC9" w:rsidRPr="00AE6FF0" w:rsidRDefault="00DA6EC9" w:rsidP="002A21D7">
      <w:r w:rsidRPr="00AE6FF0">
        <w:t>2</w:t>
      </w:r>
      <w:r w:rsidRPr="00AE6FF0">
        <w:tab/>
        <w:t xml:space="preserve">According to Resolution </w:t>
      </w:r>
      <w:r w:rsidRPr="00AE6FF0">
        <w:rPr>
          <w:rStyle w:val="Resdef"/>
          <w:color w:val="000000"/>
        </w:rPr>
        <w:t>42 (Rev.WRC-03)</w:t>
      </w:r>
      <w:r w:rsidR="004D4EDB">
        <w:rPr>
          <w:rStyle w:val="FootnoteReference"/>
          <w:b/>
          <w:bCs/>
        </w:rPr>
        <w:footnoteReference w:customMarkFollows="1" w:id="6"/>
        <w:t>*</w:t>
      </w:r>
      <w:r w:rsidRPr="00AE6FF0">
        <w:t>, the Board decided that, when applying this paragraph, the Bureau shall not take account of the interim systems.</w:t>
      </w:r>
    </w:p>
    <w:p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rsidR="002A21D7" w:rsidRPr="00AE6FF0" w:rsidRDefault="002A21D7"/>
    <w:p w:rsidR="00DA6EC9" w:rsidRPr="00AE6FF0" w:rsidRDefault="00DA6EC9">
      <w:pPr>
        <w:pStyle w:val="Heading9"/>
      </w:pPr>
      <w:r w:rsidRPr="00AE6FF0">
        <w:br w:type="page"/>
      </w:r>
      <w:r w:rsidRPr="00AE6FF0">
        <w:lastRenderedPageBreak/>
        <w:t xml:space="preserve">4.2.3 </w:t>
      </w:r>
      <w:r w:rsidRPr="00AE6FF0">
        <w:rPr>
          <w:i/>
          <w:iCs/>
        </w:rPr>
        <w:t>d)</w:t>
      </w:r>
    </w:p>
    <w:p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rsidR="00DA6EC9" w:rsidRPr="00AE6FF0" w:rsidRDefault="00DA6EC9" w:rsidP="002A21D7">
      <w:r w:rsidRPr="00AE6FF0">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7"/>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8"/>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rsidR="00DA6EC9" w:rsidRPr="00AE6FF0" w:rsidRDefault="00DA6EC9">
      <w:pPr>
        <w:pStyle w:val="Heading9"/>
      </w:pPr>
      <w:r w:rsidRPr="00AE6FF0">
        <w:t xml:space="preserve">4.2.3 </w:t>
      </w:r>
      <w:r w:rsidRPr="00AE6FF0">
        <w:rPr>
          <w:i/>
          <w:iCs/>
        </w:rPr>
        <w:t>e)</w:t>
      </w:r>
    </w:p>
    <w:p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r w:rsidRPr="00AE6FF0">
        <w:rPr>
          <w:i/>
          <w:iCs/>
        </w:rPr>
        <w:t>cbis)</w:t>
      </w:r>
      <w:r w:rsidRPr="00AE6FF0">
        <w:t xml:space="preserve"> of Appendix</w:t>
      </w:r>
      <w:r w:rsidR="002A21D7" w:rsidRPr="00AE6FF0">
        <w:t> </w:t>
      </w:r>
      <w:r w:rsidRPr="00AE6FF0">
        <w:rPr>
          <w:rStyle w:val="Appref"/>
          <w:b/>
          <w:bCs/>
          <w:color w:val="000000"/>
        </w:rPr>
        <w:t>5</w:t>
      </w:r>
      <w:r w:rsidRPr="00AE6FF0">
        <w:t>.</w:t>
      </w:r>
    </w:p>
    <w:p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rsidR="00DA6EC9" w:rsidRPr="00AE6FF0" w:rsidRDefault="00DA6EC9" w:rsidP="002A21D7">
      <w:pPr>
        <w:spacing w:line="270" w:lineRule="exact"/>
      </w:pPr>
      <w:r w:rsidRPr="00AE6FF0">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rsidR="002A21D7" w:rsidRPr="00AE6FF0" w:rsidRDefault="002A21D7" w:rsidP="002A21D7"/>
    <w:p w:rsidR="00DA6EC9" w:rsidRPr="00AE6FF0" w:rsidRDefault="00DA6EC9">
      <w:pPr>
        <w:pStyle w:val="Heading9"/>
      </w:pPr>
      <w:r w:rsidRPr="00AE6FF0">
        <w:br w:type="page"/>
      </w:r>
      <w:r w:rsidRPr="00AE6FF0">
        <w:lastRenderedPageBreak/>
        <w:t xml:space="preserve">4.2.3 </w:t>
      </w:r>
      <w:r w:rsidRPr="00AE6FF0">
        <w:rPr>
          <w:i/>
          <w:iCs/>
        </w:rPr>
        <w:t>f</w:t>
      </w:r>
      <w:r w:rsidR="00922E99" w:rsidRPr="00AE6FF0">
        <w:rPr>
          <w:rFonts w:ascii="Tms Rmn" w:hAnsi="Tms Rmn"/>
          <w:sz w:val="12"/>
        </w:rPr>
        <w:t> </w:t>
      </w:r>
      <w:r w:rsidRPr="00AE6FF0">
        <w:rPr>
          <w:i/>
          <w:iCs/>
        </w:rPr>
        <w:t>)</w:t>
      </w:r>
    </w:p>
    <w:p w:rsidR="00DA6EC9" w:rsidRPr="00AE6FF0" w:rsidRDefault="00DA6EC9" w:rsidP="00922E99">
      <w:r w:rsidRPr="00AE6FF0">
        <w:t>1</w:t>
      </w:r>
      <w:r w:rsidRPr="00AE6FF0">
        <w:tab/>
        <w:t>Until there is a Plan for Region 3 for the band 12.5-12.7 GHz, this examination shall consider only those administrations of Region 3 having broadcasting-satellite service assignments whose necessary</w:t>
      </w:r>
      <w:r w:rsidRPr="00AE6FF0">
        <w:rPr>
          <w:rStyle w:val="FootnoteReference"/>
        </w:rPr>
        <w:footnoteReference w:customMarkFollows="1" w:id="9"/>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r w:rsidRPr="00AE6FF0">
        <w:rPr>
          <w:i/>
          <w:iCs/>
        </w:rPr>
        <w:t>cbis)</w:t>
      </w:r>
      <w:r w:rsidRPr="00AE6FF0">
        <w:t xml:space="preserve"> of Appendix</w:t>
      </w:r>
      <w:r w:rsidR="00922E99" w:rsidRPr="00AE6FF0">
        <w:t> </w:t>
      </w:r>
      <w:r w:rsidRPr="00AE6FF0">
        <w:rPr>
          <w:rStyle w:val="Appref"/>
          <w:b/>
          <w:bCs/>
          <w:color w:val="000000"/>
        </w:rPr>
        <w:t>5</w:t>
      </w:r>
      <w:r w:rsidRPr="00AE6FF0">
        <w:t>.</w:t>
      </w:r>
    </w:p>
    <w:p w:rsidR="00DA6EC9" w:rsidRPr="00AE6FF0" w:rsidRDefault="00DA6EC9">
      <w:pPr>
        <w:pStyle w:val="Heading9"/>
      </w:pPr>
      <w:r w:rsidRPr="00AE6FF0">
        <w:t>4.2.6</w:t>
      </w:r>
    </w:p>
    <w:p w:rsidR="00DA6EC9" w:rsidRPr="00AE6FF0" w:rsidRDefault="00DA6EC9">
      <w:r w:rsidRPr="00AE6FF0">
        <w:t>See Rules of Procedure relating to § 4.1.3.</w:t>
      </w:r>
    </w:p>
    <w:p w:rsidR="00DA6EC9" w:rsidRPr="00AE6FF0" w:rsidRDefault="00DA6EC9">
      <w:pPr>
        <w:pStyle w:val="Heading9"/>
      </w:pPr>
      <w:r w:rsidRPr="00AE6FF0">
        <w:t>4.2.10</w:t>
      </w:r>
    </w:p>
    <w:p w:rsidR="00DA6EC9" w:rsidRPr="00AE6FF0" w:rsidRDefault="00DA6EC9">
      <w:r w:rsidRPr="00AE6FF0">
        <w:t>See Rules of Procedure relating to § 4.1.7.</w:t>
      </w:r>
    </w:p>
    <w:p w:rsidR="00DA6EC9" w:rsidRPr="00AE6FF0" w:rsidRDefault="00DA6EC9">
      <w:pPr>
        <w:pStyle w:val="Heading9"/>
      </w:pPr>
      <w:r w:rsidRPr="00AE6FF0">
        <w:t>4.2.11</w:t>
      </w:r>
    </w:p>
    <w:p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rsidR="00DA6EC9" w:rsidRPr="00AE6FF0" w:rsidRDefault="00DA6EC9">
      <w:pPr>
        <w:pStyle w:val="Heading9"/>
      </w:pPr>
      <w:r w:rsidRPr="00AE6FF0">
        <w:t>4.2.12</w:t>
      </w:r>
    </w:p>
    <w:p w:rsidR="00DA6EC9" w:rsidRPr="00AE6FF0" w:rsidRDefault="00DA6EC9">
      <w:r w:rsidRPr="00AE6FF0">
        <w:t>See Rules of Procedure relating to § 4.1.8.</w:t>
      </w:r>
    </w:p>
    <w:p w:rsidR="00DA6EC9" w:rsidRPr="00AE6FF0" w:rsidRDefault="00DA6EC9">
      <w:pPr>
        <w:pStyle w:val="Heading9"/>
      </w:pPr>
      <w:r w:rsidRPr="00AE6FF0">
        <w:t>4.2.15</w:t>
      </w:r>
    </w:p>
    <w:p w:rsidR="00DA6EC9" w:rsidRPr="00AE6FF0" w:rsidRDefault="00DA6EC9">
      <w:r w:rsidRPr="00AE6FF0">
        <w:t>See Rules of Procedure relating to § 4.1.11.</w:t>
      </w:r>
    </w:p>
    <w:p w:rsidR="00DA6EC9" w:rsidRPr="00AE6FF0" w:rsidRDefault="00DA6EC9">
      <w:pPr>
        <w:pStyle w:val="Heading9"/>
      </w:pPr>
      <w:r w:rsidRPr="00AE6FF0">
        <w:t>4.2.19</w:t>
      </w:r>
    </w:p>
    <w:p w:rsidR="00DA6EC9" w:rsidRPr="00AE6FF0" w:rsidRDefault="00DA6EC9">
      <w:r w:rsidRPr="00AE6FF0">
        <w:t>See Rules of Procedure relating to § 4.1.15.</w:t>
      </w:r>
    </w:p>
    <w:p w:rsidR="00DA6EC9" w:rsidRPr="00AE6FF0" w:rsidRDefault="00DA6EC9">
      <w:pPr>
        <w:pStyle w:val="Heading9"/>
      </w:pPr>
      <w:r w:rsidRPr="00AE6FF0">
        <w:t>4.2.24</w:t>
      </w:r>
    </w:p>
    <w:p w:rsidR="00DA6EC9" w:rsidRPr="00AE6FF0" w:rsidRDefault="00DA6EC9">
      <w:r w:rsidRPr="00AE6FF0">
        <w:t>See Rules of Procedure relating to § 4.1.23.</w:t>
      </w:r>
    </w:p>
    <w:p w:rsidR="00DA6EC9" w:rsidRPr="00AE6FF0" w:rsidRDefault="00922E99" w:rsidP="00922E99">
      <w:pPr>
        <w:pStyle w:val="Heading8"/>
      </w:pPr>
      <w:r w:rsidRPr="00AE6FF0">
        <w:br w:type="page"/>
      </w:r>
      <w:r w:rsidR="00DA6EC9" w:rsidRPr="00AE6FF0">
        <w:lastRenderedPageBreak/>
        <w:t>Art. 5</w:t>
      </w:r>
    </w:p>
    <w:p w:rsidR="00DA6EC9" w:rsidRPr="00AE6FF0" w:rsidRDefault="00DA6EC9">
      <w:pPr>
        <w:pStyle w:val="Heading1"/>
        <w:spacing w:before="240"/>
        <w:jc w:val="center"/>
      </w:pPr>
      <w:r w:rsidRPr="00AE6FF0">
        <w:t>Notification, examination and recording</w:t>
      </w:r>
    </w:p>
    <w:p w:rsidR="00DA6EC9" w:rsidRPr="00AE6FF0" w:rsidRDefault="00DA6EC9">
      <w:pPr>
        <w:pStyle w:val="Heading9"/>
      </w:pPr>
      <w:r w:rsidRPr="00AE6FF0">
        <w:t xml:space="preserve">5.2.1 </w:t>
      </w:r>
      <w:r w:rsidRPr="00AE6FF0">
        <w:rPr>
          <w:i/>
        </w:rPr>
        <w:t>b)</w:t>
      </w:r>
    </w:p>
    <w:p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10"/>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taken into account in this examination. Therefore, the examination from the viewpoint of conformity with the Plan is carried out in two steps:</w:t>
      </w:r>
    </w:p>
    <w:p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3.1 of Article 3). If the characteristics are different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notified;</w:t>
      </w:r>
    </w:p>
    <w:p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5 of the Table entitled “Minimum equivalent protection margin of assignments in the Regions 1 and 3 Plan (sorted by orbital position)” of Article 11 of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r w:rsidRPr="00AE6FF0">
        <w:t>);</w:t>
      </w:r>
    </w:p>
    <w:p w:rsidR="00DA6EC9" w:rsidRPr="00AE6FF0" w:rsidRDefault="00DA6EC9">
      <w:pPr>
        <w:pStyle w:val="enumlev2"/>
      </w:pPr>
      <w:r w:rsidRPr="00AE6FF0">
        <w:t>–</w:t>
      </w:r>
      <w:r w:rsidRPr="00AE6FF0">
        <w:tab/>
        <w:t>in the case of an elliptical beam:</w:t>
      </w:r>
    </w:p>
    <w:p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r w:rsidRPr="00AE6FF0">
        <w:t>);</w:t>
      </w:r>
    </w:p>
    <w:p w:rsidR="00922E99" w:rsidRPr="00AE6FF0" w:rsidRDefault="00922E99" w:rsidP="00922E99"/>
    <w:p w:rsidR="00DA6EC9" w:rsidRPr="00AE6FF0" w:rsidRDefault="00922E99" w:rsidP="00922E99">
      <w:pPr>
        <w:pStyle w:val="enumlev2"/>
      </w:pPr>
      <w:r w:rsidRPr="00AE6FF0">
        <w:br w:type="page"/>
      </w:r>
      <w:r w:rsidR="00DA6EC9" w:rsidRPr="00AE6FF0">
        <w:lastRenderedPageBreak/>
        <w:t>–</w:t>
      </w:r>
      <w:r w:rsidR="00DA6EC9" w:rsidRPr="00AE6FF0">
        <w:tab/>
        <w:t>polarization (as indicated in Columns 7 and 10 of Articles 10 and 11, respectively of Appendix</w:t>
      </w:r>
      <w:r w:rsidRPr="00AE6FF0">
        <w:t> </w:t>
      </w:r>
      <w:r w:rsidR="00DA6EC9" w:rsidRPr="00AE6FF0">
        <w:rPr>
          <w:rStyle w:val="Appref"/>
          <w:b/>
          <w:color w:val="000000"/>
        </w:rPr>
        <w:t>30</w:t>
      </w:r>
      <w:r w:rsidR="00DA6EC9" w:rsidRPr="00AE6FF0">
        <w:t>);</w:t>
      </w:r>
    </w:p>
    <w:p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service area (test points shall be located within the service area);</w:t>
      </w:r>
    </w:p>
    <w:p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r w:rsidRPr="00AE6FF0">
        <w:t>);</w:t>
      </w:r>
    </w:p>
    <w:p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r w:rsidRPr="00AE6FF0">
        <w:t>);</w:t>
      </w:r>
    </w:p>
    <w:p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r w:rsidRPr="00AE6FF0">
        <w:t>);</w:t>
      </w:r>
    </w:p>
    <w:p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rsidR="00DA6EC9" w:rsidRPr="00AE6FF0" w:rsidRDefault="00DA6EC9" w:rsidP="009D79BB">
      <w:r w:rsidRPr="00AE6FF0">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11"/>
        <w:t>*</w:t>
      </w:r>
      <w:r w:rsidRPr="00AE6FF0">
        <w:t>, as updated, or whether it also includes an exami</w:t>
      </w:r>
      <w:r w:rsidR="00922E99" w:rsidRPr="00AE6FF0">
        <w:softHyphen/>
      </w:r>
      <w:r w:rsidRPr="00AE6FF0">
        <w:t>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taken into account in this examination. Therefore, the exam</w:t>
      </w:r>
      <w:r w:rsidRPr="00AE6FF0">
        <w:softHyphen/>
        <w:t>ination from the viewpoint of conformity with the List is carried out in two steps:</w:t>
      </w:r>
    </w:p>
    <w:p w:rsidR="00DA6EC9" w:rsidRPr="00AE6FF0" w:rsidRDefault="00DA6EC9" w:rsidP="00922E99">
      <w:pPr>
        <w:pStyle w:val="enumlev1"/>
      </w:pPr>
      <w:r w:rsidRPr="00AE6FF0">
        <w:rPr>
          <w:i/>
        </w:rPr>
        <w:t>a)</w:t>
      </w:r>
      <w:r w:rsidRPr="00AE6FF0">
        <w:tab/>
        <w:t>to ensure that the characteristics notified are those specified in the columns of the List, as updated, and those specified in the Part B Special Section of a given network. If the characteristics are different then the examination under §</w:t>
      </w:r>
      <w:r w:rsidR="00922E99" w:rsidRPr="00AE6FF0">
        <w:t> </w:t>
      </w:r>
      <w:r w:rsidRPr="00AE6FF0">
        <w:t>5.2.1</w:t>
      </w:r>
      <w:r w:rsidR="00922E99" w:rsidRPr="00AE6FF0">
        <w:t> </w:t>
      </w:r>
      <w:r w:rsidRPr="00AE6FF0">
        <w:rPr>
          <w:i/>
        </w:rPr>
        <w:t>d)</w:t>
      </w:r>
      <w:r w:rsidRPr="00AE6FF0">
        <w:t xml:space="preserve"> is carried out;</w:t>
      </w:r>
    </w:p>
    <w:p w:rsidR="00DA6EC9" w:rsidRPr="00AE6FF0" w:rsidRDefault="009D79BB" w:rsidP="00922E99">
      <w:pPr>
        <w:pStyle w:val="enumlev1"/>
      </w:pPr>
      <w:r w:rsidRPr="00AE6FF0">
        <w:rPr>
          <w:i/>
        </w:rPr>
        <w:br w:type="page"/>
      </w:r>
      <w:r w:rsidR="00DA6EC9" w:rsidRPr="00AE6FF0">
        <w:rPr>
          <w:i/>
        </w:rPr>
        <w:lastRenderedPageBreak/>
        <w:t>b)</w:t>
      </w:r>
      <w:r w:rsidR="00DA6EC9" w:rsidRPr="00AE6FF0">
        <w:tab/>
        <w:t>to ensure that the protection criteria resulting from the Regions</w:t>
      </w:r>
      <w:r w:rsidR="00922E99" w:rsidRPr="00AE6FF0">
        <w:t xml:space="preserve"> </w:t>
      </w:r>
      <w:r w:rsidR="00DA6EC9" w:rsidRPr="00AE6FF0">
        <w:t>1 and 3 Plan and List are not exceeded. To this effect, the characteristics specified in the columns of the List, as updated, and those specified in the Part B Special Section of a given network are examined.</w:t>
      </w:r>
    </w:p>
    <w:p w:rsidR="00DA6EC9" w:rsidRPr="00AE6FF0" w:rsidRDefault="00DA6EC9">
      <w:pPr>
        <w:pStyle w:val="Heading9"/>
      </w:pPr>
      <w:r w:rsidRPr="00AE6FF0">
        <w:t xml:space="preserve">5.2.1 </w:t>
      </w:r>
      <w:r w:rsidRPr="00AE6FF0">
        <w:rPr>
          <w:i/>
        </w:rPr>
        <w:t>d)</w:t>
      </w:r>
    </w:p>
    <w:p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2"/>
        <w:t>9</w:t>
      </w:r>
      <w:r w:rsidRPr="00AE6FF0">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in order to identify the assignments of the network in question which are causing the increase of the interference.</w:t>
      </w:r>
    </w:p>
    <w:p w:rsidR="00DA6EC9" w:rsidRPr="00AE6FF0" w:rsidRDefault="00DA6EC9" w:rsidP="009D79BB">
      <w:r w:rsidRPr="00AE6FF0">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rsidR="009D79BB" w:rsidRPr="00AE6FF0" w:rsidRDefault="009D79BB" w:rsidP="009D79BB"/>
    <w:p w:rsidR="00DA6EC9" w:rsidRPr="00AE6FF0" w:rsidRDefault="009D79BB" w:rsidP="009D79BB">
      <w:r w:rsidRPr="00AE6FF0">
        <w:br w:type="page"/>
      </w:r>
      <w:r w:rsidR="00DA6EC9" w:rsidRPr="00AE6FF0">
        <w:lastRenderedPageBreak/>
        <w:t>1.3</w:t>
      </w:r>
      <w:r w:rsidR="00DA6EC9"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00DA6EC9" w:rsidRPr="00AE6FF0">
        <w:rPr>
          <w:i/>
        </w:rPr>
        <w:t>d)</w:t>
      </w:r>
      <w:r w:rsidR="00DA6EC9" w:rsidRPr="00AE6FF0">
        <w:t xml:space="preserve"> of Article 5 of Appendix</w:t>
      </w:r>
      <w:r w:rsidRPr="00AE6FF0">
        <w:t> </w:t>
      </w:r>
      <w:r w:rsidR="00DA6EC9" w:rsidRPr="00AE6FF0">
        <w:rPr>
          <w:b/>
          <w:bCs/>
        </w:rPr>
        <w:t>30</w:t>
      </w:r>
      <w:r w:rsidR="00DA6EC9" w:rsidRPr="00AE6FF0">
        <w:t xml:space="preserve"> and proceed accordingly.</w:t>
      </w:r>
    </w:p>
    <w:p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in the case of administrations of Region 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rsidR="00DA6EC9" w:rsidRPr="00AE6FF0" w:rsidRDefault="00DA6EC9">
      <w:pPr>
        <w:pStyle w:val="enumlev1"/>
      </w:pPr>
      <w:r w:rsidRPr="00AE6FF0">
        <w:t>–</w:t>
      </w:r>
      <w:r w:rsidRPr="00AE6FF0">
        <w:tab/>
        <w:t>if the orbital position is identical with that shown in the Plan, no further agreements are necessary;</w:t>
      </w:r>
    </w:p>
    <w:p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otherwise it considers the assignment to be not in conformity with the Plan.</w:t>
      </w:r>
    </w:p>
    <w:p w:rsidR="00DA6EC9" w:rsidRPr="00AE6FF0" w:rsidRDefault="00DA6EC9">
      <w:r w:rsidRPr="00AE6FF0">
        <w:t>3</w:t>
      </w:r>
      <w:r w:rsidRPr="00AE6FF0">
        <w:tab/>
        <w:t xml:space="preserve">See comments under No. </w:t>
      </w:r>
      <w:r w:rsidRPr="00AE6FF0">
        <w:rPr>
          <w:rStyle w:val="Artref"/>
          <w:b/>
          <w:color w:val="000000"/>
        </w:rPr>
        <w:t>5.492</w:t>
      </w:r>
      <w:r w:rsidRPr="00AE6FF0">
        <w:t>.</w:t>
      </w:r>
    </w:p>
    <w:p w:rsidR="00DA6EC9" w:rsidRPr="00AE6FF0" w:rsidRDefault="00DA6EC9">
      <w:pPr>
        <w:pStyle w:val="Heading9"/>
      </w:pPr>
      <w:r w:rsidRPr="00AE6FF0">
        <w:t>5.2.2.1</w:t>
      </w:r>
    </w:p>
    <w:p w:rsidR="00DA6EC9" w:rsidRPr="00AE6FF0" w:rsidRDefault="00DA6EC9" w:rsidP="009D79BB">
      <w:r w:rsidRPr="00AE6FF0">
        <w:t>This paragraph implicitly relates to the cases where the Bureau reaches a favourable Finding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Finding with respect to §</w:t>
      </w:r>
      <w:r w:rsidR="009D79BB" w:rsidRPr="00AE6FF0">
        <w:t> </w:t>
      </w:r>
      <w:r w:rsidRPr="00AE6FF0">
        <w:t>5.2.1</w:t>
      </w:r>
      <w:r w:rsidR="009D79BB" w:rsidRPr="00AE6FF0">
        <w:t> </w:t>
      </w:r>
      <w:r w:rsidRPr="00AE6FF0">
        <w:rPr>
          <w:i/>
        </w:rPr>
        <w:t>b)</w:t>
      </w:r>
      <w:r w:rsidRPr="00AE6FF0">
        <w:t xml:space="preserve"> but a favourable Finding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rsidR="00DA6EC9" w:rsidRPr="00AE6FF0" w:rsidRDefault="00DA6EC9">
      <w:pPr>
        <w:pStyle w:val="Heading9"/>
      </w:pPr>
      <w:r w:rsidRPr="00AE6FF0">
        <w:t>5.2.2.2</w:t>
      </w:r>
    </w:p>
    <w:p w:rsidR="00DA6EC9" w:rsidRPr="00AE6FF0" w:rsidRDefault="00DA6EC9" w:rsidP="009D79BB">
      <w:r w:rsidRPr="00AE6FF0">
        <w:t>Part of this paragraph deals with interim systems which are submitted in application of Resolution </w:t>
      </w:r>
      <w:r w:rsidRPr="00AE6FF0">
        <w:rPr>
          <w:rStyle w:val="Resdef"/>
          <w:color w:val="000000"/>
        </w:rPr>
        <w:t>42 (Rev.WRC-03)</w:t>
      </w:r>
      <w:r w:rsidR="004D4EDB">
        <w:rPr>
          <w:rStyle w:val="FootnoteReference"/>
          <w:b/>
          <w:bCs/>
        </w:rPr>
        <w:footnoteReference w:customMarkFollows="1" w:id="13"/>
        <w:t>*</w:t>
      </w:r>
      <w:r w:rsidRPr="00AE6FF0">
        <w:t xml:space="preserve"> for Region</w:t>
      </w:r>
      <w:r w:rsidR="009D79BB" w:rsidRPr="00AE6FF0">
        <w:t> </w:t>
      </w:r>
      <w:r w:rsidRPr="00AE6FF0">
        <w:t>2.</w:t>
      </w:r>
    </w:p>
    <w:p w:rsidR="00DA6EC9" w:rsidRPr="00AE6FF0" w:rsidRDefault="00DA6EC9" w:rsidP="009D79BB">
      <w:pPr>
        <w:tabs>
          <w:tab w:val="left" w:pos="4820"/>
        </w:tabs>
      </w:pPr>
      <w:r w:rsidRPr="00AE6FF0">
        <w:t>In case of Regions 1 and 3, should the Bureau reach a favourable Finding with respect to § 5.2.1 </w:t>
      </w:r>
      <w:r w:rsidRPr="00AE6FF0">
        <w:rPr>
          <w:i/>
        </w:rPr>
        <w:t>a)</w:t>
      </w:r>
      <w:r w:rsidRPr="00AE6FF0">
        <w:t xml:space="preserve"> and 5.2.1</w:t>
      </w:r>
      <w:r w:rsidR="009D79BB" w:rsidRPr="00AE6FF0">
        <w:t> </w:t>
      </w:r>
      <w:r w:rsidRPr="00AE6FF0">
        <w:rPr>
          <w:i/>
        </w:rPr>
        <w:t xml:space="preserve">c) </w:t>
      </w:r>
      <w:r w:rsidRPr="00AE6FF0">
        <w:t>but an unfavourable Finding with respect to §</w:t>
      </w:r>
      <w:r w:rsidR="009D79BB" w:rsidRPr="00AE6FF0">
        <w:t> </w:t>
      </w:r>
      <w:r w:rsidRPr="00AE6FF0">
        <w:t>5.2.1</w:t>
      </w:r>
      <w:r w:rsidR="009D79BB" w:rsidRPr="00AE6FF0">
        <w:t> </w:t>
      </w:r>
      <w:r w:rsidRPr="00AE6FF0">
        <w:rPr>
          <w:i/>
        </w:rPr>
        <w:t>b)</w:t>
      </w:r>
      <w:r w:rsidRPr="00AE6FF0">
        <w:t xml:space="preserve"> and 5.2.1</w:t>
      </w:r>
      <w:r w:rsidR="009D79BB" w:rsidRPr="00AE6FF0">
        <w:t> </w:t>
      </w:r>
      <w:r w:rsidRPr="00AE6FF0">
        <w:rPr>
          <w:i/>
        </w:rPr>
        <w:t>d)</w:t>
      </w:r>
      <w:r w:rsidRPr="00AE6FF0">
        <w:t>, the assignments in question shall be returned immediately by airmail to the notifying admini</w:t>
      </w:r>
      <w:r w:rsidR="009D79BB" w:rsidRPr="00AE6FF0">
        <w:softHyphen/>
      </w:r>
      <w:r w:rsidRPr="00AE6FF0">
        <w:t>stration with the reasons of the Bureau for this Finding and with such suggestions as the Bureau may be able to offer with a view to a satisfactory solution of the problem.</w:t>
      </w:r>
    </w:p>
    <w:p w:rsidR="00DA6EC9" w:rsidRPr="00AE6FF0" w:rsidRDefault="00DA6EC9">
      <w:pPr>
        <w:tabs>
          <w:tab w:val="left" w:pos="4820"/>
        </w:tabs>
      </w:pPr>
    </w:p>
    <w:p w:rsidR="009D79BB" w:rsidRPr="00AE6FF0" w:rsidRDefault="009D79BB">
      <w:pPr>
        <w:tabs>
          <w:tab w:val="left" w:pos="4820"/>
        </w:tabs>
      </w:pPr>
    </w:p>
    <w:p w:rsidR="00F64A9D" w:rsidRDefault="00F64A9D">
      <w:pPr>
        <w:tabs>
          <w:tab w:val="left" w:pos="4820"/>
        </w:tabs>
        <w:sectPr w:rsidR="00F64A9D">
          <w:headerReference w:type="even" r:id="rId8"/>
          <w:headerReference w:type="default" r:id="rId9"/>
          <w:footerReference w:type="even" r:id="rId10"/>
          <w:footerReference w:type="default" r:id="rId11"/>
          <w:headerReference w:type="first" r:id="rId12"/>
          <w:footerReference w:type="first" r:id="rId13"/>
          <w:footnotePr>
            <w:pos w:val="beneathText"/>
          </w:footnotePr>
          <w:type w:val="oddPage"/>
          <w:pgSz w:w="11907" w:h="16840" w:code="9"/>
          <w:pgMar w:top="1701" w:right="851" w:bottom="1134" w:left="1985" w:header="720" w:footer="482" w:gutter="0"/>
          <w:cols w:space="720"/>
          <w:vAlign w:val="both"/>
        </w:sectPr>
      </w:pPr>
    </w:p>
    <w:p w:rsidR="00DA6EC9" w:rsidRPr="00AE6FF0" w:rsidRDefault="00DA6EC9">
      <w:pPr>
        <w:pStyle w:val="Heading8"/>
      </w:pPr>
      <w:r w:rsidRPr="00AE6FF0">
        <w:lastRenderedPageBreak/>
        <w:t>An. 1</w:t>
      </w:r>
    </w:p>
    <w:p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rsidR="00DA6EC9" w:rsidRPr="00AE6FF0" w:rsidRDefault="00DA6EC9">
      <w:pPr>
        <w:pStyle w:val="Heading9"/>
        <w:spacing w:before="400"/>
      </w:pPr>
      <w:r w:rsidRPr="00AE6FF0">
        <w:t>1</w:t>
      </w:r>
    </w:p>
    <w:p w:rsidR="00DA6EC9" w:rsidRPr="00AE6FF0" w:rsidRDefault="00DA6EC9">
      <w:pPr>
        <w:pStyle w:val="Headingi"/>
        <w:ind w:left="1134" w:hanging="1134"/>
      </w:pPr>
      <w:r w:rsidRPr="00AE6FF0">
        <w:t>a)</w:t>
      </w:r>
      <w:r w:rsidRPr="00AE6FF0">
        <w:tab/>
        <w:t>Test points</w:t>
      </w:r>
    </w:p>
    <w:p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rsidR="00DA6EC9" w:rsidRDefault="00DA6EC9" w:rsidP="007A7E6F">
      <w:pPr>
        <w:spacing w:line="270" w:lineRule="exact"/>
      </w:pPr>
      <w:r w:rsidRPr="00AE6FF0">
        <w:t>The power flux-density limit of –103.6 dB(W/(m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r w:rsidR="0003014F">
        <w:t xml:space="preserve">      </w:t>
      </w:r>
      <w:r w:rsidR="0003014F">
        <w:rPr>
          <w:sz w:val="16"/>
          <w:szCs w:val="16"/>
        </w:rPr>
        <w:t>(MOD RRB12/</w:t>
      </w:r>
      <w:r w:rsidR="007A7E6F">
        <w:rPr>
          <w:sz w:val="16"/>
          <w:szCs w:val="16"/>
        </w:rPr>
        <w:t>60</w:t>
      </w:r>
      <w:r w:rsidR="0003014F">
        <w:rPr>
          <w:sz w:val="16"/>
          <w:szCs w:val="16"/>
        </w:rPr>
        <w:t>)</w:t>
      </w:r>
    </w:p>
    <w:p w:rsidR="00DA6EC9" w:rsidRPr="00AE6FF0" w:rsidRDefault="00DA6EC9" w:rsidP="009D79BB">
      <w:pPr>
        <w:pStyle w:val="Headingi"/>
        <w:ind w:left="1134" w:hanging="1134"/>
      </w:pPr>
      <w:r w:rsidRPr="00AE6FF0">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009D79BB" w:rsidRPr="00AE6FF0">
        <w:rPr>
          <w:rFonts w:ascii="Tms Rmn" w:hAnsi="Tms Rmn"/>
          <w:sz w:val="12"/>
        </w:rPr>
        <w:t>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rsidR="00286C84" w:rsidRDefault="00286C84">
      <w:pPr>
        <w:pStyle w:val="enumlev1"/>
      </w:pPr>
      <w:r>
        <w:br w:type="page"/>
      </w:r>
    </w:p>
    <w:p w:rsidR="00DA6EC9" w:rsidRPr="00AE6FF0" w:rsidRDefault="00DA6EC9">
      <w:pPr>
        <w:pStyle w:val="enumlev1"/>
      </w:pPr>
      <w:r w:rsidRPr="00AE6FF0">
        <w:lastRenderedPageBreak/>
        <w:t>–</w:t>
      </w:r>
      <w:r w:rsidRPr="00AE6FF0">
        <w:tab/>
        <w:t>the orbital spacing between both assignments is less than 9°, under worst-case station-keeping conditions; and</w:t>
      </w:r>
    </w:p>
    <w:p w:rsidR="00DA6EC9" w:rsidRPr="00AE6FF0" w:rsidRDefault="00DA6EC9">
      <w:pPr>
        <w:pStyle w:val="enumlev1"/>
      </w:pPr>
      <w:r w:rsidRPr="00AE6FF0">
        <w:t>–</w:t>
      </w:r>
      <w:r w:rsidRPr="00AE6FF0">
        <w:tab/>
        <w:t>there is a frequency overlap between the bandwidths assigned to each assignment; and</w:t>
      </w:r>
    </w:p>
    <w:p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4"/>
        <w:t>10</w:t>
      </w:r>
      <w:r w:rsidRPr="00AE6FF0">
        <w:t xml:space="preserve"> of the wanted assignment; and</w:t>
      </w:r>
    </w:p>
    <w:p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 xml:space="preserve">dB below that </w:t>
      </w:r>
      <w:bookmarkStart w:id="0" w:name="_GoBack"/>
      <w:bookmarkEnd w:id="0"/>
      <w:r w:rsidRPr="00AE6FF0">
        <w:t>reference equivalent protection margin value.</w:t>
      </w:r>
    </w:p>
    <w:p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5"/>
        <w:t>11</w:t>
      </w:r>
    </w:p>
    <w:p w:rsidR="00DA6EC9" w:rsidRPr="00AE6FF0" w:rsidRDefault="00DA6EC9">
      <w:r w:rsidRPr="00AE6FF0">
        <w:t>1</w:t>
      </w:r>
      <w:r w:rsidRPr="00AE6FF0">
        <w:tab/>
        <w:t>The reference equivalent protection margin values of:</w:t>
      </w:r>
    </w:p>
    <w:p w:rsidR="00DA6EC9" w:rsidRPr="00AE6FF0" w:rsidRDefault="00DA6EC9">
      <w:pPr>
        <w:pStyle w:val="enumlev1"/>
      </w:pPr>
      <w:r w:rsidRPr="00AE6FF0">
        <w:t>–</w:t>
      </w:r>
      <w:r w:rsidRPr="00AE6FF0">
        <w:tab/>
        <w:t>the assignments in the downlink or feeder-link Plans;</w:t>
      </w:r>
    </w:p>
    <w:p w:rsidR="00DA6EC9" w:rsidRPr="00AE6FF0" w:rsidRDefault="00DA6EC9">
      <w:pPr>
        <w:pStyle w:val="enumlev1"/>
      </w:pPr>
      <w:r w:rsidRPr="00AE6FF0">
        <w:t>–</w:t>
      </w:r>
      <w:r w:rsidRPr="00AE6FF0">
        <w:tab/>
        <w:t>the assignments in the downlink or feeder-link Lists;</w:t>
      </w:r>
    </w:p>
    <w:p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rsidR="00C21B9F" w:rsidRDefault="00C21B9F"/>
    <w:p w:rsidR="00DF603C" w:rsidRDefault="00DF603C">
      <w:r>
        <w:br w:type="page"/>
      </w:r>
    </w:p>
    <w:p w:rsidR="00DA6EC9" w:rsidRPr="00AE6FF0" w:rsidRDefault="00DA6EC9">
      <w:r w:rsidRPr="00AE6FF0">
        <w:lastRenderedPageBreak/>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rsidR="00DA6EC9" w:rsidRDefault="00DA6EC9" w:rsidP="009D79BB"/>
    <w:p w:rsidR="00286C84" w:rsidRDefault="00286C84" w:rsidP="009D79BB"/>
    <w:p w:rsidR="00286C84" w:rsidRDefault="00286C84" w:rsidP="009D79BB"/>
    <w:p w:rsidR="00286C84" w:rsidRDefault="00286C84" w:rsidP="009D79BB"/>
    <w:p w:rsidR="00286C84" w:rsidRDefault="00286C84" w:rsidP="009D79BB"/>
    <w:p w:rsidR="00286C84" w:rsidRDefault="00286C84" w:rsidP="009D79BB"/>
    <w:p w:rsidR="00286C84" w:rsidRDefault="00286C84" w:rsidP="009D79BB">
      <w:pPr>
        <w:sectPr w:rsidR="00286C84" w:rsidSect="00F64A9D">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DA6EC9" w:rsidRPr="00AE6FF0" w:rsidRDefault="00DA6EC9">
      <w:pPr>
        <w:pStyle w:val="Heading8"/>
      </w:pPr>
      <w:r w:rsidRPr="00AE6FF0">
        <w:lastRenderedPageBreak/>
        <w:t>An. 4</w:t>
      </w:r>
    </w:p>
    <w:p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rsidR="00DA6EC9" w:rsidRPr="00AE6FF0" w:rsidRDefault="00DA6EC9">
      <w:pPr>
        <w:pStyle w:val="AnnexRef"/>
        <w:rPr>
          <w:b/>
        </w:rPr>
      </w:pPr>
      <w:r w:rsidRPr="00AE6FF0">
        <w:t>(See Article 7)</w:t>
      </w:r>
    </w:p>
    <w:p w:rsidR="00DA6EC9" w:rsidRPr="00AE6FF0" w:rsidRDefault="00DA6EC9">
      <w:pPr>
        <w:pStyle w:val="Headingb"/>
      </w:pPr>
      <w:r w:rsidRPr="00AE6FF0">
        <w:t xml:space="preserve">Clarification on the implementation of Annex 4 to Appendix </w:t>
      </w:r>
      <w:r w:rsidRPr="00AE6FF0">
        <w:rPr>
          <w:rStyle w:val="Appref"/>
          <w:color w:val="000000"/>
        </w:rPr>
        <w:t>30</w:t>
      </w:r>
    </w:p>
    <w:p w:rsidR="00DA6EC9" w:rsidRPr="00AE6FF0" w:rsidRDefault="00DA6EC9" w:rsidP="009D79BB">
      <w:r w:rsidRPr="00AE6FF0">
        <w:t>1</w:t>
      </w:r>
      <w:r w:rsidRPr="00AE6FF0">
        <w:tab/>
        <w:t>The examination will consider only those administrations having assignments to BSS space stations subject to a Plan whose necessary</w:t>
      </w:r>
      <w:r w:rsidRPr="00AE6FF0">
        <w:rPr>
          <w:rStyle w:val="FootnoteReference"/>
          <w:sz w:val="20"/>
        </w:rPr>
        <w:footnoteReference w:customMarkFollows="1" w:id="16"/>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rsidR="00DA6EC9" w:rsidRPr="00AE6FF0" w:rsidRDefault="00DA6EC9"/>
    <w:p w:rsidR="00DA6EC9" w:rsidRPr="00AE6FF0" w:rsidRDefault="00DA6EC9">
      <w:pPr>
        <w:pStyle w:val="Heading8"/>
      </w:pPr>
      <w:r w:rsidRPr="00AE6FF0">
        <w:t>An. 5</w:t>
      </w:r>
    </w:p>
    <w:p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rsidR="00DA6EC9" w:rsidRPr="00AE6FF0" w:rsidRDefault="00DA6EC9">
      <w:pPr>
        <w:pStyle w:val="Heading9"/>
      </w:pPr>
      <w:r w:rsidRPr="00AE6FF0">
        <w:t>3.5.1</w:t>
      </w:r>
      <w:r w:rsidRPr="00AE6FF0">
        <w:br/>
        <w:t>and 3.8</w:t>
      </w:r>
    </w:p>
    <w:p w:rsidR="00DA6EC9" w:rsidRPr="00AE6FF0" w:rsidRDefault="00DA6EC9">
      <w:r w:rsidRPr="00AE6FF0">
        <w:t xml:space="preserve">These sections govern the channel spacing between the assigned frequencies of two adjacent channels and the necessary bandwidth values for systems in the Plans for Regions 1, 2 and 3. They also state that if different frequency spacing and/or bandwidths are submitted, they will </w:t>
      </w:r>
      <w:r w:rsidRPr="00AE6FF0">
        <w:br w:type="page"/>
      </w:r>
      <w:r w:rsidRPr="00AE6FF0">
        <w:lastRenderedPageBreak/>
        <w:t>be treated in accordance with applicable ITU-R Recommendations for protection masks when available. “In the absence of such Recommendations, the Bureau will use the worst-case approach as adopted by the Radio Regulations Board.”</w:t>
      </w:r>
    </w:p>
    <w:p w:rsidR="00DA6EC9" w:rsidRPr="00AE6FF0" w:rsidRDefault="00DA6EC9" w:rsidP="009D79BB">
      <w:r w:rsidRPr="00AE6F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rsidR="00DA6EC9" w:rsidRPr="00AE6FF0" w:rsidRDefault="00DA6EC9"/>
    <w:p w:rsidR="00DA6EC9" w:rsidRPr="00AE6FF0" w:rsidRDefault="00DA6EC9">
      <w:pPr>
        <w:pStyle w:val="Table"/>
      </w:pPr>
      <w:r w:rsidRPr="00AE6FF0">
        <w:t>TABLE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DA6EC9" w:rsidRPr="00AE6FF0">
        <w:trPr>
          <w:jc w:val="center"/>
        </w:trPr>
        <w:tc>
          <w:tcPr>
            <w:tcW w:w="2835" w:type="dxa"/>
          </w:tcPr>
          <w:p w:rsidR="00DA6EC9" w:rsidRPr="00AE6FF0" w:rsidRDefault="00DA6EC9" w:rsidP="005E6BD7">
            <w:pPr>
              <w:pStyle w:val="TableHead"/>
              <w:framePr w:hSpace="181" w:wrap="notBeside" w:vAnchor="text" w:hAnchor="text" w:xAlign="center" w:y="1"/>
              <w:spacing w:before="160" w:after="160"/>
            </w:pPr>
            <w:r w:rsidRPr="00AE6FF0">
              <w:t>Wanted assignment</w:t>
            </w:r>
          </w:p>
        </w:tc>
        <w:tc>
          <w:tcPr>
            <w:tcW w:w="2835" w:type="dxa"/>
          </w:tcPr>
          <w:p w:rsidR="00DA6EC9" w:rsidRPr="00AE6FF0" w:rsidRDefault="00DA6EC9" w:rsidP="005E6BD7">
            <w:pPr>
              <w:pStyle w:val="TableHead"/>
              <w:framePr w:hSpace="181" w:wrap="notBeside" w:vAnchor="text" w:hAnchor="text" w:xAlign="center" w:y="1"/>
              <w:spacing w:before="160" w:after="160"/>
            </w:pPr>
            <w:r w:rsidRPr="00AE6FF0">
              <w:t>Interfering assignment</w:t>
            </w:r>
          </w:p>
        </w:tc>
        <w:tc>
          <w:tcPr>
            <w:tcW w:w="3402" w:type="dxa"/>
          </w:tcPr>
          <w:p w:rsidR="00DA6EC9" w:rsidRPr="00AE6FF0" w:rsidRDefault="00DA6EC9" w:rsidP="005E6BD7">
            <w:pPr>
              <w:pStyle w:val="TableHead"/>
              <w:framePr w:hSpace="181" w:wrap="notBeside" w:vAnchor="text" w:hAnchor="text" w:xAlign="center" w:y="1"/>
              <w:spacing w:before="160" w:after="160"/>
            </w:pPr>
            <w:r w:rsidRPr="00AE6FF0">
              <w:t>Method to be applied</w:t>
            </w:r>
          </w:p>
        </w:tc>
      </w:tr>
      <w:tr w:rsidR="00DA6EC9" w:rsidRPr="00AE6FF0">
        <w:trPr>
          <w:jc w:val="center"/>
        </w:trPr>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“Standard”</w:t>
            </w:r>
            <w:r w:rsidRPr="00AE6FF0">
              <w:rPr>
                <w:vertAlign w:val="superscript"/>
              </w:rPr>
              <w:t>1</w:t>
            </w:r>
            <w:r w:rsidRPr="00AE6FF0">
              <w:t xml:space="preserve"> analogue</w:t>
            </w:r>
          </w:p>
        </w:tc>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“Standard” analogue</w:t>
            </w:r>
          </w:p>
        </w:tc>
        <w:tc>
          <w:tcPr>
            <w:tcW w:w="3402"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 xml:space="preserve">As defined in Annex 5 to Appendix </w:t>
            </w:r>
            <w:r w:rsidRPr="00AE6FF0">
              <w:rPr>
                <w:rStyle w:val="Appref"/>
                <w:b/>
                <w:color w:val="000000"/>
              </w:rPr>
              <w:t>30</w:t>
            </w:r>
          </w:p>
        </w:tc>
      </w:tr>
      <w:tr w:rsidR="00DA6EC9" w:rsidRPr="00AE6FF0">
        <w:trPr>
          <w:jc w:val="center"/>
        </w:trPr>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“Non-standard” analogue</w:t>
            </w:r>
          </w:p>
        </w:tc>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“Standard” analogue</w:t>
            </w:r>
          </w:p>
        </w:tc>
        <w:tc>
          <w:tcPr>
            <w:tcW w:w="3402"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As described in the Bureau’s MSPACE Manual</w:t>
            </w:r>
          </w:p>
        </w:tc>
      </w:tr>
      <w:tr w:rsidR="00DA6EC9" w:rsidRPr="00AE6FF0">
        <w:trPr>
          <w:jc w:val="center"/>
        </w:trPr>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“Standard” analogue</w:t>
            </w:r>
          </w:p>
        </w:tc>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“Non-standard” analogue</w:t>
            </w:r>
          </w:p>
        </w:tc>
        <w:tc>
          <w:tcPr>
            <w:tcW w:w="3402"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As described in the Bureau’s MSPACE Manual</w:t>
            </w:r>
          </w:p>
        </w:tc>
      </w:tr>
      <w:tr w:rsidR="00DA6EC9" w:rsidRPr="00AE6FF0">
        <w:trPr>
          <w:jc w:val="center"/>
        </w:trPr>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“Non-standard” analogue</w:t>
            </w:r>
          </w:p>
        </w:tc>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“Non-standard” analogue</w:t>
            </w:r>
          </w:p>
        </w:tc>
        <w:tc>
          <w:tcPr>
            <w:tcW w:w="3402"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As described in the Bureau’s MSPACE Manual</w:t>
            </w:r>
          </w:p>
        </w:tc>
      </w:tr>
      <w:tr w:rsidR="00DA6EC9" w:rsidRPr="00AE6FF0">
        <w:trPr>
          <w:jc w:val="center"/>
        </w:trPr>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Digital</w:t>
            </w:r>
          </w:p>
        </w:tc>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“Standard” or “non-standard” analogue</w:t>
            </w:r>
          </w:p>
        </w:tc>
        <w:tc>
          <w:tcPr>
            <w:tcW w:w="3402"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As described in the Bureau’s MSPACE Manual</w:t>
            </w:r>
          </w:p>
        </w:tc>
      </w:tr>
      <w:tr w:rsidR="00DA6EC9" w:rsidRPr="00AE6FF0">
        <w:trPr>
          <w:jc w:val="center"/>
        </w:trPr>
        <w:tc>
          <w:tcPr>
            <w:tcW w:w="2835" w:type="dxa"/>
            <w:tcBorders>
              <w:bottom w:val="nil"/>
            </w:tcBorders>
          </w:tcPr>
          <w:p w:rsidR="00DA6EC9" w:rsidRPr="00AE6FF0" w:rsidRDefault="00DA6EC9" w:rsidP="005E6BD7">
            <w:pPr>
              <w:pStyle w:val="TableText"/>
              <w:framePr w:hSpace="181" w:wrap="notBeside" w:vAnchor="text" w:hAnchor="text" w:xAlign="center" w:y="1"/>
              <w:spacing w:before="80" w:after="80"/>
              <w:ind w:left="57" w:right="57"/>
              <w:jc w:val="left"/>
            </w:pPr>
            <w:r w:rsidRPr="00AE6FF0">
              <w:t>“Standard” or “non-standard” analogue</w:t>
            </w:r>
          </w:p>
        </w:tc>
        <w:tc>
          <w:tcPr>
            <w:tcW w:w="2835" w:type="dxa"/>
            <w:tcBorders>
              <w:bottom w:val="nil"/>
            </w:tcBorders>
          </w:tcPr>
          <w:p w:rsidR="00DA6EC9" w:rsidRPr="00AE6FF0" w:rsidRDefault="00DA6EC9" w:rsidP="005E6BD7">
            <w:pPr>
              <w:pStyle w:val="TableText"/>
              <w:framePr w:hSpace="181" w:wrap="notBeside" w:vAnchor="text" w:hAnchor="text" w:xAlign="center" w:y="1"/>
              <w:spacing w:before="80" w:after="80"/>
              <w:ind w:left="57" w:right="57"/>
              <w:jc w:val="left"/>
            </w:pPr>
            <w:r w:rsidRPr="00AE6FF0">
              <w:t>Digital</w:t>
            </w:r>
          </w:p>
        </w:tc>
        <w:tc>
          <w:tcPr>
            <w:tcW w:w="3402" w:type="dxa"/>
            <w:tcBorders>
              <w:bottom w:val="nil"/>
            </w:tcBorders>
          </w:tcPr>
          <w:p w:rsidR="00DA6EC9" w:rsidRPr="00AE6FF0" w:rsidRDefault="00DA6EC9" w:rsidP="005E6BD7">
            <w:pPr>
              <w:pStyle w:val="TableText"/>
              <w:framePr w:hSpace="181" w:wrap="notBeside" w:vAnchor="text" w:hAnchor="text" w:xAlign="center" w:y="1"/>
              <w:spacing w:before="80" w:after="80"/>
              <w:ind w:left="57" w:right="57"/>
              <w:jc w:val="left"/>
            </w:pPr>
            <w:r w:rsidRPr="00AE6FF0">
              <w:t>As defined in</w:t>
            </w:r>
            <w:r w:rsidR="009D79BB" w:rsidRPr="00AE6FF0">
              <w:br/>
            </w:r>
            <w:r w:rsidRPr="00AE6FF0">
              <w:t>Recommendation</w:t>
            </w:r>
            <w:r w:rsidR="00AE6FF0">
              <w:t xml:space="preserve"> </w:t>
            </w:r>
            <w:r w:rsidRPr="00AE6FF0">
              <w:t>ITU-R BO.1293-2</w:t>
            </w:r>
            <w:r w:rsidR="009D79BB" w:rsidRPr="00AE6FF0">
              <w:t> </w:t>
            </w:r>
            <w:r w:rsidR="009D79BB" w:rsidRPr="00AE6FF0">
              <w:rPr>
                <w:vertAlign w:val="superscript"/>
              </w:rPr>
              <w:t>2</w:t>
            </w:r>
          </w:p>
        </w:tc>
      </w:tr>
      <w:tr w:rsidR="00DA6EC9" w:rsidRPr="00AE6FF0">
        <w:trPr>
          <w:jc w:val="center"/>
        </w:trPr>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Digital</w:t>
            </w:r>
          </w:p>
        </w:tc>
        <w:tc>
          <w:tcPr>
            <w:tcW w:w="2835"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Digital</w:t>
            </w:r>
          </w:p>
        </w:tc>
        <w:tc>
          <w:tcPr>
            <w:tcW w:w="3402" w:type="dxa"/>
          </w:tcPr>
          <w:p w:rsidR="00DA6EC9" w:rsidRPr="00AE6FF0" w:rsidRDefault="00DA6EC9" w:rsidP="005E6BD7">
            <w:pPr>
              <w:pStyle w:val="TableText"/>
              <w:framePr w:hSpace="181" w:wrap="notBeside" w:vAnchor="text" w:hAnchor="text" w:xAlign="center" w:y="1"/>
              <w:spacing w:before="80" w:after="80"/>
              <w:ind w:left="57" w:right="57"/>
              <w:jc w:val="left"/>
            </w:pPr>
            <w:r w:rsidRPr="00AE6FF0">
              <w:t>As defined in</w:t>
            </w:r>
            <w:r w:rsidR="009D79BB" w:rsidRPr="00AE6FF0">
              <w:br/>
            </w:r>
            <w:r w:rsidRPr="00AE6FF0">
              <w:t>Recommendation</w:t>
            </w:r>
            <w:r w:rsidR="009D79BB" w:rsidRPr="00AE6FF0">
              <w:t xml:space="preserve"> </w:t>
            </w:r>
            <w:r w:rsidRPr="00AE6FF0">
              <w:t>ITU-R BO.1293-2</w:t>
            </w:r>
            <w:r w:rsidR="009D79BB" w:rsidRPr="00AE6FF0">
              <w:t> </w:t>
            </w:r>
            <w:r w:rsidR="009D79BB" w:rsidRPr="00AE6FF0">
              <w:rPr>
                <w:vertAlign w:val="superscript"/>
              </w:rPr>
              <w:t>2</w:t>
            </w:r>
          </w:p>
        </w:tc>
      </w:tr>
    </w:tbl>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2"/>
      </w:tblGrid>
      <w:tr w:rsidR="00DA6EC9" w:rsidRPr="00AE6FF0" w:rsidTr="009D79BB">
        <w:tc>
          <w:tcPr>
            <w:tcW w:w="9072" w:type="dxa"/>
            <w:tcBorders>
              <w:top w:val="nil"/>
              <w:left w:val="nil"/>
              <w:bottom w:val="nil"/>
              <w:right w:val="nil"/>
            </w:tcBorders>
          </w:tcPr>
          <w:p w:rsidR="005E6BD7" w:rsidRPr="00AE6FF0" w:rsidRDefault="005E6BD7" w:rsidP="005E6BD7">
            <w:pPr>
              <w:pStyle w:val="TableFin"/>
            </w:pPr>
          </w:p>
          <w:p w:rsidR="00DA6EC9" w:rsidRPr="00AE6FF0" w:rsidRDefault="00DA6EC9" w:rsidP="005E6BD7">
            <w:pPr>
              <w:pStyle w:val="TableLegend"/>
              <w:spacing w:before="240"/>
              <w:ind w:left="57" w:right="57"/>
            </w:pPr>
            <w:r w:rsidRPr="00AE6FF0">
              <w:rPr>
                <w:position w:val="6"/>
                <w:sz w:val="16"/>
              </w:rPr>
              <w:t>1</w:t>
            </w:r>
            <w:r w:rsidRPr="00AE6FF0">
              <w:rPr>
                <w:rStyle w:val="Recref"/>
                <w:b/>
                <w:color w:val="000000"/>
              </w:rPr>
              <w:tab/>
            </w:r>
            <w:r w:rsidRPr="00AE6FF0">
              <w:t>Standard analogue assignments are those assignments which use the following parameters:</w:t>
            </w:r>
          </w:p>
          <w:p w:rsidR="00DA6EC9" w:rsidRPr="00AE6FF0" w:rsidRDefault="00DA6EC9" w:rsidP="005E6BD7">
            <w:pPr>
              <w:pStyle w:val="TableLegend"/>
              <w:ind w:left="567" w:right="57" w:hanging="510"/>
            </w:pPr>
            <w:r w:rsidRPr="00AE6FF0">
              <w:tab/>
              <w:t>–</w:t>
            </w:r>
            <w:r w:rsidRPr="00AE6FF0">
              <w:tab/>
            </w:r>
            <w:r w:rsidRPr="00AE6FF0">
              <w:rPr>
                <w:i/>
                <w:iCs/>
              </w:rPr>
              <w:t>For Regions 1 and</w:t>
            </w:r>
            <w:r w:rsidR="009D79BB" w:rsidRPr="00AE6FF0">
              <w:rPr>
                <w:i/>
                <w:iCs/>
              </w:rPr>
              <w:t xml:space="preserve"> </w:t>
            </w:r>
            <w:r w:rsidRPr="00AE6FF0">
              <w:rPr>
                <w:i/>
                <w:iCs/>
              </w:rPr>
              <w:t>3</w:t>
            </w:r>
            <w:r w:rsidRPr="00AE6FF0">
              <w:t>:</w:t>
            </w:r>
            <w:r w:rsidR="009D79BB" w:rsidRPr="00AE6FF0">
              <w:t>  </w:t>
            </w:r>
            <w:r w:rsidRPr="00AE6FF0">
              <w:t xml:space="preserve">27 MHz bandwidth, 19.18 MHz channel spacing and the assigned frequencies as specified in Article 11 of Appendix </w:t>
            </w:r>
            <w:r w:rsidRPr="00AE6FF0">
              <w:rPr>
                <w:rStyle w:val="Appref"/>
                <w:b/>
                <w:color w:val="000000"/>
              </w:rPr>
              <w:t>30</w:t>
            </w:r>
            <w:r w:rsidRPr="00AE6FF0">
              <w:t>.</w:t>
            </w:r>
          </w:p>
          <w:p w:rsidR="00DA6EC9" w:rsidRPr="00AE6FF0" w:rsidRDefault="00DA6EC9" w:rsidP="005E6BD7">
            <w:pPr>
              <w:pStyle w:val="TableLegend"/>
              <w:ind w:left="567" w:right="57" w:hanging="510"/>
            </w:pPr>
            <w:r w:rsidRPr="00AE6FF0">
              <w:tab/>
              <w:t>–</w:t>
            </w:r>
            <w:r w:rsidRPr="00AE6FF0">
              <w:tab/>
            </w:r>
            <w:r w:rsidRPr="00AE6FF0">
              <w:rPr>
                <w:i/>
                <w:iCs/>
              </w:rPr>
              <w:t>For Region 2</w:t>
            </w:r>
            <w:r w:rsidRPr="00AE6FF0">
              <w:t>:</w:t>
            </w:r>
            <w:r w:rsidR="009D79BB" w:rsidRPr="00AE6FF0">
              <w:t>  </w:t>
            </w:r>
            <w:r w:rsidRPr="00AE6FF0">
              <w:t xml:space="preserve">24 MHz bandwidth, 14.58 MHz channel spacing and the assigned frequencies as specified in Article 10 of Appendix </w:t>
            </w:r>
            <w:r w:rsidRPr="00AE6FF0">
              <w:rPr>
                <w:rStyle w:val="Appref"/>
                <w:b/>
                <w:color w:val="000000"/>
              </w:rPr>
              <w:t>30</w:t>
            </w:r>
            <w:r w:rsidRPr="00AE6FF0">
              <w:t>.</w:t>
            </w:r>
          </w:p>
          <w:p w:rsidR="00DA6EC9" w:rsidRPr="00AE6FF0" w:rsidRDefault="00DA6EC9" w:rsidP="005E6BD7">
            <w:pPr>
              <w:pStyle w:val="TableLegend"/>
              <w:spacing w:before="240" w:after="60"/>
              <w:ind w:left="284" w:right="57" w:hanging="227"/>
            </w:pPr>
            <w:r w:rsidRPr="00AE6FF0">
              <w:t>2</w:t>
            </w:r>
            <w:r w:rsidRPr="00AE6FF0">
              <w:tab/>
              <w:t>Recommendation ITU-R BO.1293-2 (Annexes</w:t>
            </w:r>
            <w:r w:rsidR="009D79BB" w:rsidRPr="00AE6FF0">
              <w:t xml:space="preserve"> </w:t>
            </w:r>
            <w:r w:rsidRPr="00AE6FF0">
              <w:t>1 and 2) is applied instead of Recommendation ITU</w:t>
            </w:r>
            <w:r w:rsidRPr="00AE6FF0">
              <w:noBreakHyphen/>
              <w:t>R</w:t>
            </w:r>
            <w:r w:rsidR="009D79BB" w:rsidRPr="00AE6FF0">
              <w:t xml:space="preserve"> </w:t>
            </w:r>
            <w:r w:rsidRPr="00AE6FF0">
              <w:t>BO.1293-1, which is referred to in § 3.4 of Annex 5 to Appendix </w:t>
            </w:r>
            <w:r w:rsidRPr="00AE6FF0">
              <w:rPr>
                <w:rStyle w:val="Appref"/>
                <w:b/>
                <w:color w:val="000000"/>
              </w:rPr>
              <w:t>30</w:t>
            </w:r>
            <w:r w:rsidRPr="00AE6FF0">
              <w:t xml:space="preserve"> and § 3.3 of Annex 3 to Appendix </w:t>
            </w:r>
            <w:r w:rsidRPr="00AE6FF0">
              <w:rPr>
                <w:rStyle w:val="Appref"/>
                <w:b/>
                <w:color w:val="000000"/>
              </w:rPr>
              <w:t>30A</w:t>
            </w:r>
            <w:r w:rsidRPr="00AE6FF0">
              <w:t>.</w:t>
            </w:r>
          </w:p>
        </w:tc>
      </w:tr>
    </w:tbl>
    <w:p w:rsidR="00DA6EC9" w:rsidRPr="00AE6FF0" w:rsidRDefault="00DA6EC9">
      <w:pPr>
        <w:pStyle w:val="TableFin"/>
        <w:rPr>
          <w:sz w:val="24"/>
        </w:rPr>
      </w:pPr>
    </w:p>
    <w:p w:rsidR="00DA6EC9" w:rsidRPr="00AE6FF0" w:rsidRDefault="00DA6EC9"/>
    <w:p w:rsidR="00DA6EC9" w:rsidRPr="00AE6FF0" w:rsidRDefault="00DA6EC9"/>
    <w:p w:rsidR="009D79BB" w:rsidRPr="00AE6FF0" w:rsidRDefault="009D79BB"/>
    <w:p w:rsidR="005E6BD7" w:rsidRPr="00AE6FF0" w:rsidRDefault="005E6BD7"/>
    <w:p w:rsidR="00DA6EC9" w:rsidRPr="00AE6FF0" w:rsidRDefault="00DA6EC9">
      <w:pPr>
        <w:pStyle w:val="Heading9"/>
      </w:pPr>
      <w:r w:rsidRPr="00AE6FF0">
        <w:br w:type="page"/>
      </w:r>
      <w:r w:rsidRPr="00AE6FF0">
        <w:lastRenderedPageBreak/>
        <w:t>3.11</w:t>
      </w:r>
    </w:p>
    <w:p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rsidR="00DA6EC9" w:rsidRPr="00AE6FF0" w:rsidRDefault="00DA6EC9"/>
    <w:p w:rsidR="00DA6EC9" w:rsidRPr="00AE6FF0" w:rsidRDefault="00DA6EC9"/>
    <w:p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rsidR="009D79BB" w:rsidRPr="00AE6FF0" w:rsidRDefault="009D79BB" w:rsidP="009D79BB">
      <w:pPr>
        <w:pStyle w:val="TableFin"/>
      </w:pPr>
    </w:p>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5E6BD7" w:rsidRPr="00AE6FF0" w:rsidRDefault="005E6BD7"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pPr>
        <w:pStyle w:val="Table"/>
        <w:spacing w:before="120"/>
        <w:sectPr w:rsidR="00DA6EC9" w:rsidRPr="00AE6FF0" w:rsidSect="00F64A9D">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DA6EC9" w:rsidRPr="00AE6FF0" w:rsidRDefault="00DA6EC9">
      <w:pPr>
        <w:pStyle w:val="Table"/>
        <w:spacing w:before="0"/>
      </w:pPr>
      <w:r w:rsidRPr="00AE6FF0">
        <w:lastRenderedPageBreak/>
        <w:t>CLUSTERS  FOR  REGION  2</w:t>
      </w:r>
    </w:p>
    <w:tbl>
      <w:tblPr>
        <w:tblW w:w="14042" w:type="dxa"/>
        <w:jc w:val="center"/>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trPr>
          <w:gridAfter w:val="1"/>
          <w:wAfter w:w="8" w:type="dxa"/>
          <w:cantSplit/>
          <w:jc w:val="center"/>
        </w:trPr>
        <w:tc>
          <w:tcPr>
            <w:tcW w:w="1564"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bl>
    <w:p w:rsidR="00DA6EC9" w:rsidRPr="00AE6FF0" w:rsidRDefault="00DA6EC9">
      <w:pPr>
        <w:pStyle w:val="TableFin"/>
      </w:pPr>
    </w:p>
    <w:p w:rsidR="00DA6EC9" w:rsidRPr="00AE6FF0" w:rsidRDefault="00DA6EC9">
      <w:pPr>
        <w:pStyle w:val="Table"/>
      </w:pPr>
      <w:r w:rsidRPr="00AE6FF0">
        <w:br w:type="page"/>
      </w:r>
      <w:r w:rsidRPr="00AE6FF0">
        <w:lastRenderedPageBreak/>
        <w:t xml:space="preserve">CLUSTERS  FOR  REGION  2 </w:t>
      </w:r>
      <w:r w:rsidRPr="00AE6FF0">
        <w:rPr>
          <w:iCs/>
        </w:rPr>
        <w:t>(</w:t>
      </w:r>
      <w:r w:rsidRPr="00AE6FF0">
        <w:rPr>
          <w:i/>
        </w:rPr>
        <w:t>continued</w:t>
      </w:r>
      <w:r w:rsidRPr="00AE6FF0">
        <w:rPr>
          <w:iCs/>
        </w:rPr>
        <w:t>)</w:t>
      </w:r>
    </w:p>
    <w:tbl>
      <w:tblPr>
        <w:tblW w:w="14042" w:type="dxa"/>
        <w:jc w:val="center"/>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trPr>
          <w:gridAfter w:val="1"/>
          <w:wAfter w:w="8" w:type="dxa"/>
          <w:cantSplit/>
          <w:jc w:val="center"/>
        </w:trPr>
        <w:tc>
          <w:tcPr>
            <w:tcW w:w="1564"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bl>
    <w:p w:rsidR="00DA6EC9" w:rsidRPr="00AE6FF0" w:rsidRDefault="00DA6EC9">
      <w:pPr>
        <w:pStyle w:val="TableFin"/>
      </w:pPr>
    </w:p>
    <w:p w:rsidR="00DA6EC9" w:rsidRPr="00AE6FF0" w:rsidRDefault="00DA6EC9">
      <w:pPr>
        <w:pStyle w:val="Table"/>
      </w:pPr>
      <w:r w:rsidRPr="00AE6FF0">
        <w:br w:type="page"/>
      </w:r>
      <w:r w:rsidR="00C353F5">
        <w:rPr>
          <w:noProof/>
        </w:rPr>
        <w:lastRenderedPageBreak/>
        <w:pict>
          <v:line id="_x0000_s1026" style="position:absolute;left:0;text-align:left;z-index:251657728" from="-24.15pt,140.2pt" to="-24.15pt,260.2pt"/>
        </w:pict>
      </w:r>
      <w:r w:rsidRPr="00AE6FF0">
        <w:t xml:space="preserve"> CLUSTERS  FOR  REGION  2 </w:t>
      </w:r>
      <w:r w:rsidRPr="00AE6FF0">
        <w:rPr>
          <w:iCs/>
        </w:rPr>
        <w:t>(</w:t>
      </w:r>
      <w:r w:rsidRPr="00AE6FF0">
        <w:rPr>
          <w:i/>
        </w:rPr>
        <w:t>end</w:t>
      </w:r>
      <w:r w:rsidRPr="00AE6FF0">
        <w:rPr>
          <w:iCs/>
        </w:rPr>
        <w:t>)</w:t>
      </w:r>
    </w:p>
    <w:tbl>
      <w:tblPr>
        <w:tblW w:w="14043" w:type="dxa"/>
        <w:jc w:val="center"/>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trPr>
          <w:cantSplit/>
          <w:jc w:val="center"/>
        </w:trPr>
        <w:tc>
          <w:tcPr>
            <w:tcW w:w="1565"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single" w:sz="6" w:space="0" w:color="auto"/>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bl>
    <w:p w:rsidR="00DA6EC9" w:rsidRPr="00AE6FF0" w:rsidRDefault="00DA6EC9">
      <w:pPr>
        <w:pStyle w:val="TableFin"/>
      </w:pPr>
    </w:p>
    <w:p w:rsidR="00DA6EC9" w:rsidRPr="00AE6FF0" w:rsidRDefault="00DA6EC9"/>
    <w:p w:rsidR="00DA6EC9" w:rsidRPr="00AE6FF0" w:rsidRDefault="00DA6EC9">
      <w:pPr>
        <w:sectPr w:rsidR="00DA6EC9" w:rsidRPr="00AE6FF0" w:rsidSect="0018470B">
          <w:headerReference w:type="even" r:id="rId18"/>
          <w:headerReference w:type="default" r:id="rId19"/>
          <w:footerReference w:type="even" r:id="rId20"/>
          <w:footnotePr>
            <w:pos w:val="beneathText"/>
          </w:footnotePr>
          <w:pgSz w:w="16840" w:h="11907" w:orient="landscape" w:code="9"/>
          <w:pgMar w:top="1418" w:right="1701" w:bottom="851" w:left="1134" w:header="720" w:footer="482" w:gutter="0"/>
          <w:cols w:space="720"/>
        </w:sectPr>
      </w:pPr>
    </w:p>
    <w:p w:rsidR="00DA6EC9" w:rsidRPr="00AE6FF0" w:rsidRDefault="00DA6EC9"/>
    <w:sectPr w:rsidR="00DA6EC9" w:rsidRPr="00AE6FF0" w:rsidSect="005E6BD7">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C84" w:rsidRDefault="00286C84">
      <w:r>
        <w:separator/>
      </w:r>
    </w:p>
  </w:endnote>
  <w:endnote w:type="continuationSeparator" w:id="0">
    <w:p w:rsidR="00286C84" w:rsidRDefault="0028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03C" w:rsidRDefault="00DF60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03C" w:rsidRDefault="00DF60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03C" w:rsidRDefault="00DF603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84" w:rsidRDefault="00286C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C84" w:rsidRDefault="00286C84">
      <w:r>
        <w:rPr>
          <w:b/>
        </w:rPr>
        <w:t>_______________</w:t>
      </w:r>
    </w:p>
  </w:footnote>
  <w:footnote w:type="continuationSeparator" w:id="0">
    <w:p w:rsidR="00286C84" w:rsidRDefault="00286C84">
      <w:r>
        <w:continuationSeparator/>
      </w:r>
    </w:p>
  </w:footnote>
  <w:footnote w:id="1">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2">
    <w:p w:rsidR="00286C84" w:rsidRDefault="00286C84">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3">
    <w:p w:rsidR="00286C84" w:rsidRDefault="00286C84">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4">
    <w:p w:rsidR="00286C84" w:rsidRDefault="00286C84">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5">
    <w:p w:rsidR="00286C84" w:rsidRDefault="00286C84">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7">
    <w:p w:rsidR="00286C84" w:rsidRDefault="00286C84">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rsidR="00286C84" w:rsidRDefault="00286C84">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9">
    <w:p w:rsidR="00286C84" w:rsidRDefault="00286C84">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10">
    <w:p w:rsidR="00286C84" w:rsidRDefault="00286C84">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11">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2">
    <w:p w:rsidR="00286C84" w:rsidRDefault="00286C84">
      <w:pPr>
        <w:pStyle w:val="FootnoteText"/>
      </w:pPr>
      <w:r>
        <w:rPr>
          <w:rStyle w:val="FootnoteReference"/>
        </w:rPr>
        <w:t>9</w:t>
      </w:r>
      <w:r>
        <w:t xml:space="preserve"> </w:t>
      </w:r>
      <w:r>
        <w:tab/>
      </w:r>
      <w:r>
        <w:rPr>
          <w:lang w:val="en-US"/>
        </w:rPr>
        <w:t>As appearing in the appropriate Plan or List, according to the case.</w:t>
      </w:r>
    </w:p>
  </w:footnote>
  <w:footnote w:id="13">
    <w:p w:rsidR="00286C84" w:rsidRPr="009314A3" w:rsidRDefault="00286C84"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14">
    <w:p w:rsidR="00286C84" w:rsidRDefault="00286C84">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5">
    <w:p w:rsidR="00286C84" w:rsidRDefault="00286C84">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6">
    <w:p w:rsidR="00286C84" w:rsidRDefault="00286C84">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86C84">
      <w:trPr>
        <w:cantSplit/>
      </w:trPr>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286C84" w:rsidRDefault="00C353F5">
          <w:pPr>
            <w:pStyle w:val="HeaderRegProc"/>
            <w:rPr>
              <w:lang w:val="fr-FR"/>
            </w:rPr>
          </w:pPr>
          <w:r>
            <w:fldChar w:fldCharType="begin"/>
          </w:r>
          <w:r>
            <w:instrText xml:space="preserve"> DOCPROPERTY "Header1" \* MERGEFORMAT </w:instrText>
          </w:r>
          <w:r>
            <w:fldChar w:fldCharType="separate"/>
          </w:r>
          <w:r w:rsidR="00286C84">
            <w:rPr>
              <w:lang w:val="fr-FR"/>
            </w:rPr>
            <w:t>AP</w:t>
          </w:r>
          <w:r>
            <w:rPr>
              <w:lang w:val="fr-FR"/>
            </w:rPr>
            <w:fldChar w:fldCharType="end"/>
          </w:r>
          <w:r w:rsidR="00286C84">
            <w:fldChar w:fldCharType="begin"/>
          </w:r>
          <w:r w:rsidR="00286C84">
            <w:rPr>
              <w:lang w:val="fr-FR"/>
            </w:rPr>
            <w:instrText>styleref href2</w:instrText>
          </w:r>
          <w:r w:rsidR="00286C84">
            <w:fldChar w:fldCharType="separate"/>
          </w:r>
          <w:r>
            <w:rPr>
              <w:noProof/>
            </w:rPr>
            <w:t>30</w:t>
          </w:r>
          <w:r w:rsidR="00286C84">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353F5">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CH"/>
            </w:rPr>
            <w:t>rev.</w:t>
          </w:r>
          <w:r>
            <w:t>-</w:t>
          </w:r>
        </w:p>
      </w:tc>
    </w:tr>
  </w:tbl>
  <w:p w:rsidR="00286C84" w:rsidRDefault="00286C84">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84" w:rsidRDefault="00286C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86C84">
      <w:trPr>
        <w:cantSplit/>
        <w:jc w:val="right"/>
      </w:trPr>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286C84" w:rsidRDefault="00C353F5">
          <w:pPr>
            <w:pStyle w:val="HeaderRegProc"/>
            <w:rPr>
              <w:lang w:val="fr-FR"/>
            </w:rPr>
          </w:pPr>
          <w:r>
            <w:fldChar w:fldCharType="begin"/>
          </w:r>
          <w:r>
            <w:instrText xml:space="preserve"> DOCPROPERTY "Header1" \* MERGEFORMAT </w:instrText>
          </w:r>
          <w:r>
            <w:fldChar w:fldCharType="separate"/>
          </w:r>
          <w:r w:rsidR="00286C84">
            <w:rPr>
              <w:lang w:val="fr-FR"/>
            </w:rPr>
            <w:t>AP</w:t>
          </w:r>
          <w:r>
            <w:rPr>
              <w:lang w:val="fr-FR"/>
            </w:rPr>
            <w:fldChar w:fldCharType="end"/>
          </w:r>
          <w:r w:rsidR="00286C84">
            <w:fldChar w:fldCharType="begin"/>
          </w:r>
          <w:r w:rsidR="00286C84">
            <w:rPr>
              <w:lang w:val="fr-FR"/>
            </w:rPr>
            <w:instrText>styleref href2</w:instrText>
          </w:r>
          <w:r w:rsidR="00286C84">
            <w:fldChar w:fldCharType="separate"/>
          </w:r>
          <w:r>
            <w:rPr>
              <w:noProof/>
            </w:rPr>
            <w:t>30</w:t>
          </w:r>
          <w:r w:rsidR="00286C84">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353F5">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86C84" w:rsidRDefault="00286C84">
          <w:pPr>
            <w:pStyle w:val="HeaderRegProc"/>
            <w:rPr>
              <w:lang w:val="fr-CH"/>
            </w:rPr>
          </w:pPr>
          <w:r>
            <w:rPr>
              <w:lang w:val="fr-CH"/>
            </w:rPr>
            <w:t>rev.</w:t>
          </w:r>
          <w:r>
            <w:t>-</w:t>
          </w:r>
        </w:p>
      </w:tc>
    </w:tr>
  </w:tbl>
  <w:p w:rsidR="00286C84" w:rsidRDefault="00286C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03C" w:rsidRDefault="00DF60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21B9F">
      <w:trPr>
        <w:cantSplit/>
      </w:trPr>
      <w:tc>
        <w:tcPr>
          <w:tcW w:w="1701" w:type="dxa"/>
          <w:tcBorders>
            <w:top w:val="single" w:sz="6" w:space="0" w:color="auto"/>
            <w:left w:val="single" w:sz="6" w:space="0" w:color="auto"/>
            <w:bottom w:val="single" w:sz="6" w:space="0" w:color="auto"/>
            <w:right w:val="single" w:sz="6" w:space="0" w:color="auto"/>
          </w:tcBorders>
        </w:tcPr>
        <w:p w:rsidR="00C21B9F" w:rsidRDefault="00C21B9F">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C21B9F" w:rsidRDefault="00DF603C">
          <w:pPr>
            <w:pStyle w:val="HeaderRegProc"/>
            <w:rPr>
              <w:lang w:val="fr-FR"/>
            </w:rPr>
          </w:pPr>
          <w:fldSimple w:instr=" DOCPROPERTY &quot;Header1&quot; \* MERGEFORMAT ">
            <w:r w:rsidR="00C21B9F">
              <w:rPr>
                <w:lang w:val="fr-FR"/>
              </w:rPr>
              <w:t>AP</w:t>
            </w:r>
          </w:fldSimple>
          <w:r w:rsidR="00C21B9F">
            <w:fldChar w:fldCharType="begin"/>
          </w:r>
          <w:r w:rsidR="00C21B9F">
            <w:rPr>
              <w:lang w:val="fr-FR"/>
            </w:rPr>
            <w:instrText>styleref href2</w:instrText>
          </w:r>
          <w:r w:rsidR="00C21B9F">
            <w:fldChar w:fldCharType="separate"/>
          </w:r>
          <w:r w:rsidR="00C353F5">
            <w:rPr>
              <w:noProof/>
            </w:rPr>
            <w:t>30</w:t>
          </w:r>
          <w:r w:rsidR="00C21B9F">
            <w:fldChar w:fldCharType="end"/>
          </w:r>
        </w:p>
      </w:tc>
      <w:tc>
        <w:tcPr>
          <w:tcW w:w="1701" w:type="dxa"/>
          <w:tcBorders>
            <w:top w:val="single" w:sz="6" w:space="0" w:color="auto"/>
            <w:left w:val="single" w:sz="6" w:space="0" w:color="auto"/>
            <w:bottom w:val="single" w:sz="6" w:space="0" w:color="auto"/>
            <w:right w:val="single" w:sz="6" w:space="0" w:color="auto"/>
          </w:tcBorders>
        </w:tcPr>
        <w:p w:rsidR="00C21B9F" w:rsidRDefault="00C21B9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353F5">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21B9F" w:rsidRDefault="00C21B9F" w:rsidP="00DF603C">
          <w:pPr>
            <w:pStyle w:val="HeaderRegProc"/>
            <w:rPr>
              <w:lang w:val="fr-CH"/>
            </w:rPr>
          </w:pPr>
          <w:r>
            <w:rPr>
              <w:lang w:val="fr-CH"/>
            </w:rPr>
            <w:t>rev.</w:t>
          </w:r>
          <w:r w:rsidR="00DF603C">
            <w:t xml:space="preserve"> 1</w:t>
          </w:r>
        </w:p>
      </w:tc>
    </w:tr>
  </w:tbl>
  <w:p w:rsidR="00C21B9F" w:rsidRDefault="00C21B9F">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03C">
      <w:trPr>
        <w:cantSplit/>
        <w:jc w:val="right"/>
      </w:trPr>
      <w:tc>
        <w:tcPr>
          <w:tcW w:w="1701" w:type="dxa"/>
          <w:tcBorders>
            <w:top w:val="single" w:sz="6" w:space="0" w:color="auto"/>
            <w:left w:val="single" w:sz="6" w:space="0" w:color="auto"/>
            <w:bottom w:val="single" w:sz="6" w:space="0" w:color="auto"/>
            <w:right w:val="single" w:sz="6" w:space="0" w:color="auto"/>
          </w:tcBorders>
        </w:tcPr>
        <w:p w:rsidR="00DF603C" w:rsidRDefault="00DF603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DF603C" w:rsidRDefault="00C353F5">
          <w:pPr>
            <w:pStyle w:val="HeaderRegProc"/>
            <w:rPr>
              <w:lang w:val="fr-FR"/>
            </w:rPr>
          </w:pPr>
          <w:r>
            <w:fldChar w:fldCharType="begin"/>
          </w:r>
          <w:r>
            <w:instrText xml:space="preserve"> DOCPROPERTY "Header1" \* MERGEFORMAT </w:instrText>
          </w:r>
          <w:r>
            <w:fldChar w:fldCharType="separate"/>
          </w:r>
          <w:r w:rsidR="00DF603C">
            <w:rPr>
              <w:lang w:val="fr-FR"/>
            </w:rPr>
            <w:t>AP</w:t>
          </w:r>
          <w:r>
            <w:rPr>
              <w:lang w:val="fr-FR"/>
            </w:rPr>
            <w:fldChar w:fldCharType="end"/>
          </w:r>
          <w:r w:rsidR="00DF603C">
            <w:fldChar w:fldCharType="begin"/>
          </w:r>
          <w:r w:rsidR="00DF603C">
            <w:rPr>
              <w:lang w:val="fr-FR"/>
            </w:rPr>
            <w:instrText>styleref href2</w:instrText>
          </w:r>
          <w:r w:rsidR="00DF603C">
            <w:fldChar w:fldCharType="separate"/>
          </w:r>
          <w:r>
            <w:rPr>
              <w:noProof/>
            </w:rPr>
            <w:t>30</w:t>
          </w:r>
          <w:r w:rsidR="00DF603C">
            <w:fldChar w:fldCharType="end"/>
          </w:r>
        </w:p>
      </w:tc>
      <w:tc>
        <w:tcPr>
          <w:tcW w:w="1701" w:type="dxa"/>
          <w:tcBorders>
            <w:top w:val="single" w:sz="6" w:space="0" w:color="auto"/>
            <w:left w:val="single" w:sz="6" w:space="0" w:color="auto"/>
            <w:bottom w:val="single" w:sz="6" w:space="0" w:color="auto"/>
            <w:right w:val="single" w:sz="6" w:space="0" w:color="auto"/>
          </w:tcBorders>
        </w:tcPr>
        <w:p w:rsidR="00DF603C" w:rsidRDefault="00DF603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353F5">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F603C" w:rsidRDefault="00DF603C" w:rsidP="00DF603C">
          <w:pPr>
            <w:pStyle w:val="HeaderRegProc"/>
            <w:rPr>
              <w:lang w:val="fr-CH"/>
            </w:rPr>
          </w:pPr>
          <w:r>
            <w:rPr>
              <w:lang w:val="fr-CH"/>
            </w:rPr>
            <w:t>rev.</w:t>
          </w:r>
          <w:r>
            <w:t xml:space="preserve"> 1</w:t>
          </w:r>
        </w:p>
      </w:tc>
    </w:tr>
  </w:tbl>
  <w:p w:rsidR="00DF603C" w:rsidRDefault="00DF603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D761C">
      <w:trPr>
        <w:cantSplit/>
      </w:trPr>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D761C" w:rsidRDefault="00C353F5">
          <w:pPr>
            <w:pStyle w:val="HeaderRegProc"/>
            <w:rPr>
              <w:lang w:val="fr-FR"/>
            </w:rPr>
          </w:pPr>
          <w:r>
            <w:fldChar w:fldCharType="begin"/>
          </w:r>
          <w:r>
            <w:instrText xml:space="preserve"> DOCPROPERTY "Header1" \* MERGEFORMAT </w:instrText>
          </w:r>
          <w:r>
            <w:fldChar w:fldCharType="separate"/>
          </w:r>
          <w:r w:rsidR="00BD761C">
            <w:rPr>
              <w:lang w:val="fr-FR"/>
            </w:rPr>
            <w:t>AP</w:t>
          </w:r>
          <w:r>
            <w:rPr>
              <w:lang w:val="fr-FR"/>
            </w:rPr>
            <w:fldChar w:fldCharType="end"/>
          </w:r>
          <w:r w:rsidR="00BD761C">
            <w:fldChar w:fldCharType="begin"/>
          </w:r>
          <w:r w:rsidR="00BD761C">
            <w:rPr>
              <w:lang w:val="fr-FR"/>
            </w:rPr>
            <w:instrText>styleref href2</w:instrText>
          </w:r>
          <w:r w:rsidR="00BD761C">
            <w:fldChar w:fldCharType="separate"/>
          </w:r>
          <w:r>
            <w:rPr>
              <w:noProof/>
            </w:rPr>
            <w:t>30</w:t>
          </w:r>
          <w:r w:rsidR="00BD761C">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353F5">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rsidP="00D67CBF">
          <w:pPr>
            <w:pStyle w:val="HeaderRegProc"/>
            <w:rPr>
              <w:lang w:val="fr-CH"/>
            </w:rPr>
          </w:pPr>
          <w:r>
            <w:rPr>
              <w:lang w:val="fr-CH"/>
            </w:rPr>
            <w:t>rev.</w:t>
          </w:r>
          <w:r>
            <w:t>-</w:t>
          </w:r>
        </w:p>
      </w:tc>
    </w:tr>
  </w:tbl>
  <w:p w:rsidR="00BD761C" w:rsidRDefault="00BD761C">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D761C">
      <w:trPr>
        <w:cantSplit/>
        <w:jc w:val="right"/>
      </w:trPr>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D761C" w:rsidRDefault="00C353F5">
          <w:pPr>
            <w:pStyle w:val="HeaderRegProc"/>
            <w:rPr>
              <w:lang w:val="fr-FR"/>
            </w:rPr>
          </w:pPr>
          <w:r>
            <w:fldChar w:fldCharType="begin"/>
          </w:r>
          <w:r>
            <w:instrText xml:space="preserve"> DOCPROPERTY "Header1" \* MERGEFORMAT </w:instrText>
          </w:r>
          <w:r>
            <w:fldChar w:fldCharType="separate"/>
          </w:r>
          <w:r w:rsidR="00BD761C">
            <w:rPr>
              <w:lang w:val="fr-FR"/>
            </w:rPr>
            <w:t>AP</w:t>
          </w:r>
          <w:r>
            <w:rPr>
              <w:lang w:val="fr-FR"/>
            </w:rPr>
            <w:fldChar w:fldCharType="end"/>
          </w:r>
          <w:r w:rsidR="00BD761C">
            <w:fldChar w:fldCharType="begin"/>
          </w:r>
          <w:r w:rsidR="00BD761C">
            <w:rPr>
              <w:lang w:val="fr-FR"/>
            </w:rPr>
            <w:instrText>styleref href2</w:instrText>
          </w:r>
          <w:r w:rsidR="00BD761C">
            <w:fldChar w:fldCharType="separate"/>
          </w:r>
          <w:r>
            <w:rPr>
              <w:noProof/>
            </w:rPr>
            <w:t>30</w:t>
          </w:r>
          <w:r w:rsidR="00BD761C">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353F5">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D761C" w:rsidRDefault="00BD761C">
          <w:pPr>
            <w:pStyle w:val="HeaderRegProc"/>
            <w:rPr>
              <w:lang w:val="fr-CH"/>
            </w:rPr>
          </w:pPr>
          <w:r>
            <w:rPr>
              <w:lang w:val="fr-CH"/>
            </w:rPr>
            <w:t>rev.</w:t>
          </w:r>
          <w:r>
            <w:t>-</w:t>
          </w:r>
        </w:p>
      </w:tc>
    </w:tr>
  </w:tbl>
  <w:p w:rsidR="00BD761C" w:rsidRDefault="00BD761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84" w:rsidRDefault="00C353F5">
    <w:pPr>
      <w:rPr>
        <w:lang w:val="fr-CH"/>
      </w:rPr>
    </w:pPr>
    <w:r>
      <w:rPr>
        <w:noProof/>
        <w:sz w:val="20"/>
        <w:lang w:val="en-US"/>
      </w:rPr>
      <w:pict>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Part A1</w:t>
                      </w:r>
                    </w:p>
                  </w:tc>
                </w:tr>
                <w:tr w:rsidR="00286C84">
                  <w:trPr>
                    <w:cantSplit/>
                    <w:trHeight w:hRule="exact" w:val="1605"/>
                    <w:jc w:val="right"/>
                  </w:trPr>
                  <w:tc>
                    <w:tcPr>
                      <w:tcW w:w="255" w:type="dxa"/>
                      <w:textDirection w:val="tbRl"/>
                    </w:tcPr>
                    <w:p w:rsidR="00286C84" w:rsidRDefault="00C353F5">
                      <w:pPr>
                        <w:pStyle w:val="HeaderRegProc"/>
                        <w:spacing w:before="0"/>
                        <w:ind w:left="0"/>
                        <w:rPr>
                          <w:lang w:val="fr-CH"/>
                        </w:rPr>
                      </w:pPr>
                      <w:r>
                        <w:fldChar w:fldCharType="begin"/>
                      </w:r>
                      <w:r>
                        <w:instrText xml:space="preserve"> DOCPROPERTY "Header1" \* MERGEFORMAT </w:instrText>
                      </w:r>
                      <w:r>
                        <w:fldChar w:fldCharType="separate"/>
                      </w:r>
                      <w:r w:rsidR="00286C84">
                        <w:rPr>
                          <w:lang w:val="fr-FR"/>
                        </w:rPr>
                        <w:t>AP</w:t>
                      </w:r>
                      <w:r>
                        <w:rPr>
                          <w:lang w:val="fr-FR"/>
                        </w:rPr>
                        <w:fldChar w:fldCharType="end"/>
                      </w:r>
                      <w:r w:rsidR="00286C84">
                        <w:fldChar w:fldCharType="begin"/>
                      </w:r>
                      <w:r w:rsidR="00286C84">
                        <w:rPr>
                          <w:lang w:val="fr-FR"/>
                        </w:rPr>
                        <w:instrText>styleref href2</w:instrText>
                      </w:r>
                      <w:r w:rsidR="00286C84">
                        <w:fldChar w:fldCharType="separate"/>
                      </w:r>
                      <w:r>
                        <w:rPr>
                          <w:noProof/>
                        </w:rPr>
                        <w:t>30</w:t>
                      </w:r>
                      <w:r w:rsidR="00286C84">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C353F5">
                        <w:rPr>
                          <w:rStyle w:val="PageNumber"/>
                          <w:noProof/>
                          <w:lang w:val="fr-CH"/>
                        </w:rPr>
                        <w:t>22</w:t>
                      </w:r>
                      <w:r>
                        <w:rPr>
                          <w:rStyle w:val="PageNumber"/>
                        </w:rPr>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rev.-</w:t>
                      </w:r>
                    </w:p>
                  </w:tc>
                </w:tr>
              </w:tbl>
              <w:p w:rsidR="00286C84" w:rsidRDefault="00286C84">
                <w:pPr>
                  <w:rPr>
                    <w:lang w:val="fr-CH"/>
                  </w:rPr>
                </w:pP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84" w:rsidRDefault="00C353F5">
    <w:pPr>
      <w:pStyle w:val="Header"/>
    </w:pPr>
    <w:r>
      <w:rPr>
        <w:noProof/>
        <w:sz w:val="20"/>
        <w:lang w:val="en-US"/>
      </w:rPr>
      <w:pict>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rsidR="00286C84" w:rsidRDefault="00286C84">
                <w:pPr>
                  <w:pStyle w:val="listitem"/>
                  <w:keepLines w:val="0"/>
                  <w:rPr>
                    <w:sz w:val="16"/>
                  </w:rPr>
                </w:pPr>
              </w:p>
              <w:p w:rsidR="00286C84" w:rsidRDefault="00286C84">
                <w:pPr>
                  <w:pStyle w:val="listitem"/>
                  <w:keepLines w:val="0"/>
                  <w:spacing w:before="190"/>
                  <w:rPr>
                    <w:sz w:val="16"/>
                  </w:rPr>
                </w:pPr>
              </w:p>
              <w:p w:rsidR="00286C84" w:rsidRDefault="00286C84">
                <w:pPr>
                  <w:pStyle w:val="listitem"/>
                  <w:keepLines w:val="0"/>
                  <w:spacing w:before="190"/>
                  <w:rPr>
                    <w:sz w:val="16"/>
                  </w:rPr>
                </w:pPr>
              </w:p>
              <w:p w:rsidR="00286C84" w:rsidRDefault="00286C84">
                <w:pPr>
                  <w:pStyle w:val="listitem"/>
                  <w:keepLines w:val="0"/>
                  <w:spacing w:before="190"/>
                  <w:rPr>
                    <w:sz w:val="16"/>
                  </w:rPr>
                </w:pPr>
              </w:p>
              <w:p w:rsidR="00286C84" w:rsidRDefault="00286C84">
                <w:pPr>
                  <w:pStyle w:val="listitem"/>
                  <w:keepLines w:val="0"/>
                  <w:spacing w:before="190"/>
                  <w:rPr>
                    <w:sz w:val="16"/>
                  </w:rPr>
                </w:pPr>
              </w:p>
              <w:p w:rsidR="00286C84" w:rsidRDefault="00286C84">
                <w:pPr>
                  <w:pStyle w:val="listitem"/>
                  <w:keepLines w:val="0"/>
                  <w:rPr>
                    <w:sz w:val="16"/>
                  </w:rPr>
                </w:pPr>
              </w:p>
              <w:p w:rsidR="00286C84" w:rsidRDefault="00286C8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Part A1</w:t>
                      </w:r>
                    </w:p>
                  </w:tc>
                </w:tr>
                <w:tr w:rsidR="00286C84">
                  <w:trPr>
                    <w:cantSplit/>
                    <w:trHeight w:hRule="exact" w:val="1605"/>
                    <w:jc w:val="right"/>
                  </w:trPr>
                  <w:tc>
                    <w:tcPr>
                      <w:tcW w:w="255" w:type="dxa"/>
                      <w:textDirection w:val="tbRl"/>
                    </w:tcPr>
                    <w:p w:rsidR="00286C84" w:rsidRDefault="00C353F5">
                      <w:pPr>
                        <w:pStyle w:val="HeaderRegProc"/>
                        <w:spacing w:before="0"/>
                        <w:ind w:left="0"/>
                        <w:rPr>
                          <w:lang w:val="fr-CH"/>
                        </w:rPr>
                      </w:pPr>
                      <w:r>
                        <w:fldChar w:fldCharType="begin"/>
                      </w:r>
                      <w:r>
                        <w:instrText xml:space="preserve"> DOCPROPERTY "Header1" \* MERGEFORMAT </w:instrText>
                      </w:r>
                      <w:r>
                        <w:fldChar w:fldCharType="separate"/>
                      </w:r>
                      <w:r w:rsidR="00286C84">
                        <w:rPr>
                          <w:lang w:val="fr-FR"/>
                        </w:rPr>
                        <w:t>AP</w:t>
                      </w:r>
                      <w:r>
                        <w:rPr>
                          <w:lang w:val="fr-FR"/>
                        </w:rPr>
                        <w:fldChar w:fldCharType="end"/>
                      </w:r>
                      <w:r w:rsidR="00286C84">
                        <w:fldChar w:fldCharType="begin"/>
                      </w:r>
                      <w:r w:rsidR="00286C84">
                        <w:rPr>
                          <w:lang w:val="fr-FR"/>
                        </w:rPr>
                        <w:instrText>styleref href2</w:instrText>
                      </w:r>
                      <w:r w:rsidR="00286C84">
                        <w:fldChar w:fldCharType="separate"/>
                      </w:r>
                      <w:r>
                        <w:rPr>
                          <w:noProof/>
                        </w:rPr>
                        <w:t>30</w:t>
                      </w:r>
                      <w:r w:rsidR="00286C84">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C353F5">
                        <w:rPr>
                          <w:rStyle w:val="PageNumber"/>
                          <w:noProof/>
                          <w:lang w:val="fr-CH"/>
                        </w:rPr>
                        <w:t>21</w:t>
                      </w:r>
                      <w:r>
                        <w:rPr>
                          <w:rStyle w:val="PageNumber"/>
                        </w:rPr>
                        <w:fldChar w:fldCharType="end"/>
                      </w:r>
                    </w:p>
                  </w:tc>
                </w:tr>
                <w:tr w:rsidR="00286C84">
                  <w:trPr>
                    <w:cantSplit/>
                    <w:trHeight w:hRule="exact" w:val="1605"/>
                    <w:jc w:val="right"/>
                  </w:trPr>
                  <w:tc>
                    <w:tcPr>
                      <w:tcW w:w="255" w:type="dxa"/>
                      <w:textDirection w:val="tbRl"/>
                    </w:tcPr>
                    <w:p w:rsidR="00286C84" w:rsidRDefault="00286C84">
                      <w:pPr>
                        <w:pStyle w:val="HeaderRegProc"/>
                        <w:spacing w:before="0"/>
                        <w:ind w:left="0"/>
                        <w:rPr>
                          <w:lang w:val="fr-CH"/>
                        </w:rPr>
                      </w:pPr>
                      <w:r>
                        <w:rPr>
                          <w:lang w:val="fr-CH"/>
                        </w:rPr>
                        <w:t>rev.-</w:t>
                      </w:r>
                    </w:p>
                  </w:tc>
                </w:tr>
              </w:tbl>
              <w:p w:rsidR="00286C84" w:rsidRDefault="00286C84">
                <w:pPr>
                  <w:pStyle w:val="FootnoteText"/>
                  <w:tabs>
                    <w:tab w:val="clear" w:pos="284"/>
                    <w:tab w:val="clear" w:pos="1418"/>
                    <w:tab w:val="left" w:pos="1134"/>
                    <w:tab w:val="left" w:pos="1871"/>
                    <w:tab w:val="left" w:pos="2268"/>
                  </w:tabs>
                  <w:spacing w:before="0"/>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2A21D7"/>
    <w:rsid w:val="0003014F"/>
    <w:rsid w:val="00170221"/>
    <w:rsid w:val="0018470B"/>
    <w:rsid w:val="00286C84"/>
    <w:rsid w:val="002A21D7"/>
    <w:rsid w:val="003B0AED"/>
    <w:rsid w:val="004D4EDB"/>
    <w:rsid w:val="005E6BD7"/>
    <w:rsid w:val="005F1450"/>
    <w:rsid w:val="00626A4A"/>
    <w:rsid w:val="007A7E6F"/>
    <w:rsid w:val="00922E99"/>
    <w:rsid w:val="009B3F3E"/>
    <w:rsid w:val="009D79BB"/>
    <w:rsid w:val="009F423A"/>
    <w:rsid w:val="00A803A7"/>
    <w:rsid w:val="00AE6FF0"/>
    <w:rsid w:val="00BD761C"/>
    <w:rsid w:val="00BE6718"/>
    <w:rsid w:val="00C21B9F"/>
    <w:rsid w:val="00C353F5"/>
    <w:rsid w:val="00C35981"/>
    <w:rsid w:val="00D67CBF"/>
    <w:rsid w:val="00DA6EC9"/>
    <w:rsid w:val="00DF603C"/>
    <w:rsid w:val="00F20A0E"/>
    <w:rsid w:val="00F64A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83E03-D49C-48E3-A901-AC4B33C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50</TotalTime>
  <Pages>23</Pages>
  <Words>6706</Words>
  <Characters>34088</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10.02.2009/DD_x000d_
Coee.:  24.02.2009/DD  (dict. ok)_x000d_
</dc:description>
  <cp:lastModifiedBy>Al-Yammouni, Hala</cp:lastModifiedBy>
  <cp:revision>13</cp:revision>
  <cp:lastPrinted>2009-02-24T10:06:00Z</cp:lastPrinted>
  <dcterms:created xsi:type="dcterms:W3CDTF">2012-08-08T06:51:00Z</dcterms:created>
  <dcterms:modified xsi:type="dcterms:W3CDTF">2012-11-05T16:36:00Z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