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267" w:rsidRPr="006D5B79" w:rsidRDefault="00016267" w:rsidP="006D5B79">
      <w:pPr>
        <w:pStyle w:val="Heading1"/>
        <w:spacing w:before="300"/>
        <w:jc w:val="center"/>
      </w:pPr>
      <w:r w:rsidRPr="006D5B79">
        <w:t>Rules concerning</w:t>
      </w:r>
    </w:p>
    <w:p w:rsidR="00016267" w:rsidRPr="006D5B79" w:rsidRDefault="00016267">
      <w:pPr>
        <w:pStyle w:val="Heading2"/>
        <w:jc w:val="center"/>
      </w:pPr>
      <w:r w:rsidRPr="006D5B79">
        <w:t xml:space="preserve">APPENDIX  </w:t>
      </w:r>
      <w:r w:rsidRPr="006D5B79">
        <w:rPr>
          <w:rStyle w:val="href2"/>
        </w:rPr>
        <w:t>7</w:t>
      </w:r>
      <w:r w:rsidRPr="006D5B79">
        <w:t xml:space="preserve"> to the RR</w:t>
      </w:r>
    </w:p>
    <w:p w:rsidR="00016267" w:rsidRPr="006D5B79" w:rsidRDefault="00016267" w:rsidP="006D5B79">
      <w:pPr>
        <w:pStyle w:val="Normalaftertitle"/>
        <w:spacing w:before="600"/>
      </w:pPr>
      <w:r w:rsidRPr="006D5B79">
        <w:rPr>
          <w:rStyle w:val="href"/>
        </w:rPr>
        <w:t>1</w:t>
      </w:r>
      <w:r w:rsidRPr="006D5B79">
        <w:tab/>
        <w:t>Cases have arisen in practice where the coordination contour around an earth station exceeds several hundreds of kilometres and overlaps only a very small part of the territory of an administration (less than a few tens of kilometres). Considering that several conservative assumptions are used in calculating the coordination distance, the Board decided that when the overlapping is less than 5% of the coordination distance, no coordination is required.</w:t>
      </w:r>
    </w:p>
    <w:p w:rsidR="00016267" w:rsidRPr="006D5B79" w:rsidRDefault="00016267">
      <w:r w:rsidRPr="006D5B79">
        <w:t>2</w:t>
      </w:r>
      <w:r w:rsidRPr="006D5B79">
        <w:tab/>
        <w:t xml:space="preserve">The examination with respect to the application of Nos. </w:t>
      </w:r>
      <w:r w:rsidRPr="006D5B79">
        <w:rPr>
          <w:rStyle w:val="Artref"/>
          <w:b/>
          <w:bCs/>
          <w:color w:val="000000"/>
        </w:rPr>
        <w:t>9.15</w:t>
      </w:r>
      <w:r w:rsidRPr="006D5B79">
        <w:t xml:space="preserve">, </w:t>
      </w:r>
      <w:r w:rsidRPr="006D5B79">
        <w:rPr>
          <w:rStyle w:val="Artref"/>
          <w:b/>
          <w:bCs/>
          <w:color w:val="000000"/>
        </w:rPr>
        <w:t>9.17</w:t>
      </w:r>
      <w:r w:rsidRPr="006D5B79">
        <w:t xml:space="preserve"> and </w:t>
      </w:r>
      <w:r w:rsidRPr="006D5B79">
        <w:rPr>
          <w:rStyle w:val="Artref"/>
          <w:b/>
          <w:bCs/>
          <w:color w:val="000000"/>
        </w:rPr>
        <w:t>9.17A</w:t>
      </w:r>
      <w:r w:rsidRPr="006D5B79">
        <w:t xml:space="preserve"> involves the application of the calculation method of Appendix </w:t>
      </w:r>
      <w:r w:rsidRPr="006D5B79">
        <w:rPr>
          <w:rStyle w:val="Appref"/>
          <w:b/>
          <w:bCs/>
          <w:color w:val="000000"/>
        </w:rPr>
        <w:t>7</w:t>
      </w:r>
      <w:r w:rsidRPr="006D5B79">
        <w:rPr>
          <w:bCs/>
        </w:rPr>
        <w:t>,</w:t>
      </w:r>
      <w:r w:rsidRPr="006D5B79">
        <w:rPr>
          <w:b/>
        </w:rPr>
        <w:t xml:space="preserve"> </w:t>
      </w:r>
      <w:r w:rsidRPr="006D5B79">
        <w:t>using the system parameter values specified in its Tables 7 to 9. In view of the fact that these Tables contain multiple sets of parameters in several places (e.g. for analogue and digital modulation), which result in different coordination contours, and in order to ensure completeness in the relevant checks of the conformity with the coordination requirements, the Board decided to instruct the Bureau to use the set of parameters which produces the largest coordination area in a given frequency band whenever multiple sets of parameters are indicated in these Tables. In addition, as the system parameter tables have incomplete information in some of the columns, the Board instructed the Bureau to apply the following approach in this regard:</w:t>
      </w:r>
    </w:p>
    <w:p w:rsidR="00016267" w:rsidRPr="006D5B79" w:rsidRDefault="00016267">
      <w:pPr>
        <w:pStyle w:val="enumlev1"/>
      </w:pPr>
      <w:r w:rsidRPr="006D5B79">
        <w:t>–</w:t>
      </w:r>
      <w:r w:rsidRPr="006D5B79">
        <w:tab/>
        <w:t>to use the parameters in Table 7 for determining the coordination area for a transmitting earth station in a service not mentioned in that Table, but allocated with equal rights, based on the fact that all parameters related to the earth station needed for the calculation can be found in the notice form;</w:t>
      </w:r>
    </w:p>
    <w:p w:rsidR="00016267" w:rsidRPr="006D5B79" w:rsidRDefault="00016267" w:rsidP="006D5B79">
      <w:pPr>
        <w:pStyle w:val="enumlev1"/>
      </w:pPr>
      <w:r w:rsidRPr="006D5B79">
        <w:t>–</w:t>
      </w:r>
      <w:r w:rsidRPr="006D5B79">
        <w:tab/>
        <w:t>to use the parameters in Table 8 for determining the coordination area for a receiving earth station in respect to a terrestrial service not mentioned in that Table, but allocated with equal rights, under the assumption that the concerned terrestrial service has the same potential of interference as the other terrestrial services listed in the Table (see also §</w:t>
      </w:r>
      <w:r w:rsidR="006D5B79" w:rsidRPr="006D5B79">
        <w:t> </w:t>
      </w:r>
      <w:r w:rsidRPr="006D5B79">
        <w:t>4 of Rules of Procedure under No. </w:t>
      </w:r>
      <w:r w:rsidRPr="006D5B79">
        <w:rPr>
          <w:rStyle w:val="Artref"/>
          <w:b/>
          <w:bCs/>
          <w:color w:val="000000"/>
        </w:rPr>
        <w:t>11.17</w:t>
      </w:r>
      <w:r w:rsidRPr="006D5B79">
        <w:t>).</w:t>
      </w:r>
    </w:p>
    <w:p w:rsidR="00016267" w:rsidRPr="006D5B79" w:rsidRDefault="00016267" w:rsidP="006D5B79"/>
    <w:p w:rsidR="00016267" w:rsidRPr="006D5B79" w:rsidRDefault="00016267" w:rsidP="006D5B79">
      <w:pPr>
        <w:jc w:val="center"/>
      </w:pPr>
      <w:r w:rsidRPr="006D5B79">
        <w:t>____________________</w:t>
      </w:r>
    </w:p>
    <w:p w:rsidR="00016267" w:rsidRPr="006D5B79" w:rsidRDefault="00016267" w:rsidP="006D5B79"/>
    <w:p w:rsidR="00016267" w:rsidRPr="006D5B79" w:rsidRDefault="00016267" w:rsidP="006D5B79"/>
    <w:p w:rsidR="00016267" w:rsidRPr="006D5B79" w:rsidRDefault="00016267" w:rsidP="006D5B79"/>
    <w:p w:rsidR="00016267" w:rsidRPr="006D5B79" w:rsidRDefault="00016267" w:rsidP="006D5B79"/>
    <w:p w:rsidR="006D5B79" w:rsidRPr="006D5B79" w:rsidRDefault="006D5B79" w:rsidP="006D5B79"/>
    <w:p w:rsidR="00016267" w:rsidRPr="006D5B79" w:rsidRDefault="00016267" w:rsidP="006D5B79">
      <w:pPr>
        <w:sectPr w:rsidR="00016267" w:rsidRPr="006D5B79">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016267" w:rsidRPr="006D5B79" w:rsidRDefault="00016267" w:rsidP="006D5B79"/>
    <w:sectPr w:rsidR="00016267" w:rsidRPr="006D5B79" w:rsidSect="006D5B79">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2B2" w:rsidRDefault="007E12B2">
      <w:r>
        <w:separator/>
      </w:r>
    </w:p>
  </w:endnote>
  <w:endnote w:type="continuationSeparator" w:id="0">
    <w:p w:rsidR="007E12B2" w:rsidRDefault="007E12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267" w:rsidRDefault="000162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2B2" w:rsidRDefault="007E12B2">
      <w:r>
        <w:rPr>
          <w:b/>
        </w:rPr>
        <w:t>_______________</w:t>
      </w:r>
    </w:p>
  </w:footnote>
  <w:footnote w:type="continuationSeparator" w:id="0">
    <w:p w:rsidR="007E12B2" w:rsidRDefault="007E12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016267">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016267" w:rsidRDefault="00016267">
          <w:pPr>
            <w:pStyle w:val="HeaderRegProc"/>
          </w:pPr>
          <w:r>
            <w:t xml:space="preserve">Part </w:t>
          </w:r>
          <w:fldSimple w:instr="styleref href">
            <w:r w:rsidR="006D5B79">
              <w:rPr>
                <w:noProof/>
              </w:rPr>
              <w:t>1</w:t>
            </w:r>
          </w:fldSimple>
        </w:p>
      </w:tc>
      <w:tc>
        <w:tcPr>
          <w:tcW w:w="1701" w:type="dxa"/>
          <w:tcBorders>
            <w:top w:val="single" w:sz="6" w:space="0" w:color="auto"/>
            <w:left w:val="single" w:sz="6" w:space="0" w:color="auto"/>
            <w:bottom w:val="single" w:sz="6" w:space="0" w:color="auto"/>
            <w:right w:val="single" w:sz="6" w:space="0" w:color="auto"/>
          </w:tcBorders>
        </w:tcPr>
        <w:p w:rsidR="00016267" w:rsidRDefault="00016267">
          <w:pPr>
            <w:pStyle w:val="HeaderRegProc"/>
            <w:rPr>
              <w:lang w:val="fr-FR"/>
            </w:rPr>
          </w:pPr>
          <w:fldSimple w:instr=" DOCPROPERTY &quot;Header1&quot; \* MERGEFORMAT ">
            <w:r w:rsidR="006D5B79">
              <w:t>AP</w:t>
            </w:r>
          </w:fldSimple>
          <w:fldSimple w:instr="styleref href2">
            <w:r w:rsidR="006D5B79">
              <w:rPr>
                <w:noProof/>
              </w:rPr>
              <w:t>7</w:t>
            </w:r>
          </w:fldSimple>
        </w:p>
      </w:tc>
      <w:tc>
        <w:tcPr>
          <w:tcW w:w="1701" w:type="dxa"/>
          <w:tcBorders>
            <w:top w:val="single" w:sz="6" w:space="0" w:color="auto"/>
            <w:left w:val="single" w:sz="6" w:space="0" w:color="auto"/>
            <w:bottom w:val="single" w:sz="6" w:space="0" w:color="auto"/>
            <w:right w:val="single" w:sz="6" w:space="0" w:color="auto"/>
          </w:tcBorders>
        </w:tcPr>
        <w:p w:rsidR="00016267" w:rsidRDefault="0001626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16267" w:rsidRDefault="00016267">
          <w:pPr>
            <w:pStyle w:val="HeaderRegProc"/>
            <w:rPr>
              <w:lang w:val="fr-CH"/>
            </w:rPr>
          </w:pPr>
          <w:r>
            <w:rPr>
              <w:lang w:val="fr-CH"/>
            </w:rPr>
            <w:t>rev.</w:t>
          </w:r>
          <w:fldSimple w:instr=" DOCPROPERTY &quot;Header10&quot; \* MERGEFORMAT ">
            <w:r w:rsidR="006D5B79">
              <w:rPr>
                <w:lang w:val="fr-CH"/>
              </w:rPr>
              <w:t>-</w:t>
            </w:r>
          </w:fldSimple>
        </w:p>
      </w:tc>
    </w:tr>
  </w:tbl>
  <w:p w:rsidR="00016267" w:rsidRDefault="00016267">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016267">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016267" w:rsidRDefault="00016267">
          <w:pPr>
            <w:pStyle w:val="HeaderRegProc"/>
          </w:pPr>
          <w:r>
            <w:t>Part A</w:t>
          </w:r>
          <w:fldSimple w:instr="styleref href">
            <w:r w:rsidR="00AC2637">
              <w:rPr>
                <w:noProof/>
              </w:rPr>
              <w:t>1</w:t>
            </w:r>
          </w:fldSimple>
        </w:p>
      </w:tc>
      <w:tc>
        <w:tcPr>
          <w:tcW w:w="1701" w:type="dxa"/>
          <w:tcBorders>
            <w:top w:val="single" w:sz="6" w:space="0" w:color="auto"/>
            <w:left w:val="single" w:sz="6" w:space="0" w:color="auto"/>
            <w:bottom w:val="single" w:sz="6" w:space="0" w:color="auto"/>
            <w:right w:val="single" w:sz="6" w:space="0" w:color="auto"/>
          </w:tcBorders>
        </w:tcPr>
        <w:p w:rsidR="00016267" w:rsidRDefault="00016267">
          <w:pPr>
            <w:pStyle w:val="HeaderRegProc"/>
            <w:rPr>
              <w:lang w:val="fr-FR"/>
            </w:rPr>
          </w:pPr>
          <w:fldSimple w:instr=" DOCPROPERTY &quot;Header1&quot; \* MERGEFORMAT ">
            <w:r w:rsidR="006D5B79">
              <w:t>AP</w:t>
            </w:r>
          </w:fldSimple>
          <w:fldSimple w:instr="styleref href2">
            <w:r w:rsidR="00AC2637">
              <w:rPr>
                <w:noProof/>
              </w:rPr>
              <w:t>7</w:t>
            </w:r>
          </w:fldSimple>
        </w:p>
      </w:tc>
      <w:tc>
        <w:tcPr>
          <w:tcW w:w="1701" w:type="dxa"/>
          <w:tcBorders>
            <w:top w:val="single" w:sz="6" w:space="0" w:color="auto"/>
            <w:left w:val="single" w:sz="6" w:space="0" w:color="auto"/>
            <w:bottom w:val="single" w:sz="6" w:space="0" w:color="auto"/>
            <w:right w:val="single" w:sz="6" w:space="0" w:color="auto"/>
          </w:tcBorders>
        </w:tcPr>
        <w:p w:rsidR="00016267" w:rsidRDefault="0001626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C263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16267" w:rsidRDefault="00016267">
          <w:pPr>
            <w:pStyle w:val="HeaderRegProc"/>
            <w:rPr>
              <w:lang w:val="fr-CH"/>
            </w:rPr>
          </w:pPr>
          <w:r>
            <w:rPr>
              <w:lang w:val="fr-CH"/>
            </w:rPr>
            <w:t>rev.</w:t>
          </w:r>
          <w:fldSimple w:instr=" DOCPROPERTY &quot;Header10&quot; \* MERGEFORMAT ">
            <w:r w:rsidR="006D5B79">
              <w:rPr>
                <w:lang w:val="fr-CH"/>
              </w:rPr>
              <w:t>-</w:t>
            </w:r>
          </w:fldSimple>
        </w:p>
      </w:tc>
    </w:tr>
  </w:tbl>
  <w:p w:rsidR="00016267" w:rsidRDefault="0001626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267" w:rsidRDefault="0001626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016267"/>
    <w:rsid w:val="00016267"/>
    <w:rsid w:val="006D5B79"/>
    <w:rsid w:val="007E12B2"/>
    <w:rsid w:val="00AC263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Règles de procédures  Edition 2009</vt:lpstr>
    </vt:vector>
  </TitlesOfParts>
  <Manager>CP--107223/DD</Manager>
  <Company>ITU</Company>
  <LinksUpToDate>false</LinksUpToDate>
  <CharactersWithSpaces>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2009</dc:title>
  <dc:subject>AP7</dc:subject>
  <dc:creator>Composition des Publications</dc:creator>
  <cp:keywords>FOLIOS:  1  -  2(bl)</cp:keywords>
  <dc:description>Edition 2009:  10.02.2009/SdN_x000d_
Corr.:  24.02.2009/DD  (dict. ok)</dc:description>
  <cp:lastModifiedBy>simon denicola</cp:lastModifiedBy>
  <cp:revision>2</cp:revision>
  <cp:lastPrinted>2009-02-24T08:56:00Z</cp:lastPrinted>
  <dcterms:created xsi:type="dcterms:W3CDTF">2012-08-08T06:50:00Z</dcterms:created>
  <dcterms:modified xsi:type="dcterms:W3CDTF">2012-08-08T06:50:00Z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