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FDD" w:rsidRPr="00AA4D73" w:rsidRDefault="00B30FDD">
      <w:pPr>
        <w:pStyle w:val="Heading1"/>
        <w:spacing w:before="300"/>
        <w:jc w:val="center"/>
      </w:pPr>
      <w:r w:rsidRPr="00AA4D73">
        <w:t>Rules concerning</w:t>
      </w:r>
    </w:p>
    <w:p w:rsidR="00B30FDD" w:rsidRPr="00AA4D73" w:rsidRDefault="00B30FDD">
      <w:pPr>
        <w:pStyle w:val="Heading2"/>
        <w:jc w:val="center"/>
      </w:pPr>
      <w:r w:rsidRPr="00AA4D73">
        <w:t xml:space="preserve">ARTICLE </w:t>
      </w:r>
      <w:r w:rsidR="00AA4D73" w:rsidRPr="00AA4D73">
        <w:t xml:space="preserve"> </w:t>
      </w:r>
      <w:r w:rsidRPr="00AA4D73">
        <w:t>4 of the RR</w:t>
      </w:r>
    </w:p>
    <w:p w:rsidR="00B30FDD" w:rsidRPr="00AA4D73" w:rsidRDefault="00B30FDD" w:rsidP="00AA4D73">
      <w:pPr>
        <w:pStyle w:val="Heading8"/>
      </w:pPr>
      <w:r w:rsidRPr="00AA4D73">
        <w:rPr>
          <w:rStyle w:val="href2"/>
        </w:rPr>
        <w:t>4</w:t>
      </w:r>
      <w:r w:rsidRPr="00AA4D73">
        <w:t>.4</w:t>
      </w:r>
    </w:p>
    <w:p w:rsidR="00B30FDD" w:rsidRPr="00AA4D73" w:rsidRDefault="00B30FDD" w:rsidP="00AA4D73">
      <w:pPr>
        <w:pStyle w:val="Heading1"/>
      </w:pPr>
      <w:r w:rsidRPr="00AA4D73">
        <w:t>1</w:t>
      </w:r>
      <w:r w:rsidRPr="00AA4D73">
        <w:tab/>
        <w:t>Use of a frequency under number 4.4</w:t>
      </w:r>
    </w:p>
    <w:p w:rsidR="00B30FDD" w:rsidRPr="00AA4D73" w:rsidRDefault="00B30FDD">
      <w:r w:rsidRPr="00AA4D73">
        <w:t>1.1</w:t>
      </w:r>
      <w:r w:rsidRPr="00AA4D73">
        <w:tab/>
        <w:t>This provision allows an administration to use any part of the spectrum in derogation of the Radio Regulations provided that the station using that spectrum part shall not cause harmful interference to, or shall not claim protection from harmful interference caused by, stations of other services operating in accordance with the provisions of the Constitution, Convention and Radio Regulations.</w:t>
      </w:r>
    </w:p>
    <w:p w:rsidR="00B30FDD" w:rsidRPr="00AA4D73" w:rsidRDefault="00B30FDD">
      <w:r w:rsidRPr="00AA4D73">
        <w:t>1.2</w:t>
      </w:r>
      <w:r w:rsidRPr="00AA4D73">
        <w:tab/>
        <w:t>It can be seen from Nos. </w:t>
      </w:r>
      <w:r w:rsidRPr="00AA4D73">
        <w:rPr>
          <w:rStyle w:val="Artref"/>
          <w:b/>
          <w:bCs/>
          <w:color w:val="000000"/>
        </w:rPr>
        <w:t>8.5</w:t>
      </w:r>
      <w:r w:rsidRPr="00AA4D73">
        <w:t xml:space="preserve"> and </w:t>
      </w:r>
      <w:r w:rsidRPr="00AA4D73">
        <w:rPr>
          <w:rStyle w:val="Artref"/>
          <w:b/>
          <w:bCs/>
          <w:color w:val="000000"/>
        </w:rPr>
        <w:t>11.36</w:t>
      </w:r>
      <w:r w:rsidRPr="00AA4D73">
        <w:t xml:space="preserve"> that the recording of an assignment with a reference to No. </w:t>
      </w:r>
      <w:r w:rsidRPr="00AA4D73">
        <w:rPr>
          <w:rStyle w:val="Artref"/>
          <w:b/>
          <w:bCs/>
          <w:color w:val="000000"/>
        </w:rPr>
        <w:t>4.4</w:t>
      </w:r>
      <w:r w:rsidRPr="00AA4D73">
        <w:t xml:space="preserve"> includes the commitment by the notifying administration to eliminate any harmful interference which is actually caused to other uses operated in accordance with the Radio Regulations as soon as it is reported. This limitation on the use of an assignment notified with a reference to No. </w:t>
      </w:r>
      <w:r w:rsidRPr="00AA4D73">
        <w:rPr>
          <w:rStyle w:val="Artref"/>
          <w:b/>
          <w:bCs/>
          <w:color w:val="000000"/>
        </w:rPr>
        <w:t>4.4</w:t>
      </w:r>
      <w:r w:rsidRPr="00AA4D73">
        <w:t xml:space="preserve"> is valid only when both categories of assignments detailed in No. </w:t>
      </w:r>
      <w:r w:rsidRPr="00AA4D73">
        <w:rPr>
          <w:rStyle w:val="Artref"/>
          <w:b/>
          <w:bCs/>
          <w:color w:val="000000"/>
        </w:rPr>
        <w:t>8.5</w:t>
      </w:r>
      <w:r w:rsidRPr="00AA4D73">
        <w:t xml:space="preserve"> are in use.</w:t>
      </w:r>
    </w:p>
    <w:p w:rsidR="00B30FDD" w:rsidRPr="00AA4D73" w:rsidRDefault="00B30FDD" w:rsidP="006C1D08">
      <w:r w:rsidRPr="00AA4D73">
        <w:t>1.3</w:t>
      </w:r>
      <w:r w:rsidRPr="00AA4D73">
        <w:tab/>
        <w:t>Similarly and taking account of No. </w:t>
      </w:r>
      <w:r w:rsidRPr="00AA4D73">
        <w:rPr>
          <w:rStyle w:val="Artref"/>
          <w:b/>
          <w:bCs/>
          <w:color w:val="000000"/>
        </w:rPr>
        <w:t>4.4</w:t>
      </w:r>
      <w:r w:rsidRPr="00AA4D73">
        <w:t xml:space="preserve"> as well as of Nos. </w:t>
      </w:r>
      <w:r w:rsidRPr="00AA4D73">
        <w:rPr>
          <w:rStyle w:val="Artref"/>
          <w:b/>
          <w:bCs/>
          <w:color w:val="000000"/>
        </w:rPr>
        <w:t>5.43</w:t>
      </w:r>
      <w:r w:rsidRPr="00AA4D73">
        <w:rPr>
          <w:b/>
          <w:bCs/>
        </w:rPr>
        <w:t xml:space="preserve"> </w:t>
      </w:r>
      <w:r w:rsidRPr="00AA4D73">
        <w:t xml:space="preserve">and </w:t>
      </w:r>
      <w:r w:rsidRPr="00AA4D73">
        <w:rPr>
          <w:rStyle w:val="Artref"/>
          <w:b/>
          <w:bCs/>
          <w:color w:val="000000"/>
        </w:rPr>
        <w:t>5.43A</w:t>
      </w:r>
      <w:r w:rsidRPr="00AA4D73">
        <w:t>, receiving frequencies not in conformity with the Radio Regulations are recorded with a symbol which includes the indication that the notifying administration cannot claim protection from any harmful interference that may be caused by frequency assignments operated in accordance with the Radio Regulations</w:t>
      </w:r>
      <w:r w:rsidR="00894B0B" w:rsidRPr="00AA4D73">
        <w:t>.</w:t>
      </w:r>
    </w:p>
    <w:p w:rsidR="00B30FDD" w:rsidRPr="00AA4D73" w:rsidRDefault="00B30FDD">
      <w:pPr>
        <w:pStyle w:val="Heading1"/>
      </w:pPr>
      <w:r w:rsidRPr="00AA4D73">
        <w:t>2</w:t>
      </w:r>
      <w:r w:rsidRPr="00AA4D73">
        <w:tab/>
        <w:t>Emissions in bands where uses other than those authorized are prohibited</w:t>
      </w:r>
    </w:p>
    <w:p w:rsidR="00B30FDD" w:rsidRPr="00AA4D73" w:rsidRDefault="00B30FDD">
      <w:r w:rsidRPr="00AA4D73">
        <w:t>2.1</w:t>
      </w:r>
      <w:r w:rsidRPr="00AA4D73">
        <w:tab/>
        <w:t>The provisions listed below relating either to frequencies or bands to be used for safety and distress communications or allocated for passive usage prohibit any other use:</w:t>
      </w:r>
    </w:p>
    <w:p w:rsidR="00B30FDD" w:rsidRPr="00AA4D73" w:rsidRDefault="00B30FDD">
      <w:pPr>
        <w:pStyle w:val="enumlev1"/>
      </w:pPr>
      <w:r w:rsidRPr="00AA4D73">
        <w:rPr>
          <w:i/>
        </w:rPr>
        <w:t>a)</w:t>
      </w:r>
      <w:r w:rsidRPr="00AA4D73">
        <w:tab/>
      </w:r>
      <w:r w:rsidRPr="00AA4D73">
        <w:rPr>
          <w:i/>
        </w:rPr>
        <w:t>Provisions relating to safety and distress communications:</w:t>
      </w:r>
    </w:p>
    <w:p w:rsidR="00B30FDD" w:rsidRPr="00AA4D73" w:rsidRDefault="000D3C89" w:rsidP="006C1D08">
      <w:pPr>
        <w:pStyle w:val="enumlev1"/>
        <w:rPr>
          <w:i/>
        </w:rPr>
      </w:pPr>
      <w:r w:rsidRPr="00AA4D73">
        <w:tab/>
      </w:r>
      <w:r w:rsidR="00B30FDD" w:rsidRPr="00AA4D73">
        <w:t xml:space="preserve">Appendix </w:t>
      </w:r>
      <w:r w:rsidR="00B30FDD" w:rsidRPr="00AA4D73">
        <w:rPr>
          <w:rStyle w:val="Appref"/>
          <w:b/>
          <w:bCs/>
          <w:color w:val="000000"/>
        </w:rPr>
        <w:t>15</w:t>
      </w:r>
      <w:r w:rsidR="00B30FDD" w:rsidRPr="00AA4D73">
        <w:t xml:space="preserve"> (GMDSS), Tables </w:t>
      </w:r>
      <w:r w:rsidR="00B30FDD" w:rsidRPr="00AA4D73">
        <w:rPr>
          <w:b/>
          <w:bCs/>
        </w:rPr>
        <w:t>15-1</w:t>
      </w:r>
      <w:r w:rsidR="00B30FDD" w:rsidRPr="00AA4D73">
        <w:t xml:space="preserve"> and </w:t>
      </w:r>
      <w:r w:rsidR="00B30FDD" w:rsidRPr="00AA4D73">
        <w:rPr>
          <w:b/>
          <w:bCs/>
        </w:rPr>
        <w:t>15-2</w:t>
      </w:r>
      <w:r w:rsidRPr="00AA4D73">
        <w:t>:</w:t>
      </w:r>
      <w:r w:rsidR="00B30FDD" w:rsidRPr="00AA4D73">
        <w:t xml:space="preserve"> frequencies marked with an asterisk (*) to indicate that any emission causing harmful interference to distress and safety communications is prohibited.</w:t>
      </w:r>
    </w:p>
    <w:p w:rsidR="00B30FDD" w:rsidRPr="00AA4D73" w:rsidRDefault="00B30FDD">
      <w:pPr>
        <w:pStyle w:val="enumlev1"/>
      </w:pPr>
      <w:r w:rsidRPr="00AA4D73">
        <w:rPr>
          <w:i/>
        </w:rPr>
        <w:t>b)</w:t>
      </w:r>
      <w:r w:rsidRPr="00AA4D73">
        <w:tab/>
      </w:r>
      <w:r w:rsidRPr="00AA4D73">
        <w:rPr>
          <w:i/>
        </w:rPr>
        <w:t>Provisions relating to passive usage:</w:t>
      </w:r>
    </w:p>
    <w:p w:rsidR="00B30FDD" w:rsidRPr="00AA4D73" w:rsidRDefault="00B30FDD" w:rsidP="006C1D08">
      <w:pPr>
        <w:pStyle w:val="enumlev2"/>
      </w:pPr>
      <w:r w:rsidRPr="00AA4D73">
        <w:t xml:space="preserve">No. </w:t>
      </w:r>
      <w:r w:rsidRPr="00AA4D73">
        <w:rPr>
          <w:rStyle w:val="Artref"/>
          <w:b/>
          <w:bCs/>
          <w:color w:val="000000"/>
        </w:rPr>
        <w:t>5.340</w:t>
      </w:r>
      <w:r w:rsidRPr="00AA4D73">
        <w:t>.</w:t>
      </w:r>
    </w:p>
    <w:p w:rsidR="00B30FDD" w:rsidRPr="00AA4D73" w:rsidRDefault="00B30FDD" w:rsidP="00AA4D73">
      <w:r w:rsidRPr="00AA4D73">
        <w:br w:type="page"/>
      </w:r>
      <w:r w:rsidRPr="00AA4D73">
        <w:lastRenderedPageBreak/>
        <w:t>2.2</w:t>
      </w:r>
      <w:r w:rsidRPr="00AA4D73">
        <w:tab/>
        <w:t xml:space="preserve">The Board considers that, in view of this prohibition, a notification concerning any other use than those authorized in the band or on the frequencies concerned cannot be accepted even with a reference to No. </w:t>
      </w:r>
      <w:r w:rsidRPr="00AA4D73">
        <w:rPr>
          <w:rStyle w:val="Artref"/>
          <w:b/>
          <w:bCs/>
          <w:color w:val="000000"/>
        </w:rPr>
        <w:t>4.4</w:t>
      </w:r>
      <w:r w:rsidRPr="00AA4D73">
        <w:t>; furthermore the administration submitting such a notice is urged to abstain from such usage.</w:t>
      </w:r>
    </w:p>
    <w:p w:rsidR="00B30FDD" w:rsidRPr="00AA4D73" w:rsidRDefault="00B30FDD">
      <w:pPr>
        <w:pStyle w:val="Heading8"/>
      </w:pPr>
      <w:r w:rsidRPr="00AA4D73">
        <w:t>4.5</w:t>
      </w:r>
    </w:p>
    <w:p w:rsidR="00B30FDD" w:rsidRPr="00AA4D73" w:rsidRDefault="00B30FDD">
      <w:r w:rsidRPr="00AA4D73">
        <w:t>1</w:t>
      </w:r>
      <w:r w:rsidRPr="00AA4D73">
        <w:tab/>
        <w:t>The application of this provision involves the case of an adjacent band not allocated to the service concerned as well as the case of an adjacent band allocated to the service concerned with a different category of allocation.</w:t>
      </w:r>
    </w:p>
    <w:p w:rsidR="00B30FDD" w:rsidRPr="00AA4D73" w:rsidRDefault="00B30FDD">
      <w:r w:rsidRPr="00AA4D73">
        <w:t>1.1</w:t>
      </w:r>
      <w:r w:rsidRPr="00AA4D73">
        <w:tab/>
        <w:t>A frequency assignment, of which the assigned frequency band overlaps a band not allocated to the service concerned, shall receive an unfavourable regulatory finding under No. </w:t>
      </w:r>
      <w:r w:rsidRPr="00AA4D73">
        <w:rPr>
          <w:rStyle w:val="Artref"/>
          <w:b/>
          <w:bCs/>
          <w:color w:val="000000"/>
        </w:rPr>
        <w:t>11.31</w:t>
      </w:r>
      <w:r w:rsidRPr="00AA4D73">
        <w:t>.</w:t>
      </w:r>
    </w:p>
    <w:p w:rsidR="00B30FDD" w:rsidRPr="00AA4D73" w:rsidRDefault="00B30FDD" w:rsidP="00AA4D73">
      <w:r w:rsidRPr="00AA4D73">
        <w:t>1.2</w:t>
      </w:r>
      <w:r w:rsidRPr="00AA4D73">
        <w:tab/>
        <w:t>A frequency assignment, of which the assigned frequency band overlaps a band allocated with a lower category of service will be considered as having the lower category of service and, when recorded, will bear a symbol to this effect. (See Symbols R and S in Table 13B, Column 13B2, of the Preface to the</w:t>
      </w:r>
      <w:r w:rsidR="00AA4D73" w:rsidRPr="00AA4D73">
        <w:t> </w:t>
      </w:r>
      <w:r w:rsidRPr="00AA4D73">
        <w:t>IFL.)</w:t>
      </w:r>
    </w:p>
    <w:p w:rsidR="00B30FDD" w:rsidRPr="00AA4D73" w:rsidRDefault="00B30FDD">
      <w:r w:rsidRPr="00AA4D73">
        <w:t>2</w:t>
      </w:r>
      <w:r w:rsidRPr="00AA4D73">
        <w:tab/>
        <w:t>To resolve cases of harmful interference between services in adjacent bands it was decided that, irrespective of the phenomena at the origin of the interference (out-of-band emission, intermodulation products, etc.), the administration responsible for the emission overlapping a non-allocated band shall use appropriate means to eliminate the interference.</w:t>
      </w:r>
    </w:p>
    <w:p w:rsidR="00B30FDD" w:rsidRPr="00AA4D73" w:rsidRDefault="00B30FDD"/>
    <w:p w:rsidR="00B30FDD" w:rsidRPr="00AA4D73" w:rsidRDefault="00B30FDD" w:rsidP="00AA4D73">
      <w:pPr>
        <w:jc w:val="center"/>
      </w:pPr>
      <w:r w:rsidRPr="00AA4D73">
        <w:t>____________________</w:t>
      </w:r>
    </w:p>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Pr>
        <w:sectPr w:rsidR="00B30FDD" w:rsidRPr="00AA4D73">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B30FDD" w:rsidRPr="00AA4D73" w:rsidRDefault="00B30FDD" w:rsidP="00AA4D73"/>
    <w:sectPr w:rsidR="00B30FDD" w:rsidRPr="00AA4D73" w:rsidSect="00AA4D73">
      <w:headerReference w:type="even"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D3D" w:rsidRDefault="00280D3D">
      <w:r>
        <w:separator/>
      </w:r>
    </w:p>
  </w:endnote>
  <w:endnote w:type="continuationSeparator" w:id="0">
    <w:p w:rsidR="00280D3D" w:rsidRDefault="00280D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D3D" w:rsidRDefault="00280D3D">
      <w:r>
        <w:rPr>
          <w:b/>
        </w:rPr>
        <w:t>_______________</w:t>
      </w:r>
    </w:p>
    <w:p w:rsidR="00280D3D" w:rsidRDefault="00280D3D"/>
  </w:footnote>
  <w:footnote w:type="continuationSeparator" w:id="0">
    <w:p w:rsidR="00280D3D" w:rsidRDefault="00280D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B30FDD">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rPr>
              <w:lang w:val="en-US"/>
            </w:rPr>
          </w:pPr>
          <w:fldSimple w:instr=" DOCPROPERTY &quot;Header&quot; \* MERGEFORMAT ">
            <w:r w:rsidR="00AA4D73">
              <w:rPr>
                <w:lang w:val="en-US"/>
              </w:rPr>
              <w:t>AR</w:t>
            </w:r>
          </w:fldSimple>
          <w:r>
            <w:fldChar w:fldCharType="begin"/>
          </w:r>
          <w:r>
            <w:rPr>
              <w:lang w:val="en-US"/>
            </w:rPr>
            <w:instrText>styleref href2</w:instrText>
          </w:r>
          <w:r>
            <w:fldChar w:fldCharType="separate"/>
          </w:r>
          <w:r w:rsidR="00400103">
            <w:rPr>
              <w:noProof/>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400103">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rPr>
              <w:lang w:val="fr-CH"/>
            </w:rPr>
          </w:pPr>
          <w:r>
            <w:rPr>
              <w:lang w:val="fr-CH"/>
            </w:rPr>
            <w:t>rev.</w:t>
          </w:r>
          <w:r w:rsidR="006C1D08">
            <w:t>-</w:t>
          </w:r>
        </w:p>
      </w:tc>
    </w:tr>
  </w:tbl>
  <w:p w:rsidR="00B30FDD" w:rsidRDefault="00B30FDD">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B30FDD">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pPr>
          <w:r>
            <w:t>Part A1</w:t>
          </w:r>
        </w:p>
      </w:tc>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rPr>
              <w:lang w:val="en-US"/>
            </w:rPr>
          </w:pPr>
          <w:fldSimple w:instr=" DOCPROPERTY &quot;Header&quot; \* MERGEFORMAT ">
            <w:r w:rsidR="00AA4D73">
              <w:t>AR</w:t>
            </w:r>
          </w:fldSimple>
          <w:fldSimple w:instr="styleref href2">
            <w:r w:rsidR="00400103">
              <w:rPr>
                <w:noProof/>
              </w:rPr>
              <w:t>4</w:t>
            </w:r>
          </w:fldSimple>
        </w:p>
      </w:tc>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400103">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rPr>
              <w:lang w:val="fr-CH"/>
            </w:rPr>
          </w:pPr>
          <w:r>
            <w:rPr>
              <w:lang w:val="fr-CH"/>
            </w:rPr>
            <w:t>rev.</w:t>
          </w:r>
          <w:r w:rsidR="006C1D08">
            <w:t>-</w:t>
          </w:r>
        </w:p>
      </w:tc>
    </w:tr>
  </w:tbl>
  <w:p w:rsidR="00B30FDD" w:rsidRDefault="00B30F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FDD" w:rsidRDefault="00B30FDD"/>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0D3C89"/>
    <w:rsid w:val="000D3C89"/>
    <w:rsid w:val="00280D3D"/>
    <w:rsid w:val="00400103"/>
    <w:rsid w:val="006C1D08"/>
    <w:rsid w:val="00773C33"/>
    <w:rsid w:val="00894B0B"/>
    <w:rsid w:val="00AA4D73"/>
    <w:rsid w:val="00B30FDD"/>
    <w:rsid w:val="00E06F78"/>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4</dc:subject>
  <dc:creator>Composition des Publications</dc:creator>
  <cp:keywords>Folios: 1 - 2</cp:keywords>
  <dc:description>Edition 2009:  09.02.2009/SdN_x000d_
Corr.:   23.02.2009/DD (dict. ok)</dc:description>
  <cp:lastModifiedBy>simon denicola</cp:lastModifiedBy>
  <cp:revision>2</cp:revision>
  <cp:lastPrinted>2005-04-29T09:55:00Z</cp:lastPrinted>
  <dcterms:created xsi:type="dcterms:W3CDTF">2012-08-08T06:48:00Z</dcterms:created>
  <dcterms:modified xsi:type="dcterms:W3CDTF">2012-08-08T06:48:00Z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