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DA2F" w14:textId="6A3600BF" w:rsidR="007F7F1A" w:rsidRPr="001708A0" w:rsidRDefault="007F7F1A" w:rsidP="00CF7719">
      <w:pPr>
        <w:pStyle w:val="QuestionNo"/>
        <w:rPr>
          <w:lang w:val="es-ES_tradnl"/>
        </w:rPr>
      </w:pPr>
      <w:r w:rsidRPr="001708A0">
        <w:rPr>
          <w:lang w:val="es-ES_tradnl"/>
        </w:rPr>
        <w:t xml:space="preserve">cuestión UIT-R </w:t>
      </w:r>
      <w:r w:rsidR="00CB0519">
        <w:rPr>
          <w:lang w:val="es-ES_tradnl"/>
        </w:rPr>
        <w:t>258</w:t>
      </w:r>
      <w:r w:rsidRPr="001708A0">
        <w:rPr>
          <w:lang w:val="es-ES_tradnl"/>
        </w:rPr>
        <w:t xml:space="preserve">/7 </w:t>
      </w:r>
    </w:p>
    <w:p w14:paraId="3A5A3124" w14:textId="77777777" w:rsidR="007F7F1A" w:rsidRPr="001708A0" w:rsidRDefault="007F7F1A" w:rsidP="007F7F1A">
      <w:pPr>
        <w:pStyle w:val="Questiontitle"/>
        <w:rPr>
          <w:color w:val="000000"/>
          <w:lang w:val="es-ES_tradnl"/>
        </w:rPr>
      </w:pPr>
      <w:proofErr w:type="spellStart"/>
      <w:r w:rsidRPr="001708A0">
        <w:rPr>
          <w:color w:val="000000"/>
          <w:lang w:val="es-ES_tradnl"/>
        </w:rPr>
        <w:t>VLBI</w:t>
      </w:r>
      <w:proofErr w:type="spellEnd"/>
      <w:r w:rsidRPr="001708A0">
        <w:rPr>
          <w:color w:val="000000"/>
          <w:lang w:val="es-ES_tradnl"/>
        </w:rPr>
        <w:t xml:space="preserve"> geodésica</w:t>
      </w:r>
    </w:p>
    <w:p w14:paraId="311BF37E" w14:textId="77777777" w:rsidR="007F7F1A" w:rsidRPr="001708A0" w:rsidRDefault="007F7F1A" w:rsidP="00CF7719">
      <w:pPr>
        <w:pStyle w:val="Questiondate"/>
        <w:rPr>
          <w:lang w:val="es-ES_tradnl"/>
        </w:rPr>
      </w:pPr>
      <w:r w:rsidRPr="001708A0">
        <w:rPr>
          <w:lang w:val="es-ES_tradnl"/>
        </w:rPr>
        <w:t>(2021)</w:t>
      </w:r>
    </w:p>
    <w:p w14:paraId="1858F235" w14:textId="77777777" w:rsidR="007F7F1A" w:rsidRPr="001708A0" w:rsidRDefault="007F7F1A" w:rsidP="00CF7719">
      <w:pPr>
        <w:pStyle w:val="Normalaftertitle0"/>
        <w:rPr>
          <w:lang w:val="es-ES_tradnl"/>
        </w:rPr>
      </w:pPr>
      <w:r w:rsidRPr="001708A0">
        <w:rPr>
          <w:lang w:val="es-ES_tradnl"/>
        </w:rPr>
        <w:t>La Asamblea de Radiocomunicaciones de la UIT,</w:t>
      </w:r>
    </w:p>
    <w:p w14:paraId="27508F08" w14:textId="77777777" w:rsidR="007F7F1A" w:rsidRPr="001708A0" w:rsidRDefault="007F7F1A" w:rsidP="00CF7719">
      <w:pPr>
        <w:pStyle w:val="Call"/>
        <w:rPr>
          <w:lang w:val="es-ES_tradnl"/>
        </w:rPr>
      </w:pPr>
      <w:r w:rsidRPr="001708A0">
        <w:rPr>
          <w:lang w:val="es-ES_tradnl"/>
        </w:rPr>
        <w:t>considerando</w:t>
      </w:r>
    </w:p>
    <w:p w14:paraId="588BED16" w14:textId="77777777" w:rsidR="007F7F1A" w:rsidRPr="001708A0" w:rsidRDefault="007F7F1A" w:rsidP="00CF7719">
      <w:pPr>
        <w:rPr>
          <w:lang w:val="es-ES_tradnl"/>
        </w:rPr>
      </w:pPr>
      <w:r w:rsidRPr="001708A0">
        <w:rPr>
          <w:i/>
          <w:lang w:val="es-ES_tradnl"/>
        </w:rPr>
        <w:t>a)</w:t>
      </w:r>
      <w:r w:rsidRPr="001708A0">
        <w:rPr>
          <w:lang w:val="es-ES_tradnl"/>
        </w:rPr>
        <w:tab/>
        <w:t xml:space="preserve">que el servicio </w:t>
      </w:r>
      <w:proofErr w:type="spellStart"/>
      <w:r w:rsidRPr="001708A0">
        <w:rPr>
          <w:lang w:val="es-ES_tradnl"/>
        </w:rPr>
        <w:t>VLBI</w:t>
      </w:r>
      <w:proofErr w:type="spellEnd"/>
      <w:r w:rsidRPr="001708A0">
        <w:rPr>
          <w:lang w:val="es-ES_tradnl"/>
        </w:rPr>
        <w:t xml:space="preserve"> internacional para geodesia y astrometría (</w:t>
      </w:r>
      <w:proofErr w:type="spellStart"/>
      <w:r w:rsidRPr="001708A0">
        <w:rPr>
          <w:lang w:val="es-ES_tradnl"/>
        </w:rPr>
        <w:t>IVS</w:t>
      </w:r>
      <w:proofErr w:type="spellEnd"/>
      <w:r w:rsidRPr="001708A0">
        <w:rPr>
          <w:lang w:val="es-ES_tradnl"/>
        </w:rPr>
        <w:t>), en su calidad de iniciativa de cooperación internacional sin ánimo de lucro, proporciona diariamente mediciones de interferometría de muy larga base (</w:t>
      </w:r>
      <w:proofErr w:type="spellStart"/>
      <w:r w:rsidRPr="001708A0">
        <w:rPr>
          <w:lang w:val="es-ES_tradnl"/>
        </w:rPr>
        <w:t>VLBI</w:t>
      </w:r>
      <w:proofErr w:type="spellEnd"/>
      <w:r w:rsidRPr="001708A0">
        <w:rPr>
          <w:lang w:val="es-ES_tradnl"/>
        </w:rPr>
        <w:t xml:space="preserve">) del tiempo universal </w:t>
      </w:r>
      <w:proofErr w:type="spellStart"/>
      <w:r w:rsidRPr="001708A0">
        <w:rPr>
          <w:lang w:val="es-ES_tradnl"/>
        </w:rPr>
        <w:t>UT1</w:t>
      </w:r>
      <w:proofErr w:type="spellEnd"/>
      <w:r w:rsidRPr="001708A0">
        <w:rPr>
          <w:lang w:val="es-ES_tradnl"/>
        </w:rPr>
        <w:t xml:space="preserve"> necesarias para transformar efemérides en cualquier tipo de actividades espaciales, en particular las que dependen de la máxima precisión de posición;</w:t>
      </w:r>
    </w:p>
    <w:p w14:paraId="0B135444" w14:textId="77777777" w:rsidR="007F7F1A" w:rsidRPr="001708A0" w:rsidRDefault="007F7F1A" w:rsidP="00CF7719">
      <w:pPr>
        <w:rPr>
          <w:rFonts w:cs="Times New Roman"/>
          <w:lang w:val="es-ES_tradnl"/>
        </w:rPr>
      </w:pPr>
      <w:r w:rsidRPr="001708A0">
        <w:rPr>
          <w:rFonts w:cs="Times New Roman"/>
          <w:i/>
          <w:lang w:val="es-ES_tradnl"/>
        </w:rPr>
        <w:t>b)</w:t>
      </w:r>
      <w:r w:rsidRPr="001708A0">
        <w:rPr>
          <w:rFonts w:cs="Times New Roman"/>
          <w:lang w:val="es-ES_tradnl"/>
        </w:rPr>
        <w:tab/>
        <w:t xml:space="preserve">que, de conformidad con la Resolución </w:t>
      </w:r>
      <w:proofErr w:type="spellStart"/>
      <w:r w:rsidRPr="001708A0">
        <w:rPr>
          <w:rFonts w:cs="Times New Roman"/>
          <w:lang w:val="es-ES_tradnl"/>
        </w:rPr>
        <w:t>B2</w:t>
      </w:r>
      <w:proofErr w:type="spellEnd"/>
      <w:r w:rsidRPr="001708A0">
        <w:rPr>
          <w:rFonts w:cs="Times New Roman"/>
          <w:lang w:val="es-ES_tradnl"/>
        </w:rPr>
        <w:t xml:space="preserve"> de la Asamblea General de la Unión Astronómica Internacional (UAI) de 1997, el sistema de referencia fundamental para las aplicaciones astronómicas es el Sistema Internacional de Referencia Celeste (</w:t>
      </w:r>
      <w:proofErr w:type="spellStart"/>
      <w:r w:rsidRPr="001708A0">
        <w:rPr>
          <w:rFonts w:cs="Times New Roman"/>
          <w:lang w:val="es-ES_tradnl"/>
        </w:rPr>
        <w:t>ICRS</w:t>
      </w:r>
      <w:proofErr w:type="spellEnd"/>
      <w:r w:rsidRPr="001708A0">
        <w:rPr>
          <w:rFonts w:cs="Times New Roman"/>
          <w:lang w:val="es-ES_tradnl"/>
        </w:rPr>
        <w:t>) y la realización práctica del </w:t>
      </w:r>
      <w:proofErr w:type="spellStart"/>
      <w:r w:rsidRPr="001708A0">
        <w:rPr>
          <w:rFonts w:cs="Times New Roman"/>
          <w:lang w:val="es-ES_tradnl"/>
        </w:rPr>
        <w:t>ICRS</w:t>
      </w:r>
      <w:proofErr w:type="spellEnd"/>
      <w:r w:rsidRPr="001708A0">
        <w:rPr>
          <w:rFonts w:cs="Times New Roman"/>
          <w:lang w:val="es-ES_tradnl"/>
        </w:rPr>
        <w:t xml:space="preserve"> en el régimen radioeléctrico es el Marco Internacional de Referencia Celeste (</w:t>
      </w:r>
      <w:proofErr w:type="spellStart"/>
      <w:r w:rsidRPr="001708A0">
        <w:rPr>
          <w:rFonts w:cs="Times New Roman"/>
          <w:lang w:val="es-ES_tradnl"/>
        </w:rPr>
        <w:t>ICRF</w:t>
      </w:r>
      <w:proofErr w:type="spellEnd"/>
      <w:r w:rsidRPr="001708A0">
        <w:rPr>
          <w:rFonts w:cs="Times New Roman"/>
          <w:lang w:val="es-ES_tradnl"/>
        </w:rPr>
        <w:t xml:space="preserve">), un sistema fijo espacial basado en posiciones radioeléctricas de fuentes </w:t>
      </w:r>
      <w:proofErr w:type="spellStart"/>
      <w:r w:rsidRPr="001708A0">
        <w:rPr>
          <w:rFonts w:cs="Times New Roman"/>
          <w:lang w:val="es-ES_tradnl"/>
        </w:rPr>
        <w:t>extragalácticas</w:t>
      </w:r>
      <w:proofErr w:type="spellEnd"/>
      <w:r w:rsidRPr="001708A0">
        <w:rPr>
          <w:rFonts w:cs="Times New Roman"/>
          <w:lang w:val="es-ES_tradnl"/>
        </w:rPr>
        <w:t xml:space="preserve"> de gran exactitud medidas por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>, posiciones proporcionadas por el Servicio Internacional de Rotación de la Tierra y Sistemas de Referencia (</w:t>
      </w:r>
      <w:proofErr w:type="spellStart"/>
      <w:r w:rsidRPr="001708A0">
        <w:rPr>
          <w:rFonts w:cs="Times New Roman"/>
          <w:lang w:val="es-ES_tradnl"/>
        </w:rPr>
        <w:t>IERS</w:t>
      </w:r>
      <w:proofErr w:type="spellEnd"/>
      <w:r w:rsidRPr="001708A0">
        <w:rPr>
          <w:rFonts w:cs="Times New Roman"/>
          <w:lang w:val="es-ES_tradnl"/>
        </w:rPr>
        <w:t xml:space="preserve">) utilizando datos de observación del </w:t>
      </w:r>
      <w:proofErr w:type="spellStart"/>
      <w:r w:rsidRPr="001708A0">
        <w:rPr>
          <w:rFonts w:cs="Times New Roman"/>
          <w:lang w:val="es-ES_tradnl"/>
        </w:rPr>
        <w:t>IVS</w:t>
      </w:r>
      <w:proofErr w:type="spellEnd"/>
      <w:r w:rsidRPr="001708A0">
        <w:rPr>
          <w:rFonts w:cs="Times New Roman"/>
          <w:lang w:val="es-ES_tradnl"/>
        </w:rPr>
        <w:t>;</w:t>
      </w:r>
    </w:p>
    <w:p w14:paraId="7F945E0F" w14:textId="77777777" w:rsidR="007F7F1A" w:rsidRPr="001708A0" w:rsidRDefault="007F7F1A" w:rsidP="00CF7719">
      <w:pPr>
        <w:rPr>
          <w:rFonts w:cs="Times New Roman"/>
          <w:lang w:val="es-ES_tradnl"/>
        </w:rPr>
      </w:pPr>
      <w:r w:rsidRPr="001708A0">
        <w:rPr>
          <w:rFonts w:cs="Times New Roman"/>
          <w:i/>
          <w:lang w:val="es-ES_tradnl"/>
        </w:rPr>
        <w:t>c)</w:t>
      </w:r>
      <w:r w:rsidRPr="001708A0">
        <w:rPr>
          <w:rFonts w:cs="Times New Roman"/>
          <w:lang w:val="es-ES_tradnl"/>
        </w:rPr>
        <w:tab/>
        <w:t xml:space="preserve">que estas observaciones del </w:t>
      </w:r>
      <w:proofErr w:type="spellStart"/>
      <w:r w:rsidRPr="001708A0">
        <w:rPr>
          <w:rFonts w:cs="Times New Roman"/>
          <w:lang w:val="es-ES_tradnl"/>
        </w:rPr>
        <w:t>SIV</w:t>
      </w:r>
      <w:proofErr w:type="spellEnd"/>
      <w:r w:rsidRPr="001708A0">
        <w:rPr>
          <w:rFonts w:cs="Times New Roman"/>
          <w:lang w:val="es-ES_tradnl"/>
        </w:rPr>
        <w:t xml:space="preserve"> son el único medio para vincular el marco de referencia terrestre internacional (</w:t>
      </w:r>
      <w:proofErr w:type="spellStart"/>
      <w:r w:rsidRPr="001708A0">
        <w:rPr>
          <w:rFonts w:cs="Times New Roman"/>
          <w:lang w:val="es-ES_tradnl"/>
        </w:rPr>
        <w:t>ITRF</w:t>
      </w:r>
      <w:proofErr w:type="spellEnd"/>
      <w:r w:rsidRPr="001708A0">
        <w:rPr>
          <w:rFonts w:cs="Times New Roman"/>
          <w:lang w:val="es-ES_tradnl"/>
        </w:rPr>
        <w:t xml:space="preserve">) con el </w:t>
      </w:r>
      <w:proofErr w:type="spellStart"/>
      <w:r w:rsidRPr="001708A0">
        <w:rPr>
          <w:rFonts w:cs="Times New Roman"/>
          <w:lang w:val="es-ES_tradnl"/>
        </w:rPr>
        <w:t>ICRF</w:t>
      </w:r>
      <w:proofErr w:type="spellEnd"/>
      <w:r w:rsidRPr="001708A0">
        <w:rPr>
          <w:rFonts w:cs="Times New Roman"/>
          <w:lang w:val="es-ES_tradnl"/>
        </w:rPr>
        <w:t xml:space="preserve"> mediante el conjunto completo de parámetros de orientación de la Tierra, que incluye el </w:t>
      </w:r>
      <w:proofErr w:type="spellStart"/>
      <w:r w:rsidRPr="001708A0">
        <w:rPr>
          <w:rFonts w:cs="Times New Roman"/>
          <w:lang w:val="es-ES_tradnl"/>
        </w:rPr>
        <w:t>UT1</w:t>
      </w:r>
      <w:proofErr w:type="spellEnd"/>
      <w:r w:rsidRPr="001708A0">
        <w:rPr>
          <w:rFonts w:cs="Times New Roman"/>
          <w:lang w:val="es-ES_tradnl"/>
        </w:rPr>
        <w:t xml:space="preserve"> definido en la Recomendación UIT-R </w:t>
      </w:r>
      <w:proofErr w:type="spellStart"/>
      <w:r w:rsidRPr="001708A0">
        <w:rPr>
          <w:rFonts w:cs="Times New Roman"/>
          <w:lang w:val="es-ES_tradnl"/>
        </w:rPr>
        <w:t>TF.460</w:t>
      </w:r>
      <w:proofErr w:type="spellEnd"/>
      <w:r w:rsidRPr="001708A0">
        <w:rPr>
          <w:rFonts w:cs="Times New Roman"/>
          <w:lang w:val="es-ES_tradnl"/>
        </w:rPr>
        <w:t>-6;</w:t>
      </w:r>
    </w:p>
    <w:p w14:paraId="79E96FD7" w14:textId="77777777" w:rsidR="007F7F1A" w:rsidRPr="001708A0" w:rsidRDefault="007F7F1A" w:rsidP="00CF7719">
      <w:pPr>
        <w:rPr>
          <w:rFonts w:cs="Times New Roman"/>
          <w:lang w:val="es-ES_tradnl"/>
        </w:rPr>
      </w:pPr>
      <w:r w:rsidRPr="001708A0">
        <w:rPr>
          <w:rFonts w:cs="Times New Roman"/>
          <w:i/>
          <w:lang w:val="es-ES_tradnl"/>
        </w:rPr>
        <w:t>d)</w:t>
      </w:r>
      <w:r w:rsidRPr="001708A0">
        <w:rPr>
          <w:rFonts w:cs="Times New Roman"/>
          <w:lang w:val="es-ES_tradnl"/>
        </w:rPr>
        <w:tab/>
        <w:t>que la Resolución 69/266 de la Asamblea General de las Naciones Unidas (ONU) pide a los Estados Miembros que contribuyan a "un marco geodésico mundial de referencia para el desarrollo sostenible", que se convertirá en el Marco Geodésico Mundial de Referencia (</w:t>
      </w:r>
      <w:proofErr w:type="spellStart"/>
      <w:r w:rsidRPr="001708A0">
        <w:rPr>
          <w:rFonts w:cs="Times New Roman"/>
          <w:lang w:val="es-ES_tradnl"/>
        </w:rPr>
        <w:t>GGRF</w:t>
      </w:r>
      <w:proofErr w:type="spellEnd"/>
      <w:r w:rsidRPr="001708A0">
        <w:rPr>
          <w:rFonts w:cs="Times New Roman"/>
          <w:lang w:val="es-ES_tradnl"/>
        </w:rPr>
        <w:t xml:space="preserve">), incluidas las coordenadas precisas de los radiotelescopios del </w:t>
      </w:r>
      <w:proofErr w:type="spellStart"/>
      <w:r w:rsidRPr="001708A0">
        <w:rPr>
          <w:rFonts w:cs="Times New Roman"/>
          <w:lang w:val="es-ES_tradnl"/>
        </w:rPr>
        <w:t>SIV</w:t>
      </w:r>
      <w:proofErr w:type="spellEnd"/>
      <w:r w:rsidRPr="001708A0">
        <w:rPr>
          <w:rFonts w:cs="Times New Roman"/>
          <w:lang w:val="es-ES_tradnl"/>
        </w:rPr>
        <w:t>;</w:t>
      </w:r>
    </w:p>
    <w:p w14:paraId="0B7477D4" w14:textId="77777777" w:rsidR="007F7F1A" w:rsidRPr="001708A0" w:rsidRDefault="007F7F1A" w:rsidP="00CF7719">
      <w:pPr>
        <w:rPr>
          <w:rFonts w:cs="Times New Roman"/>
          <w:lang w:val="es-ES_tradnl"/>
        </w:rPr>
      </w:pPr>
      <w:r w:rsidRPr="001708A0">
        <w:rPr>
          <w:rFonts w:cs="Times New Roman"/>
          <w:i/>
          <w:lang w:val="es-ES_tradnl"/>
        </w:rPr>
        <w:t>e)</w:t>
      </w:r>
      <w:r w:rsidRPr="001708A0">
        <w:rPr>
          <w:rFonts w:cs="Times New Roman"/>
          <w:lang w:val="es-ES_tradnl"/>
        </w:rPr>
        <w:tab/>
        <w:t>que se ha creado el Proyecto del Sistema Mundial de Observación Geodésica (</w:t>
      </w:r>
      <w:proofErr w:type="spellStart"/>
      <w:r w:rsidRPr="001708A0">
        <w:rPr>
          <w:rFonts w:cs="Times New Roman"/>
          <w:lang w:val="es-ES_tradnl"/>
        </w:rPr>
        <w:t>GGOS</w:t>
      </w:r>
      <w:proofErr w:type="spellEnd"/>
      <w:r w:rsidRPr="001708A0">
        <w:rPr>
          <w:rFonts w:cs="Times New Roman"/>
          <w:lang w:val="es-ES_tradnl"/>
        </w:rPr>
        <w:t>) de la Asociación Internacional de Geodesia (</w:t>
      </w:r>
      <w:proofErr w:type="spellStart"/>
      <w:r w:rsidRPr="001708A0">
        <w:rPr>
          <w:rFonts w:cs="Times New Roman"/>
          <w:lang w:val="es-ES_tradnl"/>
        </w:rPr>
        <w:t>IAG</w:t>
      </w:r>
      <w:proofErr w:type="spellEnd"/>
      <w:r w:rsidRPr="001708A0">
        <w:rPr>
          <w:rFonts w:cs="Times New Roman"/>
          <w:lang w:val="es-ES_tradnl"/>
        </w:rPr>
        <w:t xml:space="preserve">), que es miembro asociado de la Oficina de las Naciones Unidas para Asuntos del Espacio Exterior, incluidas las operaciones del </w:t>
      </w:r>
      <w:proofErr w:type="spellStart"/>
      <w:r w:rsidRPr="001708A0">
        <w:rPr>
          <w:rFonts w:cs="Times New Roman"/>
          <w:lang w:val="es-ES_tradnl"/>
        </w:rPr>
        <w:t>IVS</w:t>
      </w:r>
      <w:proofErr w:type="spellEnd"/>
      <w:r w:rsidRPr="001708A0">
        <w:rPr>
          <w:rFonts w:cs="Times New Roman"/>
          <w:lang w:val="es-ES_tradnl"/>
        </w:rPr>
        <w:t>, con el fin de proporcionar la posición con una precisión de 1 mm requerida para los estudios del cambio mundial en general y para supervisar el aumento del nivel del mar en particular;</w:t>
      </w:r>
    </w:p>
    <w:p w14:paraId="0E25C913" w14:textId="77777777" w:rsidR="007F7F1A" w:rsidRPr="001708A0" w:rsidRDefault="007F7F1A" w:rsidP="00CF7719">
      <w:pPr>
        <w:rPr>
          <w:rFonts w:cs="Times New Roman"/>
          <w:lang w:val="es-ES_tradnl"/>
        </w:rPr>
      </w:pPr>
      <w:r w:rsidRPr="001708A0">
        <w:rPr>
          <w:rFonts w:cs="Times New Roman"/>
          <w:i/>
          <w:lang w:val="es-ES_tradnl"/>
        </w:rPr>
        <w:t>f)</w:t>
      </w:r>
      <w:r w:rsidRPr="001708A0">
        <w:rPr>
          <w:rFonts w:cs="Times New Roman"/>
          <w:lang w:val="es-ES_tradnl"/>
        </w:rPr>
        <w:tab/>
        <w:t xml:space="preserve">que la infraestructura mundial del </w:t>
      </w:r>
      <w:proofErr w:type="spellStart"/>
      <w:r w:rsidRPr="001708A0">
        <w:rPr>
          <w:rFonts w:cs="Times New Roman"/>
          <w:lang w:val="es-ES_tradnl"/>
        </w:rPr>
        <w:t>IVS</w:t>
      </w:r>
      <w:proofErr w:type="spellEnd"/>
      <w:r w:rsidRPr="001708A0">
        <w:rPr>
          <w:rFonts w:cs="Times New Roman"/>
          <w:lang w:val="es-ES_tradnl"/>
        </w:rPr>
        <w:t xml:space="preserve"> está integrada por estaciones de radiotelescopio del Sistema Mundial de Observación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 xml:space="preserve"> (</w:t>
      </w:r>
      <w:proofErr w:type="spellStart"/>
      <w:r w:rsidRPr="001708A0">
        <w:rPr>
          <w:rFonts w:cs="Times New Roman"/>
          <w:lang w:val="es-ES_tradnl"/>
        </w:rPr>
        <w:t>VGOS</w:t>
      </w:r>
      <w:proofErr w:type="spellEnd"/>
      <w:r w:rsidRPr="001708A0">
        <w:rPr>
          <w:rFonts w:cs="Times New Roman"/>
          <w:lang w:val="es-ES_tradnl"/>
        </w:rPr>
        <w:t xml:space="preserve">), que resulta esencial para determinar el </w:t>
      </w:r>
      <w:proofErr w:type="spellStart"/>
      <w:r w:rsidRPr="001708A0">
        <w:rPr>
          <w:rFonts w:cs="Times New Roman"/>
          <w:lang w:val="es-ES_tradnl"/>
        </w:rPr>
        <w:t>UT1</w:t>
      </w:r>
      <w:proofErr w:type="spellEnd"/>
      <w:r w:rsidRPr="001708A0">
        <w:rPr>
          <w:rFonts w:cs="Times New Roman"/>
          <w:lang w:val="es-ES_tradnl"/>
        </w:rPr>
        <w:t xml:space="preserve"> de las operaciones de los satélites, para construir el marco de referencia astronómico y terrestre, para las actividades del </w:t>
      </w:r>
      <w:proofErr w:type="spellStart"/>
      <w:r w:rsidRPr="001708A0">
        <w:rPr>
          <w:rFonts w:cs="Times New Roman"/>
          <w:lang w:val="es-ES_tradnl"/>
        </w:rPr>
        <w:t>GGRF</w:t>
      </w:r>
      <w:proofErr w:type="spellEnd"/>
      <w:r w:rsidRPr="001708A0">
        <w:rPr>
          <w:rFonts w:cs="Times New Roman"/>
          <w:lang w:val="es-ES_tradnl"/>
        </w:rPr>
        <w:t xml:space="preserve"> de las Naciones Unidas y para supervisar los efectos del cambio mundial,</w:t>
      </w:r>
    </w:p>
    <w:p w14:paraId="5A9F9533" w14:textId="77777777" w:rsidR="007F7F1A" w:rsidRPr="001708A0" w:rsidRDefault="007F7F1A" w:rsidP="001708A0">
      <w:pPr>
        <w:pStyle w:val="Call"/>
        <w:rPr>
          <w:lang w:val="es-ES_tradnl"/>
        </w:rPr>
      </w:pPr>
      <w:r w:rsidRPr="001708A0">
        <w:rPr>
          <w:lang w:val="es-ES_tradnl"/>
        </w:rPr>
        <w:t>observando</w:t>
      </w:r>
    </w:p>
    <w:p w14:paraId="372BA151" w14:textId="77777777" w:rsidR="007F7F1A" w:rsidRPr="001708A0" w:rsidRDefault="007F7F1A" w:rsidP="001708A0">
      <w:pPr>
        <w:rPr>
          <w:rFonts w:cs="Times New Roman"/>
          <w:lang w:val="es-ES_tradnl"/>
        </w:rPr>
      </w:pPr>
      <w:r w:rsidRPr="001708A0">
        <w:rPr>
          <w:rFonts w:cs="Times New Roman"/>
          <w:i/>
          <w:iCs/>
          <w:lang w:val="es-ES_tradnl"/>
        </w:rPr>
        <w:t>a)</w:t>
      </w:r>
      <w:r w:rsidRPr="001708A0">
        <w:rPr>
          <w:rFonts w:cs="Times New Roman"/>
          <w:lang w:val="es-ES_tradnl"/>
        </w:rPr>
        <w:tab/>
        <w:t xml:space="preserve">que el </w:t>
      </w:r>
      <w:proofErr w:type="spellStart"/>
      <w:r w:rsidRPr="001708A0">
        <w:rPr>
          <w:rFonts w:cs="Times New Roman"/>
          <w:lang w:val="es-ES_tradnl"/>
        </w:rPr>
        <w:t>GGRF</w:t>
      </w:r>
      <w:proofErr w:type="spellEnd"/>
      <w:r w:rsidRPr="001708A0">
        <w:rPr>
          <w:rFonts w:cs="Times New Roman"/>
          <w:lang w:val="es-ES_tradnl"/>
        </w:rPr>
        <w:t xml:space="preserve"> es un término genérico que describe el marco mediante el cual los usuarios pueden expresar con precisión emplazamientos en la Tierra y cuantificar cambios de la Tierra en el tiempo espacial; </w:t>
      </w:r>
    </w:p>
    <w:p w14:paraId="1FD86776" w14:textId="77777777" w:rsidR="007F7F1A" w:rsidRPr="001708A0" w:rsidRDefault="007F7F1A" w:rsidP="001708A0">
      <w:pPr>
        <w:rPr>
          <w:rFonts w:cs="Times New Roman"/>
          <w:lang w:val="es-ES_tradnl"/>
        </w:rPr>
      </w:pPr>
      <w:r w:rsidRPr="001708A0">
        <w:rPr>
          <w:rFonts w:cs="Times New Roman"/>
          <w:i/>
          <w:iCs/>
          <w:lang w:val="es-ES_tradnl"/>
        </w:rPr>
        <w:t>b)</w:t>
      </w:r>
      <w:r w:rsidRPr="001708A0">
        <w:rPr>
          <w:rFonts w:cs="Times New Roman"/>
          <w:lang w:val="es-ES_tradnl"/>
        </w:rPr>
        <w:tab/>
        <w:t xml:space="preserve">que la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 xml:space="preserve"> es una técnica desarrollada y utilizada en el servicio de radioastronomía;</w:t>
      </w:r>
    </w:p>
    <w:p w14:paraId="4C05D4D6" w14:textId="77777777" w:rsidR="007F7F1A" w:rsidRPr="001708A0" w:rsidRDefault="007F7F1A" w:rsidP="001708A0">
      <w:pPr>
        <w:rPr>
          <w:rFonts w:cs="Times New Roman"/>
          <w:lang w:val="es-ES_tradnl"/>
        </w:rPr>
      </w:pPr>
      <w:r w:rsidRPr="001708A0">
        <w:rPr>
          <w:rFonts w:cs="Times New Roman"/>
          <w:i/>
          <w:iCs/>
          <w:lang w:val="es-ES_tradnl"/>
        </w:rPr>
        <w:t>c)</w:t>
      </w:r>
      <w:r w:rsidRPr="001708A0">
        <w:rPr>
          <w:rFonts w:cs="Times New Roman"/>
          <w:lang w:val="es-ES_tradnl"/>
        </w:rPr>
        <w:tab/>
        <w:t xml:space="preserve">que la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 xml:space="preserve"> geodésica reviste una importancia fundamental para establecer el </w:t>
      </w:r>
      <w:proofErr w:type="spellStart"/>
      <w:r w:rsidRPr="001708A0">
        <w:rPr>
          <w:rFonts w:cs="Times New Roman"/>
          <w:lang w:val="es-ES_tradnl"/>
        </w:rPr>
        <w:t>GGRF</w:t>
      </w:r>
      <w:proofErr w:type="spellEnd"/>
      <w:r w:rsidRPr="001708A0">
        <w:rPr>
          <w:rFonts w:cs="Times New Roman"/>
          <w:lang w:val="es-ES_tradnl"/>
        </w:rPr>
        <w:t>;</w:t>
      </w:r>
    </w:p>
    <w:p w14:paraId="16C2EDB6" w14:textId="77777777" w:rsidR="007F7F1A" w:rsidRPr="001708A0" w:rsidRDefault="007F7F1A" w:rsidP="007F7F1A">
      <w:pPr>
        <w:spacing w:line="240" w:lineRule="auto"/>
        <w:rPr>
          <w:rFonts w:cs="Times New Roman"/>
          <w:lang w:val="es-ES_tradnl"/>
        </w:rPr>
      </w:pPr>
      <w:r w:rsidRPr="001708A0">
        <w:rPr>
          <w:rFonts w:cs="Times New Roman"/>
          <w:i/>
          <w:iCs/>
          <w:szCs w:val="24"/>
          <w:lang w:val="es-ES_tradnl"/>
        </w:rPr>
        <w:lastRenderedPageBreak/>
        <w:t>d)</w:t>
      </w:r>
      <w:r w:rsidRPr="001708A0">
        <w:rPr>
          <w:rFonts w:cs="Times New Roman"/>
          <w:szCs w:val="24"/>
          <w:lang w:val="es-ES_tradnl"/>
        </w:rPr>
        <w:tab/>
      </w:r>
      <w:r w:rsidRPr="001708A0">
        <w:rPr>
          <w:rFonts w:cs="Times New Roman"/>
          <w:lang w:val="es-ES_tradnl"/>
        </w:rPr>
        <w:t xml:space="preserve">que muchos servicios dependen del </w:t>
      </w:r>
      <w:proofErr w:type="spellStart"/>
      <w:r w:rsidRPr="001708A0">
        <w:rPr>
          <w:rFonts w:cs="Times New Roman"/>
          <w:lang w:val="es-ES_tradnl"/>
        </w:rPr>
        <w:t>GGRF</w:t>
      </w:r>
      <w:proofErr w:type="spellEnd"/>
      <w:r w:rsidRPr="001708A0">
        <w:rPr>
          <w:rFonts w:cs="Times New Roman"/>
          <w:lang w:val="es-ES_tradnl"/>
        </w:rPr>
        <w:t xml:space="preserve"> y lo utilizan,</w:t>
      </w:r>
    </w:p>
    <w:p w14:paraId="4F261C09" w14:textId="77777777" w:rsidR="007F7F1A" w:rsidRPr="001708A0" w:rsidRDefault="007F7F1A" w:rsidP="007F7F1A">
      <w:pPr>
        <w:pStyle w:val="Call"/>
        <w:spacing w:line="240" w:lineRule="auto"/>
        <w:rPr>
          <w:rFonts w:cs="Times New Roman"/>
          <w:i w:val="0"/>
          <w:iCs/>
          <w:lang w:val="es-ES_tradnl"/>
        </w:rPr>
      </w:pPr>
      <w:r w:rsidRPr="001708A0">
        <w:rPr>
          <w:rFonts w:cs="Times New Roman"/>
          <w:lang w:val="es-ES_tradnl"/>
        </w:rPr>
        <w:t xml:space="preserve">decide </w:t>
      </w:r>
      <w:r w:rsidRPr="001708A0">
        <w:rPr>
          <w:rFonts w:cs="Times New Roman"/>
          <w:i w:val="0"/>
          <w:iCs/>
          <w:lang w:val="es-ES_tradnl"/>
        </w:rPr>
        <w:t xml:space="preserve">que se estudien las siguientes Cuestiones </w:t>
      </w:r>
    </w:p>
    <w:p w14:paraId="040E5299" w14:textId="77777777" w:rsidR="007F7F1A" w:rsidRPr="001708A0" w:rsidRDefault="007F7F1A" w:rsidP="001708A0">
      <w:pPr>
        <w:rPr>
          <w:rFonts w:cs="Times New Roman"/>
          <w:lang w:val="es-ES_tradnl"/>
        </w:rPr>
      </w:pPr>
      <w:r w:rsidRPr="001708A0">
        <w:rPr>
          <w:rFonts w:cs="Times New Roman"/>
          <w:lang w:val="es-ES_tradnl"/>
        </w:rPr>
        <w:t>1</w:t>
      </w:r>
      <w:r w:rsidRPr="001708A0">
        <w:rPr>
          <w:rFonts w:cs="Times New Roman"/>
          <w:lang w:val="es-ES_tradnl"/>
        </w:rPr>
        <w:tab/>
        <w:t xml:space="preserve">¿Cuáles son las características técnicas y operativas de la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 xml:space="preserve"> geodésica?</w:t>
      </w:r>
    </w:p>
    <w:p w14:paraId="34837C71" w14:textId="77777777" w:rsidR="007F7F1A" w:rsidRPr="001708A0" w:rsidRDefault="007F7F1A" w:rsidP="007F7F1A">
      <w:pPr>
        <w:spacing w:line="240" w:lineRule="auto"/>
        <w:rPr>
          <w:rFonts w:cs="Times New Roman"/>
          <w:lang w:val="es-ES_tradnl"/>
        </w:rPr>
      </w:pPr>
      <w:r w:rsidRPr="001708A0">
        <w:rPr>
          <w:rFonts w:cs="Times New Roman"/>
          <w:lang w:val="es-ES_tradnl"/>
        </w:rPr>
        <w:t>2</w:t>
      </w:r>
      <w:r w:rsidRPr="001708A0">
        <w:rPr>
          <w:rFonts w:cs="Times New Roman"/>
          <w:lang w:val="es-ES_tradnl"/>
        </w:rPr>
        <w:tab/>
        <w:t xml:space="preserve">¿Cómo utiliza la </w:t>
      </w:r>
      <w:proofErr w:type="spellStart"/>
      <w:r w:rsidRPr="001708A0">
        <w:rPr>
          <w:rFonts w:cs="Times New Roman"/>
          <w:lang w:val="es-ES_tradnl"/>
        </w:rPr>
        <w:t>VLBI</w:t>
      </w:r>
      <w:proofErr w:type="spellEnd"/>
      <w:r w:rsidRPr="001708A0">
        <w:rPr>
          <w:rFonts w:cs="Times New Roman"/>
          <w:lang w:val="es-ES_tradnl"/>
        </w:rPr>
        <w:t xml:space="preserve"> geodésica el espectro radioeléctrico para realizar su función con la precisión necesaria?</w:t>
      </w:r>
    </w:p>
    <w:p w14:paraId="3349D21E" w14:textId="77777777" w:rsidR="007F7F1A" w:rsidRPr="001708A0" w:rsidRDefault="007F7F1A" w:rsidP="007F7F1A">
      <w:pPr>
        <w:pStyle w:val="Call"/>
        <w:spacing w:line="240" w:lineRule="auto"/>
        <w:rPr>
          <w:rFonts w:cs="Times New Roman"/>
          <w:lang w:val="es-ES_tradnl"/>
        </w:rPr>
      </w:pPr>
      <w:proofErr w:type="gramStart"/>
      <w:r w:rsidRPr="001708A0">
        <w:rPr>
          <w:rFonts w:cs="Times New Roman"/>
          <w:lang w:val="es-ES_tradnl"/>
        </w:rPr>
        <w:t>decide</w:t>
      </w:r>
      <w:proofErr w:type="gramEnd"/>
      <w:r w:rsidRPr="001708A0">
        <w:rPr>
          <w:rFonts w:cs="Times New Roman"/>
          <w:lang w:val="es-ES_tradnl"/>
        </w:rPr>
        <w:t xml:space="preserve"> además</w:t>
      </w:r>
    </w:p>
    <w:p w14:paraId="320EA549" w14:textId="77777777" w:rsidR="007F7F1A" w:rsidRPr="001708A0" w:rsidRDefault="007F7F1A" w:rsidP="007F7F1A">
      <w:pPr>
        <w:spacing w:line="240" w:lineRule="auto"/>
        <w:rPr>
          <w:rFonts w:cs="Times New Roman"/>
          <w:lang w:val="es-ES_tradnl"/>
        </w:rPr>
      </w:pPr>
      <w:r w:rsidRPr="001708A0">
        <w:rPr>
          <w:rFonts w:cs="Times New Roman"/>
          <w:lang w:val="es-ES_tradnl"/>
        </w:rPr>
        <w:t>1</w:t>
      </w:r>
      <w:r w:rsidRPr="001708A0">
        <w:rPr>
          <w:rFonts w:cs="Times New Roman"/>
          <w:lang w:val="es-ES_tradnl"/>
        </w:rPr>
        <w:tab/>
        <w:t>que los resultados de estos estudios se incluyan en una o más Recomendaciones y/o Informes del UIT-R, según el caso;</w:t>
      </w:r>
    </w:p>
    <w:p w14:paraId="76E7B9EF" w14:textId="77777777" w:rsidR="007F7F1A" w:rsidRPr="001708A0" w:rsidRDefault="007F7F1A" w:rsidP="007F7F1A">
      <w:pPr>
        <w:spacing w:line="240" w:lineRule="auto"/>
        <w:rPr>
          <w:rFonts w:cs="Times New Roman"/>
          <w:lang w:val="es-ES_tradnl"/>
        </w:rPr>
      </w:pPr>
      <w:r w:rsidRPr="001708A0">
        <w:rPr>
          <w:rFonts w:cs="Times New Roman"/>
          <w:lang w:val="es-ES_tradnl"/>
        </w:rPr>
        <w:t>2</w:t>
      </w:r>
      <w:r w:rsidRPr="001708A0">
        <w:rPr>
          <w:rFonts w:cs="Times New Roman"/>
          <w:lang w:val="es-ES_tradnl"/>
        </w:rPr>
        <w:tab/>
        <w:t>que estos estudios se terminen a más tardar en 2027.</w:t>
      </w:r>
    </w:p>
    <w:p w14:paraId="32D4EC8D" w14:textId="081EA3AF" w:rsidR="007F7F1A" w:rsidRDefault="007F7F1A" w:rsidP="007F7F1A">
      <w:pPr>
        <w:spacing w:before="480" w:line="240" w:lineRule="auto"/>
        <w:rPr>
          <w:rFonts w:cs="Times New Roman"/>
          <w:lang w:val="es-ES_tradnl"/>
        </w:rPr>
      </w:pPr>
      <w:r w:rsidRPr="001708A0">
        <w:rPr>
          <w:rFonts w:cs="Times New Roman"/>
          <w:lang w:val="es-ES_tradnl"/>
        </w:rPr>
        <w:t xml:space="preserve">Categoría: </w:t>
      </w:r>
      <w:r w:rsidR="00DF19EE">
        <w:rPr>
          <w:rFonts w:cs="Times New Roman"/>
          <w:lang w:val="es-ES_tradnl"/>
        </w:rPr>
        <w:t xml:space="preserve"> </w:t>
      </w:r>
      <w:proofErr w:type="spellStart"/>
      <w:r w:rsidRPr="001708A0">
        <w:rPr>
          <w:rFonts w:cs="Times New Roman"/>
          <w:lang w:val="es-ES_tradnl"/>
        </w:rPr>
        <w:t>S2</w:t>
      </w:r>
      <w:proofErr w:type="spellEnd"/>
    </w:p>
    <w:p w14:paraId="5C978371" w14:textId="77777777" w:rsidR="00DF19EE" w:rsidRDefault="00DF19EE" w:rsidP="0032202E">
      <w:pPr>
        <w:pStyle w:val="Reasons"/>
      </w:pPr>
    </w:p>
    <w:p w14:paraId="1A7A3031" w14:textId="2FBBD8B4" w:rsidR="00DF19EE" w:rsidRPr="00DF19EE" w:rsidRDefault="00DF19EE" w:rsidP="00DF19EE">
      <w:pPr>
        <w:jc w:val="center"/>
      </w:pPr>
      <w:r>
        <w:t>______________</w:t>
      </w:r>
    </w:p>
    <w:sectPr w:rsidR="00DF19EE" w:rsidRPr="00DF19EE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6844" w14:textId="77777777" w:rsidR="007F7F1A" w:rsidRDefault="007F7F1A">
      <w:r>
        <w:separator/>
      </w:r>
    </w:p>
  </w:endnote>
  <w:endnote w:type="continuationSeparator" w:id="0">
    <w:p w14:paraId="354F960C" w14:textId="77777777" w:rsidR="007F7F1A" w:rsidRDefault="007F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0C4C" w14:textId="77777777" w:rsidR="007F7F1A" w:rsidRDefault="007F7F1A">
      <w:r>
        <w:t>____________________</w:t>
      </w:r>
    </w:p>
  </w:footnote>
  <w:footnote w:type="continuationSeparator" w:id="0">
    <w:p w14:paraId="00159618" w14:textId="77777777" w:rsidR="007F7F1A" w:rsidRDefault="007F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947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7F1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08A0"/>
    <w:rsid w:val="00172122"/>
    <w:rsid w:val="00182528"/>
    <w:rsid w:val="0018500B"/>
    <w:rsid w:val="00196A19"/>
    <w:rsid w:val="00202DC1"/>
    <w:rsid w:val="002116EE"/>
    <w:rsid w:val="002119AB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09CD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F7F1A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3E40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B0519"/>
    <w:rsid w:val="00CC01C2"/>
    <w:rsid w:val="00CF21F2"/>
    <w:rsid w:val="00CF7719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19EE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63C4EB9"/>
  <w15:docId w15:val="{16FC67DD-098E-4634-977F-60FE22E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8A0"/>
    <w:pPr>
      <w:tabs>
        <w:tab w:val="left" w:pos="1134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rsid w:val="007F7F1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7F7F1A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7</cp:revision>
  <cp:lastPrinted>2008-02-21T14:04:00Z</cp:lastPrinted>
  <dcterms:created xsi:type="dcterms:W3CDTF">2021-09-10T14:32:00Z</dcterms:created>
  <dcterms:modified xsi:type="dcterms:W3CDTF">2021-09-13T14:42:00Z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