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4922" w14:textId="77777777" w:rsidR="009A1488" w:rsidRPr="009A1488" w:rsidRDefault="009A1488" w:rsidP="009A1488">
      <w:pPr>
        <w:pStyle w:val="QuestionNo"/>
        <w:rPr>
          <w:rFonts w:ascii="Times New Roman" w:hAnsi="Times New Roman" w:cs="Times New Roman"/>
        </w:rPr>
      </w:pPr>
      <w:r w:rsidRPr="009A1488">
        <w:rPr>
          <w:rFonts w:ascii="Times New Roman" w:hAnsi="Times New Roman" w:cs="Times New Roman"/>
        </w:rPr>
        <w:t>QUESTION ITU-R 257/7</w:t>
      </w:r>
    </w:p>
    <w:p w14:paraId="79C76D69" w14:textId="77777777" w:rsidR="009A1488" w:rsidRDefault="009A1488" w:rsidP="009A1488">
      <w:pPr>
        <w:pStyle w:val="Questiontitle"/>
        <w:rPr>
          <w:rFonts w:asciiTheme="majorBidi" w:hAnsiTheme="majorBidi" w:cstheme="majorBidi"/>
        </w:rPr>
      </w:pPr>
      <w:r w:rsidRPr="00FD2B63">
        <w:rPr>
          <w:rFonts w:asciiTheme="majorBidi" w:hAnsiTheme="majorBidi" w:cstheme="majorBidi"/>
        </w:rPr>
        <w:t xml:space="preserve">Technical and operational characteristics of radio astronomy applications operating above 275 </w:t>
      </w:r>
      <w:proofErr w:type="gramStart"/>
      <w:r w:rsidRPr="00FD2B63">
        <w:rPr>
          <w:rFonts w:asciiTheme="majorBidi" w:hAnsiTheme="majorBidi" w:cstheme="majorBidi"/>
        </w:rPr>
        <w:t>GHz</w:t>
      </w:r>
      <w:proofErr w:type="gramEnd"/>
    </w:p>
    <w:p w14:paraId="72BD4562" w14:textId="77777777" w:rsidR="009A1488" w:rsidRPr="009649DF" w:rsidRDefault="009A1488" w:rsidP="009A1488">
      <w:pPr>
        <w:pStyle w:val="Questiondate"/>
        <w:rPr>
          <w:rFonts w:asciiTheme="majorBidi" w:hAnsiTheme="majorBidi" w:cstheme="majorBidi"/>
          <w:i/>
          <w:iCs/>
        </w:rPr>
      </w:pPr>
      <w:r w:rsidRPr="009649DF">
        <w:rPr>
          <w:rFonts w:asciiTheme="majorBidi" w:hAnsiTheme="majorBidi" w:cstheme="majorBidi"/>
          <w:iCs/>
        </w:rPr>
        <w:t>(2017)</w:t>
      </w:r>
    </w:p>
    <w:p w14:paraId="621BC4B3" w14:textId="77777777" w:rsidR="009A1488" w:rsidRPr="00FD2B63" w:rsidRDefault="009A1488" w:rsidP="009A1488">
      <w:pPr>
        <w:pStyle w:val="Normalaftertitle"/>
        <w:rPr>
          <w:rFonts w:asciiTheme="majorBidi" w:hAnsiTheme="majorBidi" w:cstheme="majorBidi"/>
        </w:rPr>
      </w:pPr>
      <w:r w:rsidRPr="00FD2B63">
        <w:rPr>
          <w:rFonts w:asciiTheme="majorBidi" w:hAnsiTheme="majorBidi" w:cstheme="majorBidi"/>
        </w:rPr>
        <w:t>The ITU Radiocommunication Assembly,</w:t>
      </w:r>
    </w:p>
    <w:p w14:paraId="5E55E9DB" w14:textId="1135AD76" w:rsidR="009A1488" w:rsidRPr="00FD2B63" w:rsidRDefault="009A1488" w:rsidP="009A1488">
      <w:pPr>
        <w:pStyle w:val="Call"/>
      </w:pPr>
      <w:r w:rsidRPr="009A1488">
        <w:t>considering</w:t>
      </w:r>
    </w:p>
    <w:p w14:paraId="20F966CE" w14:textId="77777777" w:rsidR="009A1488" w:rsidRPr="00FD2B63" w:rsidRDefault="009A1488" w:rsidP="009A1488">
      <w:pPr>
        <w:tabs>
          <w:tab w:val="clear" w:pos="794"/>
          <w:tab w:val="clear" w:pos="1191"/>
          <w:tab w:val="left" w:pos="1134"/>
        </w:tabs>
        <w:rPr>
          <w:rFonts w:asciiTheme="majorBidi" w:hAnsiTheme="majorBidi" w:cstheme="majorBidi"/>
        </w:rPr>
      </w:pPr>
      <w:r w:rsidRPr="00FD2B63">
        <w:rPr>
          <w:rFonts w:asciiTheme="majorBidi" w:hAnsiTheme="majorBidi" w:cstheme="majorBidi"/>
          <w:i/>
          <w:iCs/>
        </w:rPr>
        <w:t>a)</w:t>
      </w:r>
      <w:r w:rsidRPr="00FD2B63">
        <w:rPr>
          <w:rFonts w:asciiTheme="majorBidi" w:hAnsiTheme="majorBidi" w:cstheme="majorBidi"/>
        </w:rPr>
        <w:tab/>
        <w:t>that many cosmic phenomena are observable only at frequencies above 275 GHz owing to the physical laws which govern them;</w:t>
      </w:r>
    </w:p>
    <w:p w14:paraId="1AE9A410" w14:textId="77777777" w:rsidR="009A1488" w:rsidRPr="00FD2B63" w:rsidRDefault="009A1488" w:rsidP="009A1488">
      <w:pPr>
        <w:tabs>
          <w:tab w:val="clear" w:pos="794"/>
          <w:tab w:val="clear" w:pos="1191"/>
          <w:tab w:val="left" w:pos="1134"/>
        </w:tabs>
        <w:rPr>
          <w:rFonts w:asciiTheme="majorBidi" w:hAnsiTheme="majorBidi" w:cstheme="majorBidi"/>
        </w:rPr>
      </w:pPr>
      <w:r w:rsidRPr="00FD2B63">
        <w:rPr>
          <w:rFonts w:asciiTheme="majorBidi" w:hAnsiTheme="majorBidi" w:cstheme="majorBidi"/>
          <w:i/>
          <w:iCs/>
        </w:rPr>
        <w:t>b)</w:t>
      </w:r>
      <w:r w:rsidRPr="00FD2B63">
        <w:rPr>
          <w:rFonts w:asciiTheme="majorBidi" w:hAnsiTheme="majorBidi" w:cstheme="majorBidi"/>
        </w:rPr>
        <w:tab/>
        <w:t>that the ability of the radio astronomy service to operate at frequencies above 275 GHz has improved to the point that observations are regularly conducted at various terrestrial locations, on airborne platforms, and by space missions;</w:t>
      </w:r>
    </w:p>
    <w:p w14:paraId="1047A845" w14:textId="77777777" w:rsidR="009A1488" w:rsidRPr="00FD2B63" w:rsidRDefault="009A1488" w:rsidP="009A1488">
      <w:pPr>
        <w:tabs>
          <w:tab w:val="clear" w:pos="794"/>
          <w:tab w:val="clear" w:pos="1191"/>
          <w:tab w:val="left" w:pos="1134"/>
        </w:tabs>
        <w:rPr>
          <w:rFonts w:asciiTheme="majorBidi" w:hAnsiTheme="majorBidi" w:cstheme="majorBidi"/>
        </w:rPr>
      </w:pPr>
      <w:r w:rsidRPr="00FD2B63">
        <w:rPr>
          <w:rFonts w:asciiTheme="majorBidi" w:hAnsiTheme="majorBidi" w:cstheme="majorBidi"/>
          <w:i/>
          <w:iCs/>
        </w:rPr>
        <w:t>c)</w:t>
      </w:r>
      <w:r w:rsidRPr="00FD2B63">
        <w:rPr>
          <w:rFonts w:asciiTheme="majorBidi" w:hAnsiTheme="majorBidi" w:cstheme="majorBidi"/>
        </w:rPr>
        <w:tab/>
        <w:t>that applications of active services above 275 GHz are under development;</w:t>
      </w:r>
    </w:p>
    <w:p w14:paraId="280F2A39" w14:textId="77777777" w:rsidR="009A1488" w:rsidRPr="00FD2B63" w:rsidRDefault="009A1488" w:rsidP="009A1488">
      <w:pPr>
        <w:tabs>
          <w:tab w:val="clear" w:pos="794"/>
          <w:tab w:val="clear" w:pos="1191"/>
          <w:tab w:val="left" w:pos="1134"/>
        </w:tabs>
        <w:rPr>
          <w:rFonts w:asciiTheme="majorBidi" w:hAnsiTheme="majorBidi" w:cstheme="majorBidi"/>
        </w:rPr>
      </w:pPr>
      <w:r w:rsidRPr="00FD2B63">
        <w:rPr>
          <w:rFonts w:asciiTheme="majorBidi" w:hAnsiTheme="majorBidi" w:cstheme="majorBidi"/>
          <w:i/>
          <w:iCs/>
        </w:rPr>
        <w:t>d)</w:t>
      </w:r>
      <w:r w:rsidRPr="00FD2B63">
        <w:rPr>
          <w:rFonts w:asciiTheme="majorBidi" w:hAnsiTheme="majorBidi" w:cstheme="majorBidi"/>
        </w:rPr>
        <w:tab/>
        <w:t>that compatibility of the use of the spectrum above 275 GHz should be ensured;</w:t>
      </w:r>
    </w:p>
    <w:p w14:paraId="68D3874C" w14:textId="77777777" w:rsidR="009A1488" w:rsidRPr="00FD2B63" w:rsidRDefault="009A1488" w:rsidP="009A1488">
      <w:pPr>
        <w:tabs>
          <w:tab w:val="clear" w:pos="794"/>
          <w:tab w:val="clear" w:pos="1191"/>
          <w:tab w:val="left" w:pos="1134"/>
        </w:tabs>
        <w:rPr>
          <w:rFonts w:asciiTheme="majorBidi" w:hAnsiTheme="majorBidi" w:cstheme="majorBidi"/>
        </w:rPr>
      </w:pPr>
      <w:r w:rsidRPr="00FD2B63">
        <w:rPr>
          <w:rFonts w:asciiTheme="majorBidi" w:hAnsiTheme="majorBidi" w:cstheme="majorBidi"/>
          <w:i/>
          <w:iCs/>
        </w:rPr>
        <w:t>e)</w:t>
      </w:r>
      <w:r w:rsidRPr="00FD2B63">
        <w:rPr>
          <w:rFonts w:asciiTheme="majorBidi" w:hAnsiTheme="majorBidi" w:cstheme="majorBidi"/>
        </w:rPr>
        <w:tab/>
        <w:t>that compatibility is facilitated when the operational and technical characteristics of systems are clearly understood,</w:t>
      </w:r>
    </w:p>
    <w:p w14:paraId="15FA7077" w14:textId="534C357F" w:rsidR="009A1488" w:rsidRPr="00FD2B63" w:rsidRDefault="009A1488" w:rsidP="009A1488">
      <w:pPr>
        <w:pStyle w:val="Call"/>
      </w:pPr>
      <w:r w:rsidRPr="009A1488">
        <w:t>recognizing</w:t>
      </w:r>
    </w:p>
    <w:p w14:paraId="43B93064" w14:textId="77777777" w:rsidR="009A1488" w:rsidRPr="00FD2B63" w:rsidRDefault="009A1488" w:rsidP="009A1488">
      <w:pPr>
        <w:tabs>
          <w:tab w:val="clear" w:pos="794"/>
          <w:tab w:val="clear" w:pos="1191"/>
          <w:tab w:val="left" w:pos="1134"/>
        </w:tabs>
        <w:rPr>
          <w:rFonts w:asciiTheme="majorBidi" w:hAnsiTheme="majorBidi" w:cstheme="majorBidi"/>
        </w:rPr>
      </w:pPr>
      <w:r w:rsidRPr="00FD2B63">
        <w:rPr>
          <w:rFonts w:asciiTheme="majorBidi" w:hAnsiTheme="majorBidi" w:cstheme="majorBidi"/>
          <w:i/>
          <w:iCs/>
        </w:rPr>
        <w:t>a)</w:t>
      </w:r>
      <w:r w:rsidRPr="00FD2B63">
        <w:rPr>
          <w:rFonts w:asciiTheme="majorBidi" w:hAnsiTheme="majorBidi" w:cstheme="majorBidi"/>
        </w:rPr>
        <w:tab/>
        <w:t>that spectrum allocations do not currently exist above 275 GHz;</w:t>
      </w:r>
    </w:p>
    <w:p w14:paraId="328237C8" w14:textId="77777777" w:rsidR="009A1488" w:rsidRPr="00FD2B63" w:rsidRDefault="009A1488" w:rsidP="009A1488">
      <w:pPr>
        <w:tabs>
          <w:tab w:val="clear" w:pos="794"/>
          <w:tab w:val="clear" w:pos="1191"/>
          <w:tab w:val="left" w:pos="1134"/>
        </w:tabs>
        <w:rPr>
          <w:rFonts w:asciiTheme="majorBidi" w:hAnsiTheme="majorBidi" w:cstheme="majorBidi"/>
        </w:rPr>
      </w:pPr>
      <w:r w:rsidRPr="00FD2B63">
        <w:rPr>
          <w:rFonts w:asciiTheme="majorBidi" w:hAnsiTheme="majorBidi" w:cstheme="majorBidi"/>
          <w:i/>
          <w:iCs/>
        </w:rPr>
        <w:t>b)</w:t>
      </w:r>
      <w:r>
        <w:rPr>
          <w:rFonts w:asciiTheme="majorBidi" w:hAnsiTheme="majorBidi" w:cstheme="majorBidi"/>
        </w:rPr>
        <w:tab/>
        <w:t xml:space="preserve">that RR </w:t>
      </w:r>
      <w:r w:rsidRPr="00FD2B63">
        <w:rPr>
          <w:rFonts w:asciiTheme="majorBidi" w:hAnsiTheme="majorBidi" w:cstheme="majorBidi"/>
        </w:rPr>
        <w:t xml:space="preserve">No. </w:t>
      </w:r>
      <w:r w:rsidRPr="00FD2B63">
        <w:rPr>
          <w:rFonts w:asciiTheme="majorBidi" w:hAnsiTheme="majorBidi" w:cstheme="majorBidi"/>
          <w:b/>
          <w:bCs/>
        </w:rPr>
        <w:t>5.565</w:t>
      </w:r>
      <w:r w:rsidRPr="00FD2B63">
        <w:rPr>
          <w:rFonts w:asciiTheme="majorBidi" w:hAnsiTheme="majorBidi" w:cstheme="majorBidi"/>
        </w:rPr>
        <w:t xml:space="preserve"> identifies bands in the range 275-1 000 GHz for use by administrations for passive service applications, including radio astronomy applications,</w:t>
      </w:r>
    </w:p>
    <w:p w14:paraId="48A2CA20" w14:textId="2DAD3ABB" w:rsidR="009A1488" w:rsidRPr="00FD2B63" w:rsidRDefault="009A1488" w:rsidP="009A1488">
      <w:pPr>
        <w:pStyle w:val="Call"/>
      </w:pPr>
      <w:r w:rsidRPr="00FD2B63">
        <w:t xml:space="preserve">decides </w:t>
      </w:r>
      <w:r w:rsidRPr="009A1488">
        <w:rPr>
          <w:i w:val="0"/>
          <w:iCs/>
        </w:rPr>
        <w:t>that the following Questions should be studied</w:t>
      </w:r>
    </w:p>
    <w:p w14:paraId="2830F8A1" w14:textId="77777777" w:rsidR="009A1488" w:rsidRPr="00FD2B63" w:rsidRDefault="009A1488" w:rsidP="009A1488">
      <w:pPr>
        <w:tabs>
          <w:tab w:val="clear" w:pos="794"/>
          <w:tab w:val="clear" w:pos="1191"/>
          <w:tab w:val="left" w:pos="1134"/>
        </w:tabs>
        <w:rPr>
          <w:rFonts w:asciiTheme="majorBidi" w:hAnsiTheme="majorBidi" w:cstheme="majorBidi"/>
        </w:rPr>
      </w:pPr>
      <w:r w:rsidRPr="00FD2B63">
        <w:rPr>
          <w:rFonts w:asciiTheme="majorBidi" w:hAnsiTheme="majorBidi" w:cstheme="majorBidi"/>
        </w:rPr>
        <w:t>1</w:t>
      </w:r>
      <w:r w:rsidRPr="00FD2B63">
        <w:rPr>
          <w:rFonts w:asciiTheme="majorBidi" w:hAnsiTheme="majorBidi" w:cstheme="majorBidi"/>
        </w:rPr>
        <w:tab/>
        <w:t>What are the technical and operational characteristics of systems operating at frequencies above 275 GHz in the radio astronomy service?</w:t>
      </w:r>
    </w:p>
    <w:p w14:paraId="79BF0B81" w14:textId="77777777" w:rsidR="009A1488" w:rsidRPr="00FD2B63" w:rsidRDefault="009A1488" w:rsidP="009A1488">
      <w:pPr>
        <w:tabs>
          <w:tab w:val="clear" w:pos="794"/>
          <w:tab w:val="clear" w:pos="1191"/>
          <w:tab w:val="left" w:pos="1134"/>
        </w:tabs>
        <w:rPr>
          <w:rFonts w:asciiTheme="majorBidi" w:hAnsiTheme="majorBidi" w:cstheme="majorBidi"/>
        </w:rPr>
      </w:pPr>
      <w:r w:rsidRPr="00FD2B63">
        <w:rPr>
          <w:rFonts w:asciiTheme="majorBidi" w:hAnsiTheme="majorBidi" w:cstheme="majorBidi"/>
        </w:rPr>
        <w:t>2</w:t>
      </w:r>
      <w:r w:rsidRPr="00FD2B63">
        <w:rPr>
          <w:rFonts w:asciiTheme="majorBidi" w:hAnsiTheme="majorBidi" w:cstheme="majorBidi"/>
        </w:rPr>
        <w:tab/>
        <w:t>Which of these technical and operational characteristics are of particular importance in ensuring the compatible use of spectrum above 275 GHz?</w:t>
      </w:r>
    </w:p>
    <w:p w14:paraId="31295DF5" w14:textId="0058528B" w:rsidR="009A1488" w:rsidRPr="00FD2B63" w:rsidRDefault="009A1488" w:rsidP="009A1488">
      <w:pPr>
        <w:pStyle w:val="Call"/>
      </w:pPr>
      <w:r w:rsidRPr="00FD2B63">
        <w:t>further decides</w:t>
      </w:r>
    </w:p>
    <w:p w14:paraId="1B0650DB" w14:textId="77777777" w:rsidR="009A1488" w:rsidRPr="00FD2B63" w:rsidRDefault="009A1488" w:rsidP="009A1488">
      <w:pPr>
        <w:tabs>
          <w:tab w:val="clear" w:pos="794"/>
          <w:tab w:val="clear" w:pos="1191"/>
          <w:tab w:val="left" w:pos="1134"/>
        </w:tabs>
        <w:rPr>
          <w:rFonts w:asciiTheme="majorBidi" w:hAnsiTheme="majorBidi" w:cstheme="majorBidi"/>
        </w:rPr>
      </w:pPr>
      <w:r w:rsidRPr="00FD2B63">
        <w:rPr>
          <w:rFonts w:asciiTheme="majorBidi" w:hAnsiTheme="majorBidi" w:cstheme="majorBidi"/>
          <w:bCs/>
        </w:rPr>
        <w:t>1</w:t>
      </w:r>
      <w:r w:rsidRPr="00FD2B63">
        <w:rPr>
          <w:rFonts w:asciiTheme="majorBidi" w:hAnsiTheme="majorBidi" w:cstheme="majorBidi"/>
        </w:rPr>
        <w:tab/>
        <w:t>that the results of studies should be brought to the attention of the other Study Groups;</w:t>
      </w:r>
    </w:p>
    <w:p w14:paraId="5C5894A9" w14:textId="77777777" w:rsidR="009A1488" w:rsidRPr="00FD2B63" w:rsidRDefault="009A1488" w:rsidP="009A1488">
      <w:pPr>
        <w:tabs>
          <w:tab w:val="clear" w:pos="794"/>
          <w:tab w:val="clear" w:pos="1191"/>
          <w:tab w:val="left" w:pos="1134"/>
        </w:tabs>
        <w:rPr>
          <w:rFonts w:asciiTheme="majorBidi" w:hAnsiTheme="majorBidi" w:cstheme="majorBidi"/>
        </w:rPr>
      </w:pPr>
      <w:r w:rsidRPr="00FD2B63">
        <w:rPr>
          <w:rFonts w:asciiTheme="majorBidi" w:hAnsiTheme="majorBidi" w:cstheme="majorBidi"/>
        </w:rPr>
        <w:t>2</w:t>
      </w:r>
      <w:r w:rsidRPr="00FD2B63">
        <w:rPr>
          <w:rFonts w:asciiTheme="majorBidi" w:hAnsiTheme="majorBidi" w:cstheme="majorBidi"/>
        </w:rPr>
        <w:tab/>
        <w:t>that the results of studies should be included in ITU-R Recommendations and/or Reports, as appropriate;</w:t>
      </w:r>
    </w:p>
    <w:p w14:paraId="4D4BEC96" w14:textId="4A1C8F3E" w:rsidR="009A1488" w:rsidRDefault="009A1488" w:rsidP="009A1488">
      <w:pPr>
        <w:tabs>
          <w:tab w:val="clear" w:pos="794"/>
          <w:tab w:val="clear" w:pos="1191"/>
          <w:tab w:val="left" w:pos="1134"/>
        </w:tabs>
        <w:rPr>
          <w:rFonts w:asciiTheme="majorBidi" w:hAnsiTheme="majorBidi" w:cstheme="majorBidi"/>
        </w:rPr>
      </w:pPr>
      <w:r w:rsidRPr="00FD2B63">
        <w:rPr>
          <w:rFonts w:asciiTheme="majorBidi" w:hAnsiTheme="majorBidi" w:cstheme="majorBidi"/>
        </w:rPr>
        <w:t>3</w:t>
      </w:r>
      <w:r w:rsidRPr="00FD2B63">
        <w:rPr>
          <w:rFonts w:asciiTheme="majorBidi" w:hAnsiTheme="majorBidi" w:cstheme="majorBidi"/>
        </w:rPr>
        <w:tab/>
        <w:t>that the above studies should be completed before 202</w:t>
      </w:r>
      <w:r>
        <w:rPr>
          <w:rFonts w:asciiTheme="majorBidi" w:hAnsiTheme="majorBidi" w:cstheme="majorBidi"/>
        </w:rPr>
        <w:t>7</w:t>
      </w:r>
      <w:r w:rsidRPr="00FD2B63">
        <w:rPr>
          <w:rFonts w:asciiTheme="majorBidi" w:hAnsiTheme="majorBidi" w:cstheme="majorBidi"/>
        </w:rPr>
        <w:t>.</w:t>
      </w:r>
    </w:p>
    <w:p w14:paraId="1337310B" w14:textId="05186548" w:rsidR="00D80A65" w:rsidRPr="009A1488" w:rsidRDefault="009A1488" w:rsidP="009A1488">
      <w:pPr>
        <w:tabs>
          <w:tab w:val="clear" w:pos="794"/>
          <w:tab w:val="clear" w:pos="1191"/>
          <w:tab w:val="left" w:pos="1134"/>
        </w:tabs>
        <w:spacing w:before="360"/>
        <w:rPr>
          <w:rFonts w:asciiTheme="majorBidi" w:hAnsiTheme="majorBidi" w:cstheme="majorBidi"/>
        </w:rPr>
      </w:pPr>
      <w:r w:rsidRPr="00FD2B63">
        <w:rPr>
          <w:rFonts w:asciiTheme="majorBidi" w:hAnsiTheme="majorBidi" w:cstheme="majorBidi"/>
        </w:rPr>
        <w:t xml:space="preserve">Category: </w:t>
      </w:r>
      <w:proofErr w:type="spellStart"/>
      <w:r w:rsidRPr="00FD2B63">
        <w:rPr>
          <w:rFonts w:asciiTheme="majorBidi" w:hAnsiTheme="majorBidi" w:cstheme="majorBidi"/>
        </w:rPr>
        <w:t>S2</w:t>
      </w:r>
      <w:proofErr w:type="spellEnd"/>
    </w:p>
    <w:sectPr w:rsidR="00D80A65" w:rsidRPr="009A1488"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754A1"/>
    <w:rsid w:val="002845CC"/>
    <w:rsid w:val="002A7FE2"/>
    <w:rsid w:val="002E1B4F"/>
    <w:rsid w:val="002F2E67"/>
    <w:rsid w:val="002F7CB3"/>
    <w:rsid w:val="00315546"/>
    <w:rsid w:val="00330567"/>
    <w:rsid w:val="00386A9D"/>
    <w:rsid w:val="00391081"/>
    <w:rsid w:val="003A1239"/>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A28CB"/>
    <w:rsid w:val="008C2302"/>
    <w:rsid w:val="008C26B8"/>
    <w:rsid w:val="008F208F"/>
    <w:rsid w:val="00982084"/>
    <w:rsid w:val="00995963"/>
    <w:rsid w:val="009A1488"/>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3178"/>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80A65"/>
    <w:rsid w:val="00DB178B"/>
    <w:rsid w:val="00DC17D3"/>
    <w:rsid w:val="00DD14F4"/>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488"/>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eastAsia="en-US"/>
    </w:rPr>
  </w:style>
  <w:style w:type="paragraph" w:styleId="Heading1">
    <w:name w:val="heading 1"/>
    <w:basedOn w:val="Normal"/>
    <w:next w:val="Normal"/>
    <w:qFormat/>
    <w:rsid w:val="009C185B"/>
    <w:pPr>
      <w:keepNext/>
      <w:keepLines/>
      <w:tabs>
        <w:tab w:val="clear" w:pos="794"/>
        <w:tab w:val="clear" w:pos="1191"/>
        <w:tab w:val="clear" w:pos="1588"/>
        <w:tab w:val="clear" w:pos="1985"/>
        <w:tab w:val="left" w:pos="1134"/>
        <w:tab w:val="left" w:pos="1871"/>
        <w:tab w:val="left" w:pos="2268"/>
      </w:tabs>
      <w:spacing w:before="280" w:line="240" w:lineRule="auto"/>
      <w:ind w:left="1134" w:hanging="1134"/>
      <w:jc w:val="left"/>
      <w:outlineLvl w:val="0"/>
    </w:pPr>
    <w:rPr>
      <w:rFonts w:ascii="Times New Roman" w:hAnsi="Times New Roman" w:cs="Times New Roman"/>
      <w:b/>
      <w:sz w:val="28"/>
      <w:szCs w:val="20"/>
      <w:lang w:val="en-GB"/>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tabs>
        <w:tab w:val="clear" w:pos="794"/>
        <w:tab w:val="clear" w:pos="1191"/>
        <w:tab w:val="clear" w:pos="1588"/>
        <w:tab w:val="clear" w:pos="1985"/>
        <w:tab w:val="left" w:pos="1134"/>
        <w:tab w:val="left" w:pos="1871"/>
        <w:tab w:val="left" w:pos="2268"/>
      </w:tabs>
      <w:spacing w:before="360" w:line="240" w:lineRule="auto"/>
      <w:jc w:val="left"/>
    </w:pPr>
    <w:rPr>
      <w:rFonts w:ascii="Times New Roman" w:hAnsi="Times New Roman" w:cs="Times New Roman"/>
      <w:szCs w:val="20"/>
      <w:lang w:val="en-GB"/>
    </w:rPr>
  </w:style>
  <w:style w:type="paragraph" w:customStyle="1" w:styleId="Artheading">
    <w:name w:val="Art_heading"/>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Bold" w:hAnsi="Times New Roman Bold" w:cs="Times New Roman"/>
      <w:b/>
      <w:sz w:val="28"/>
      <w:szCs w:val="20"/>
      <w:lang w:val="en-GB"/>
    </w:rPr>
  </w:style>
  <w:style w:type="paragraph" w:customStyle="1" w:styleId="ArtNo">
    <w:name w:val="Art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en-GB"/>
    </w:rPr>
  </w:style>
  <w:style w:type="paragraph" w:customStyle="1" w:styleId="Arttitle">
    <w:name w:val="Art_title"/>
    <w:basedOn w:val="Normal"/>
    <w:next w:val="Normal"/>
    <w:rsid w:val="009C185B"/>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w:hAnsi="Times New Roman" w:cs="Times New Roman"/>
      <w:b/>
      <w:sz w:val="28"/>
      <w:szCs w:val="20"/>
      <w:lang w:val="en-GB"/>
    </w:rPr>
  </w:style>
  <w:style w:type="paragraph" w:customStyle="1" w:styleId="ASN1">
    <w:name w:val="ASN.1"/>
    <w:basedOn w:val="Normal"/>
    <w:rsid w:val="009C185B"/>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line="240" w:lineRule="auto"/>
      <w:jc w:val="left"/>
    </w:pPr>
    <w:rPr>
      <w:rFonts w:ascii="Times New Roman Bold" w:hAnsi="Times New Roman Bold" w:cs="Times New Roman"/>
      <w:b/>
      <w:noProof/>
      <w:sz w:val="20"/>
      <w:szCs w:val="20"/>
      <w:lang w:val="en-GB"/>
    </w:rPr>
  </w:style>
  <w:style w:type="paragraph" w:customStyle="1" w:styleId="Call">
    <w:name w:val="Call"/>
    <w:basedOn w:val="Normal"/>
    <w:next w:val="Normal"/>
    <w:link w:val="CallChar"/>
    <w:rsid w:val="009C185B"/>
    <w:pPr>
      <w:keepNext/>
      <w:keepLines/>
      <w:tabs>
        <w:tab w:val="clear" w:pos="794"/>
        <w:tab w:val="clear" w:pos="1191"/>
        <w:tab w:val="clear" w:pos="1588"/>
        <w:tab w:val="clear" w:pos="1985"/>
        <w:tab w:val="left" w:pos="1134"/>
        <w:tab w:val="left" w:pos="1871"/>
        <w:tab w:val="left" w:pos="2268"/>
      </w:tabs>
      <w:spacing w:line="240" w:lineRule="auto"/>
      <w:ind w:left="1134"/>
      <w:jc w:val="left"/>
    </w:pPr>
    <w:rPr>
      <w:rFonts w:ascii="Times New Roman" w:hAnsi="Times New Roman" w:cs="Times New Roman"/>
      <w:i/>
      <w:szCs w:val="20"/>
      <w:lang w:val="en-GB"/>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0"/>
      <w:szCs w:val="20"/>
      <w:lang w:val="en-GB"/>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794"/>
        <w:tab w:val="clear" w:pos="1191"/>
        <w:tab w:val="clear" w:pos="1588"/>
        <w:tab w:val="clear" w:pos="1985"/>
        <w:tab w:val="left" w:pos="5954"/>
        <w:tab w:val="right" w:pos="9639"/>
      </w:tabs>
      <w:spacing w:before="0" w:line="240" w:lineRule="auto"/>
      <w:jc w:val="left"/>
    </w:pPr>
    <w:rPr>
      <w:rFonts w:ascii="Times New Roman" w:hAnsi="Times New Roman" w:cs="Times New Roman"/>
      <w:caps/>
      <w:noProof/>
      <w:sz w:val="16"/>
      <w:szCs w:val="20"/>
      <w:lang w:val="en-GB"/>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rsid w:val="009C185B"/>
    <w:pPr>
      <w:keepLines/>
      <w:tabs>
        <w:tab w:val="clear" w:pos="794"/>
        <w:tab w:val="clear" w:pos="1191"/>
        <w:tab w:val="clear" w:pos="1588"/>
        <w:tab w:val="clear" w:pos="1985"/>
        <w:tab w:val="left" w:pos="255"/>
        <w:tab w:val="left" w:pos="1134"/>
        <w:tab w:val="left" w:pos="1871"/>
        <w:tab w:val="left" w:pos="2268"/>
      </w:tabs>
      <w:spacing w:before="120" w:line="240" w:lineRule="auto"/>
      <w:jc w:val="left"/>
    </w:pPr>
    <w:rPr>
      <w:rFonts w:ascii="Times New Roman" w:hAnsi="Times New Roman" w:cs="Times New Roman"/>
      <w:szCs w:val="20"/>
      <w:lang w:val="en-GB"/>
    </w:r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tabs>
        <w:tab w:val="clear" w:pos="794"/>
        <w:tab w:val="clear" w:pos="1191"/>
        <w:tab w:val="clear" w:pos="1588"/>
        <w:tab w:val="clear" w:pos="1985"/>
        <w:tab w:val="left" w:pos="1134"/>
        <w:tab w:val="left" w:pos="1871"/>
        <w:tab w:val="left" w:pos="2268"/>
      </w:tabs>
      <w:spacing w:before="0" w:line="240" w:lineRule="auto"/>
      <w:jc w:val="center"/>
    </w:pPr>
    <w:rPr>
      <w:rFonts w:ascii="Times New Roman" w:hAnsi="Times New Roman" w:cs="Times New Roman"/>
      <w:sz w:val="18"/>
      <w:szCs w:val="20"/>
      <w:lang w:val="en-GB"/>
    </w:rPr>
  </w:style>
  <w:style w:type="paragraph" w:styleId="Index1">
    <w:name w:val="index 1"/>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paragraph" w:styleId="Index2">
    <w:name w:val="index 2"/>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ind w:left="283"/>
      <w:jc w:val="left"/>
    </w:pPr>
    <w:rPr>
      <w:rFonts w:ascii="Times New Roman" w:hAnsi="Times New Roman" w:cs="Times New Roman"/>
      <w:szCs w:val="20"/>
      <w:lang w:val="en-GB"/>
    </w:rPr>
  </w:style>
  <w:style w:type="paragraph" w:styleId="Index3">
    <w:name w:val="index 3"/>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ind w:left="566"/>
      <w:jc w:val="left"/>
    </w:pPr>
    <w:rPr>
      <w:rFonts w:ascii="Times New Roman" w:hAnsi="Times New Roman" w:cs="Times New Roman"/>
      <w:szCs w:val="20"/>
      <w:lang w:val="en-GB"/>
    </w:r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right" w:pos="9781"/>
      </w:tabs>
    </w:pPr>
    <w:rPr>
      <w:b/>
    </w:rPr>
  </w:style>
  <w:style w:type="paragraph" w:styleId="TOC1">
    <w:name w:val="toc 1"/>
    <w:basedOn w:val="Normal"/>
    <w:rsid w:val="009C185B"/>
    <w:pPr>
      <w:keepLines/>
      <w:tabs>
        <w:tab w:val="clear" w:pos="794"/>
        <w:tab w:val="clear" w:pos="1191"/>
        <w:tab w:val="clear" w:pos="1588"/>
        <w:tab w:val="clear" w:pos="1985"/>
        <w:tab w:val="left" w:pos="567"/>
        <w:tab w:val="left" w:leader="dot" w:pos="7938"/>
        <w:tab w:val="center" w:pos="9526"/>
      </w:tabs>
      <w:spacing w:before="240" w:line="240" w:lineRule="auto"/>
      <w:ind w:left="567" w:hanging="567"/>
      <w:jc w:val="left"/>
    </w:pPr>
    <w:rPr>
      <w:rFonts w:ascii="Times New Roman" w:hAnsi="Times New Roman" w:cs="Times New Roman"/>
      <w:szCs w:val="20"/>
      <w:lang w:val="en-GB"/>
    </w:r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en-G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tabs>
        <w:tab w:val="clear" w:pos="794"/>
        <w:tab w:val="clear" w:pos="1191"/>
        <w:tab w:val="clear" w:pos="1588"/>
        <w:tab w:val="clear" w:pos="1985"/>
        <w:tab w:val="left" w:pos="1134"/>
        <w:tab w:val="left" w:pos="1871"/>
        <w:tab w:val="left" w:pos="2268"/>
      </w:tabs>
      <w:spacing w:line="240" w:lineRule="auto"/>
      <w:jc w:val="left"/>
    </w:pPr>
    <w:rPr>
      <w:rFonts w:ascii="Times New Roman" w:hAnsi="Times New Roman" w:cs="Times New Roman"/>
      <w:i/>
      <w:szCs w:val="20"/>
      <w:lang w:val="en-GB"/>
    </w:rPr>
  </w:style>
  <w:style w:type="paragraph" w:customStyle="1" w:styleId="Headingb">
    <w:name w:val="Heading_b"/>
    <w:basedOn w:val="Normal"/>
    <w:next w:val="Normal"/>
    <w:qFormat/>
    <w:rsid w:val="009C185B"/>
    <w:pPr>
      <w:keepNext/>
      <w:keepLines/>
      <w:tabs>
        <w:tab w:val="clear" w:pos="794"/>
        <w:tab w:val="clear" w:pos="1191"/>
        <w:tab w:val="clear" w:pos="1588"/>
        <w:tab w:val="clear" w:pos="1985"/>
        <w:tab w:val="left" w:pos="1134"/>
        <w:tab w:val="left" w:pos="1871"/>
        <w:tab w:val="left" w:pos="2268"/>
      </w:tabs>
      <w:spacing w:line="240" w:lineRule="auto"/>
      <w:jc w:val="left"/>
    </w:pPr>
    <w:rPr>
      <w:rFonts w:ascii="Times New Roman Bold" w:hAnsi="Times New Roman Bold" w:cs="Times New Roman Bold"/>
      <w:b/>
      <w:szCs w:val="20"/>
      <w:lang w:val="en-GB"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794"/>
        <w:tab w:val="clear" w:pos="1191"/>
        <w:tab w:val="left" w:pos="1134"/>
      </w:tabs>
      <w:spacing w:before="120" w:line="240" w:lineRule="auto"/>
      <w:jc w:val="left"/>
    </w:pPr>
    <w:rPr>
      <w:rFonts w:ascii="Times New Roman" w:hAnsi="Times New Roman" w:cs="Times New Roman"/>
      <w:szCs w:val="20"/>
      <w:lang w:val="en-GB"/>
    </w:r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n-GB"/>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794"/>
        <w:tab w:val="clear" w:pos="1191"/>
        <w:tab w:val="clear" w:pos="1588"/>
        <w:tab w:val="clear" w:pos="1985"/>
        <w:tab w:val="center" w:pos="7371"/>
      </w:tabs>
      <w:spacing w:before="600" w:line="240" w:lineRule="auto"/>
      <w:jc w:val="left"/>
    </w:pPr>
    <w:rPr>
      <w:rFonts w:ascii="Times New Roman" w:hAnsi="Times New Roman" w:cs="Times New Roman"/>
      <w:szCs w:val="20"/>
      <w:lang w:val="en-GB"/>
    </w:r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1</Pages>
  <Words>257</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Chamova, Alisa</cp:lastModifiedBy>
  <cp:revision>2</cp:revision>
  <cp:lastPrinted>2008-02-21T14:04:00Z</cp:lastPrinted>
  <dcterms:created xsi:type="dcterms:W3CDTF">2024-02-13T15:27:00Z</dcterms:created>
  <dcterms:modified xsi:type="dcterms:W3CDTF">2024-02-13T15:27:00Z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