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5891" w14:textId="77777777" w:rsidR="00CC6C74" w:rsidRDefault="00CC6C74" w:rsidP="00CC6C74">
      <w:pPr>
        <w:pStyle w:val="QuestionNoBR"/>
        <w:rPr>
          <w:lang w:eastAsia="zh-CN"/>
        </w:rPr>
      </w:pPr>
      <w:r>
        <w:rPr>
          <w:lang w:eastAsia="zh-CN"/>
        </w:rPr>
        <w:t>ITU-R</w:t>
      </w:r>
      <w:r w:rsidRPr="00E14EA2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255</w:t>
      </w:r>
      <w:r w:rsidRPr="00E14EA2">
        <w:rPr>
          <w:lang w:eastAsia="zh-CN"/>
        </w:rPr>
        <w:t>/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 w:rsidRPr="00E14EA2">
        <w:rPr>
          <w:rFonts w:hint="eastAsia"/>
          <w:lang w:eastAsia="zh-CN"/>
        </w:rPr>
        <w:t>课题</w:t>
      </w:r>
      <w:r w:rsidRPr="00700407">
        <w:rPr>
          <w:rStyle w:val="FootnoteReference"/>
          <w:vertAlign w:val="superscript"/>
          <w:lang w:val="en-US"/>
        </w:rPr>
        <w:footnoteReference w:id="1"/>
      </w:r>
    </w:p>
    <w:p w14:paraId="1CC88DA4" w14:textId="77777777" w:rsidR="00CC6C74" w:rsidRDefault="00CC6C74" w:rsidP="00CC6C74">
      <w:pPr>
        <w:pStyle w:val="Questiontitle"/>
        <w:rPr>
          <w:lang w:eastAsia="zh-CN"/>
        </w:rPr>
      </w:pPr>
      <w:r w:rsidRPr="009C4103">
        <w:rPr>
          <w:lang w:eastAsia="zh-CN"/>
        </w:rPr>
        <w:t>对卫星地球探测业务（无源）传感器的</w:t>
      </w:r>
      <w:r>
        <w:rPr>
          <w:rFonts w:hint="eastAsia"/>
          <w:lang w:eastAsia="zh-CN"/>
        </w:rPr>
        <w:br/>
      </w:r>
      <w:r w:rsidRPr="009C4103">
        <w:rPr>
          <w:lang w:eastAsia="zh-CN"/>
        </w:rPr>
        <w:t>无线电频率干扰的发现和解决</w:t>
      </w:r>
    </w:p>
    <w:p w14:paraId="54EE93AF" w14:textId="77777777" w:rsidR="00CC6C74" w:rsidRPr="00CC6C74" w:rsidRDefault="00CC6C74" w:rsidP="00CC6C74">
      <w:pPr>
        <w:pStyle w:val="Questiondate"/>
      </w:pPr>
      <w:r w:rsidRPr="00CC6C74">
        <w:t>（</w:t>
      </w:r>
      <w:r w:rsidRPr="00CC6C74">
        <w:t>2014</w:t>
      </w:r>
      <w:r w:rsidRPr="00CC6C74">
        <w:t>）</w:t>
      </w:r>
    </w:p>
    <w:p w14:paraId="5FA488DF" w14:textId="77777777" w:rsidR="00CC6C74" w:rsidRPr="009C4103" w:rsidRDefault="00CC6C74" w:rsidP="00CC6C74">
      <w:pPr>
        <w:pStyle w:val="Normalaftertitle0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14:paraId="4623CD38" w14:textId="77777777" w:rsidR="00CC6C74" w:rsidRPr="009C4103" w:rsidRDefault="00CC6C74" w:rsidP="00CC6C74">
      <w:pPr>
        <w:pStyle w:val="Call"/>
        <w:rPr>
          <w:i/>
          <w:lang w:eastAsia="zh-CN"/>
        </w:rPr>
      </w:pPr>
      <w:r w:rsidRPr="009C4103">
        <w:rPr>
          <w:lang w:eastAsia="zh-CN"/>
        </w:rPr>
        <w:t>考虑到</w:t>
      </w:r>
    </w:p>
    <w:p w14:paraId="6684C0FF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关于</w:t>
      </w:r>
      <w:r w:rsidRPr="00225966">
        <w:rPr>
          <w:rFonts w:ascii="SimSun" w:hAnsi="SimSun" w:cstheme="majorBidi"/>
          <w:szCs w:val="24"/>
          <w:lang w:eastAsia="zh-CN"/>
        </w:rPr>
        <w:t>“</w:t>
      </w:r>
      <w:r w:rsidRPr="009C4103">
        <w:rPr>
          <w:rFonts w:asciiTheme="majorBidi" w:eastAsia="STKaiti" w:hAnsiTheme="majorBidi" w:cstheme="majorBidi"/>
          <w:szCs w:val="24"/>
          <w:lang w:eastAsia="zh-CN"/>
        </w:rPr>
        <w:t>地球观测无线电通信应用的重要性</w:t>
      </w:r>
      <w:r w:rsidRPr="00225966">
        <w:rPr>
          <w:rFonts w:ascii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673</w:t>
      </w:r>
      <w:r w:rsidRPr="009C4103">
        <w:rPr>
          <w:rFonts w:asciiTheme="majorBidi" w:hAnsiTheme="majorBidi" w:cstheme="majorBidi"/>
          <w:szCs w:val="24"/>
          <w:lang w:eastAsia="zh-CN"/>
        </w:rPr>
        <w:t>号决议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WRC-12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，修订版）</w:t>
      </w:r>
      <w:r w:rsidRPr="009C4103">
        <w:rPr>
          <w:rFonts w:asciiTheme="majorBidi" w:hAnsiTheme="majorBidi" w:cstheme="majorBidi"/>
          <w:szCs w:val="24"/>
          <w:lang w:eastAsia="zh-CN"/>
        </w:rPr>
        <w:t>敦促各主管部门顾及地球观测的无线电频谱需求，特别是相关频段内地球观测系统的保护；</w:t>
      </w:r>
    </w:p>
    <w:p w14:paraId="0DECE6CF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</w:t>
      </w:r>
      <w:proofErr w:type="spellStart"/>
      <w:r w:rsidRPr="009C4103">
        <w:rPr>
          <w:rFonts w:asciiTheme="majorBidi" w:hAnsiTheme="majorBidi" w:cstheme="majorBidi"/>
          <w:szCs w:val="24"/>
          <w:lang w:eastAsia="zh-CN"/>
        </w:rPr>
        <w:t>EESS</w:t>
      </w:r>
      <w:proofErr w:type="spellEnd"/>
      <w:r w:rsidRPr="009C4103">
        <w:rPr>
          <w:rFonts w:asciiTheme="majorBidi" w:hAnsiTheme="majorBidi" w:cstheme="majorBidi"/>
          <w:szCs w:val="24"/>
          <w:lang w:eastAsia="zh-CN"/>
        </w:rPr>
        <w:t>）（无源）传感器提供的近期微波图像显示，因干扰而毁坏的数据日益增多；</w:t>
      </w:r>
    </w:p>
    <w:p w14:paraId="545F4374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尤其在《无线电规则》第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5.340</w:t>
      </w:r>
      <w:r w:rsidRPr="009C4103">
        <w:rPr>
          <w:rFonts w:asciiTheme="majorBidi" w:hAnsiTheme="majorBidi" w:cstheme="majorBidi"/>
          <w:szCs w:val="24"/>
          <w:lang w:eastAsia="zh-CN"/>
        </w:rPr>
        <w:t>款脚注所规定的禁止一切发射的频段出现了极高强度的干扰；</w:t>
      </w:r>
    </w:p>
    <w:p w14:paraId="65AB9214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无源传感器的运行机构在解决这些干扰时遇到困难，特别是为解决全球出现的诸多干扰，无源传感器的运行机构需与所有相关主管部门进行协商，从而产生高额费用；</w:t>
      </w:r>
    </w:p>
    <w:p w14:paraId="020FFA69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这一干扰的解决过程通常可持续多年，</w:t>
      </w:r>
    </w:p>
    <w:p w14:paraId="3A064C43" w14:textId="77777777" w:rsidR="00CC6C74" w:rsidRPr="009C4103" w:rsidRDefault="00CC6C74" w:rsidP="00CC6C74">
      <w:pPr>
        <w:pStyle w:val="Call"/>
        <w:rPr>
          <w:i/>
          <w:lang w:eastAsia="zh-CN"/>
        </w:rPr>
      </w:pPr>
      <w:r w:rsidRPr="009C4103">
        <w:rPr>
          <w:lang w:eastAsia="zh-CN"/>
        </w:rPr>
        <w:t>认识到</w:t>
      </w:r>
    </w:p>
    <w:p w14:paraId="1EA87013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根据《组织法》，国际电联的一项宗旨是，协调各种努力，消除有害干扰；</w:t>
      </w:r>
    </w:p>
    <w:p w14:paraId="3EE04931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</w:t>
      </w:r>
      <w:r w:rsidRPr="009C4103">
        <w:rPr>
          <w:rFonts w:asciiTheme="majorBidi" w:hAnsiTheme="majorBidi" w:cstheme="majorBidi"/>
          <w:szCs w:val="24"/>
          <w:lang w:eastAsia="zh-CN"/>
        </w:rPr>
        <w:t>条，特别是（有关</w:t>
      </w:r>
      <w:r w:rsidRPr="00225966">
        <w:rPr>
          <w:rFonts w:ascii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违章报告</w:t>
      </w:r>
      <w:r w:rsidRPr="00225966">
        <w:rPr>
          <w:rFonts w:ascii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15.21</w:t>
      </w:r>
      <w:r w:rsidRPr="009C4103">
        <w:rPr>
          <w:rFonts w:asciiTheme="majorBidi" w:hAnsiTheme="majorBidi" w:cstheme="majorBidi"/>
          <w:szCs w:val="24"/>
          <w:lang w:eastAsia="zh-CN"/>
        </w:rPr>
        <w:t>款和（有关</w:t>
      </w:r>
      <w:r w:rsidRPr="00225966">
        <w:rPr>
          <w:rFonts w:ascii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有害干扰事件情况的处理程序</w:t>
      </w:r>
      <w:r w:rsidRPr="00225966">
        <w:rPr>
          <w:rFonts w:ascii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15.22-15.46</w:t>
      </w:r>
      <w:r w:rsidRPr="009C4103">
        <w:rPr>
          <w:rFonts w:asciiTheme="majorBidi" w:hAnsiTheme="majorBidi" w:cstheme="majorBidi"/>
          <w:szCs w:val="24"/>
          <w:lang w:eastAsia="zh-CN"/>
        </w:rPr>
        <w:t>款的规定适用于有害干扰的情况；</w:t>
      </w:r>
    </w:p>
    <w:p w14:paraId="3D64B0CC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提供了在任何可能的情况下，对与有害干扰事件相关的详细情况进行记录应采用的表格；</w:t>
      </w:r>
    </w:p>
    <w:p w14:paraId="5ADF4D56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 xml:space="preserve">ITU-R </w:t>
      </w:r>
      <w:proofErr w:type="spellStart"/>
      <w:r w:rsidRPr="009C4103">
        <w:rPr>
          <w:rFonts w:asciiTheme="majorBidi" w:hAnsiTheme="majorBidi" w:cstheme="majorBidi"/>
          <w:szCs w:val="24"/>
          <w:lang w:eastAsia="zh-CN"/>
        </w:rPr>
        <w:t>SM.2181</w:t>
      </w:r>
      <w:proofErr w:type="spellEnd"/>
      <w:r w:rsidRPr="009C4103">
        <w:rPr>
          <w:rFonts w:asciiTheme="majorBidi" w:hAnsiTheme="majorBidi" w:cstheme="majorBidi"/>
          <w:szCs w:val="24"/>
          <w:lang w:eastAsia="zh-CN"/>
        </w:rPr>
        <w:t>报告提供了如何在有害干扰报告中对附录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所示详细情况之外的其他信息进行记录的有关信息</w:t>
      </w:r>
      <w:r>
        <w:rPr>
          <w:rFonts w:asciiTheme="majorBidi" w:hAnsiTheme="majorBidi" w:cstheme="majorBidi" w:hint="eastAsia"/>
          <w:szCs w:val="24"/>
          <w:lang w:eastAsia="zh-CN"/>
        </w:rPr>
        <w:t>，</w:t>
      </w:r>
    </w:p>
    <w:p w14:paraId="43A6C42B" w14:textId="77777777" w:rsidR="00CC6C74" w:rsidRPr="009C4103" w:rsidRDefault="00CC6C74" w:rsidP="00CC6C74">
      <w:pPr>
        <w:overflowPunct/>
        <w:autoSpaceDE/>
        <w:autoSpaceDN/>
        <w:adjustRightInd/>
        <w:spacing w:before="0"/>
        <w:textAlignment w:val="auto"/>
        <w:rPr>
          <w:rFonts w:asciiTheme="majorBidi" w:eastAsia="STKaiti" w:hAnsiTheme="majorBidi" w:cstheme="majorBidi"/>
          <w:iCs/>
          <w:szCs w:val="24"/>
          <w:lang w:val="es-ES_tradnl" w:eastAsia="zh-CN"/>
        </w:rPr>
      </w:pPr>
      <w:r w:rsidRPr="009C4103">
        <w:rPr>
          <w:rFonts w:asciiTheme="majorBidi" w:eastAsia="STKaiti" w:hAnsiTheme="majorBidi" w:cstheme="majorBidi"/>
          <w:i/>
          <w:iCs/>
          <w:szCs w:val="24"/>
          <w:lang w:eastAsia="zh-CN"/>
        </w:rPr>
        <w:br w:type="page"/>
      </w:r>
    </w:p>
    <w:p w14:paraId="6FC07CFC" w14:textId="77777777" w:rsidR="00CC6C74" w:rsidRPr="009C4103" w:rsidRDefault="00CC6C74" w:rsidP="00CC6C74">
      <w:pPr>
        <w:pStyle w:val="Call"/>
        <w:rPr>
          <w:i/>
          <w:lang w:eastAsia="zh-CN"/>
        </w:rPr>
      </w:pPr>
      <w:r w:rsidRPr="009C4103">
        <w:rPr>
          <w:lang w:eastAsia="zh-CN"/>
        </w:rPr>
        <w:lastRenderedPageBreak/>
        <w:t>做出决定，应研究以下课题</w:t>
      </w:r>
    </w:p>
    <w:p w14:paraId="4687C7CF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为有效处理干扰事件出现，采取什么方法将卫星地球探测业务（无源）传感器遇到的无线电频率干扰事件通知给相关主管部门？</w:t>
      </w:r>
    </w:p>
    <w:p w14:paraId="62091834" w14:textId="7777777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与卫星地球探测业务（无源）传感器相关的挑战和可能的解决方案是什么？目的在于：</w:t>
      </w:r>
    </w:p>
    <w:p w14:paraId="11F27216" w14:textId="77777777" w:rsidR="00CC6C74" w:rsidRPr="009C4103" w:rsidRDefault="00CC6C74" w:rsidP="00CC6C74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–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确定无线电频率干扰的来源；并</w:t>
      </w:r>
    </w:p>
    <w:p w14:paraId="1D0F7EC0" w14:textId="77777777" w:rsidR="00CC6C74" w:rsidRPr="009C4103" w:rsidRDefault="00CC6C74" w:rsidP="00CC6C74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–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由相关主管部门解决这些无线电频率干扰来源的问题，</w:t>
      </w:r>
    </w:p>
    <w:p w14:paraId="767E4D89" w14:textId="77777777" w:rsidR="00CC6C74" w:rsidRPr="009C4103" w:rsidRDefault="00CC6C74" w:rsidP="00CC6C74">
      <w:pPr>
        <w:pStyle w:val="Call"/>
        <w:rPr>
          <w:lang w:eastAsia="zh-CN"/>
        </w:rPr>
      </w:pPr>
      <w:r w:rsidRPr="009C4103">
        <w:rPr>
          <w:lang w:eastAsia="zh-CN"/>
        </w:rPr>
        <w:t>进一步做出决定</w:t>
      </w:r>
    </w:p>
    <w:p w14:paraId="66716D0A" w14:textId="77777777" w:rsidR="00CC6C74" w:rsidRPr="009C4103" w:rsidRDefault="00CC6C74" w:rsidP="00CC6C74">
      <w:pPr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应酌情将上述研究结果纳入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ITU-R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的报告或建议书中；</w:t>
      </w:r>
    </w:p>
    <w:p w14:paraId="2871049B" w14:textId="684E64E7" w:rsidR="00CC6C74" w:rsidRPr="009C4103" w:rsidRDefault="00CC6C74" w:rsidP="00CC6C74">
      <w:pPr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上述研究应于</w:t>
      </w:r>
      <w:r>
        <w:rPr>
          <w:rFonts w:asciiTheme="majorBidi" w:hAnsiTheme="majorBidi" w:cstheme="majorBidi"/>
          <w:bCs/>
          <w:szCs w:val="24"/>
          <w:lang w:eastAsia="zh-CN"/>
        </w:rPr>
        <w:t>202</w:t>
      </w:r>
      <w:r>
        <w:rPr>
          <w:rFonts w:asciiTheme="majorBidi" w:hAnsiTheme="majorBidi" w:cstheme="majorBidi"/>
          <w:bCs/>
          <w:szCs w:val="24"/>
          <w:lang w:eastAsia="zh-CN"/>
        </w:rPr>
        <w:t>7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14:paraId="01E9D98A" w14:textId="611D1F1E" w:rsidR="002B43B0" w:rsidRPr="00CC6C74" w:rsidRDefault="00CC6C74" w:rsidP="00CC6C74">
      <w:pPr>
        <w:spacing w:before="360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类别：</w:t>
      </w:r>
      <w:proofErr w:type="spellStart"/>
      <w:r w:rsidRPr="009C4103">
        <w:rPr>
          <w:rFonts w:asciiTheme="majorBidi" w:hAnsiTheme="majorBidi" w:cstheme="majorBidi"/>
          <w:szCs w:val="24"/>
          <w:lang w:eastAsia="zh-CN"/>
        </w:rPr>
        <w:t>S1</w:t>
      </w:r>
      <w:proofErr w:type="spellEnd"/>
    </w:p>
    <w:sectPr w:rsidR="002B43B0" w:rsidRPr="00CC6C74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638EE219" w:rsidR="00C07CF1" w:rsidRPr="00877D12" w:rsidRDefault="00CC6C74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  <w:footnote w:id="1">
    <w:p w14:paraId="3DC489EE" w14:textId="77777777" w:rsidR="00CC6C74" w:rsidRPr="00613EA2" w:rsidRDefault="00CC6C74" w:rsidP="00CC6C74">
      <w:pPr>
        <w:pStyle w:val="EndnoteText"/>
        <w:tabs>
          <w:tab w:val="left" w:pos="284"/>
        </w:tabs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应提请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ITU-R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第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1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研究</w:t>
      </w:r>
      <w:proofErr w:type="gramStart"/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组注意</w:t>
      </w:r>
      <w:proofErr w:type="gramEnd"/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此课题。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CC6C74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link w:val="enumlev1Char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enumlev1Char">
    <w:name w:val="enumlev1 Char"/>
    <w:link w:val="enumlev1"/>
    <w:locked/>
    <w:rsid w:val="00CC6C74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CC6C74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CC6C74"/>
    <w:rPr>
      <w:rFonts w:ascii="Times New Roman Bold" w:hAnsi="Times New Roman Bold"/>
      <w:b/>
      <w:sz w:val="28"/>
      <w:lang w:val="en-GB" w:eastAsia="en-US"/>
    </w:rPr>
  </w:style>
  <w:style w:type="paragraph" w:customStyle="1" w:styleId="QuestionNoBR">
    <w:name w:val="Question_No_BR"/>
    <w:basedOn w:val="Normal"/>
    <w:next w:val="Questiontitle"/>
    <w:rsid w:val="00CC6C7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</w:rPr>
  </w:style>
  <w:style w:type="paragraph" w:customStyle="1" w:styleId="call0">
    <w:name w:val="call"/>
    <w:basedOn w:val="Normal"/>
    <w:next w:val="Normal"/>
    <w:rsid w:val="00CC6C7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  <w:textAlignment w:val="auto"/>
    </w:pPr>
    <w:rPr>
      <w:rFonts w:eastAsia="MS Mincho"/>
      <w:i/>
      <w:sz w:val="20"/>
      <w:lang w:val="es-ES_tradnl"/>
    </w:rPr>
  </w:style>
  <w:style w:type="paragraph" w:customStyle="1" w:styleId="StyleCallLatinKaiTiGB2312AsianKaiTiGB2312SymbolS">
    <w:name w:val="Style Call + (Latin) KaiTi_GB2312 (Asian) KaiTi_GB2312 (Symbol) S..."/>
    <w:basedOn w:val="call0"/>
    <w:link w:val="StyleCallLatinKaiTiGB2312AsianKaiTiGB2312SymbolSChar"/>
    <w:rsid w:val="00CC6C74"/>
    <w:pPr>
      <w:tabs>
        <w:tab w:val="left" w:pos="1191"/>
        <w:tab w:val="left" w:pos="1588"/>
        <w:tab w:val="left" w:pos="1985"/>
      </w:tabs>
      <w:spacing w:before="160"/>
      <w:textAlignment w:val="baseline"/>
    </w:pPr>
    <w:rPr>
      <w:rFonts w:ascii="STKaiti" w:eastAsia="STKaiti" w:hAnsi="STKaiti"/>
      <w:i w:val="0"/>
      <w:iCs/>
      <w:sz w:val="24"/>
      <w:szCs w:val="22"/>
      <w:lang w:val="en-US"/>
    </w:rPr>
  </w:style>
  <w:style w:type="character" w:customStyle="1" w:styleId="StyleCallLatinKaiTiGB2312AsianKaiTiGB2312SymbolSChar">
    <w:name w:val="Style Call + (Latin) KaiTi_GB2312 (Asian) KaiTi_GB2312 (Symbol) S... Char"/>
    <w:basedOn w:val="DefaultParagraphFont"/>
    <w:link w:val="StyleCallLatinKaiTiGB2312AsianKaiTiGB2312SymbolS"/>
    <w:rsid w:val="00CC6C74"/>
    <w:rPr>
      <w:rFonts w:ascii="STKaiti" w:eastAsia="STKaiti" w:hAnsi="STKaiti"/>
      <w:iCs/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rsid w:val="00CC6C7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Calibri" w:eastAsia="Times New Roman" w:hAnsi="Calibri" w:cs="Calibri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CC6C74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2</Pages>
  <Words>703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2</cp:revision>
  <cp:lastPrinted>2007-04-05T15:30:00Z</cp:lastPrinted>
  <dcterms:created xsi:type="dcterms:W3CDTF">2024-02-13T15:04:00Z</dcterms:created>
  <dcterms:modified xsi:type="dcterms:W3CDTF">2024-02-13T15:04:00Z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