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81C7" w14:textId="77777777" w:rsidR="0019217F" w:rsidRPr="001234B3" w:rsidRDefault="0019217F" w:rsidP="0019217F">
      <w:pPr>
        <w:pStyle w:val="RecNo"/>
        <w:rPr>
          <w:lang w:val="fr-FR"/>
        </w:rPr>
      </w:pPr>
      <w:r w:rsidRPr="00875878">
        <w:rPr>
          <w:rFonts w:hint="cs"/>
          <w:rtl/>
          <w:lang w:bidi="ar-EG"/>
        </w:rPr>
        <w:t>المسألة</w:t>
      </w:r>
      <w:r w:rsidRPr="001234B3">
        <w:rPr>
          <w:rFonts w:hint="cs"/>
          <w:rtl/>
          <w:lang w:bidi="ar-EG"/>
        </w:rPr>
        <w:t xml:space="preserve"> </w:t>
      </w:r>
      <w:r w:rsidRPr="002E09AC">
        <w:t>ITU</w:t>
      </w:r>
      <w:r w:rsidRPr="001234B3">
        <w:rPr>
          <w:lang w:val="fr-FR"/>
        </w:rPr>
        <w:t>-R 236</w:t>
      </w:r>
      <w:r w:rsidRPr="001234B3">
        <w:rPr>
          <w:lang w:val="fr-FR"/>
        </w:rPr>
        <w:noBreakHyphen/>
      </w:r>
      <w:r>
        <w:rPr>
          <w:lang w:val="fr-FR"/>
        </w:rPr>
        <w:t>3</w:t>
      </w:r>
      <w:r w:rsidRPr="001234B3">
        <w:rPr>
          <w:lang w:val="fr-FR"/>
        </w:rPr>
        <w:t>/7</w:t>
      </w:r>
      <w:r w:rsidRPr="001234B3">
        <w:rPr>
          <w:rFonts w:hint="cs"/>
          <w:rtl/>
          <w:lang w:bidi="ar-EG"/>
        </w:rPr>
        <w:footnoteReference w:customMarkFollows="1" w:id="1"/>
        <w:t>*</w:t>
      </w:r>
    </w:p>
    <w:p w14:paraId="35BF7521" w14:textId="77777777" w:rsidR="0019217F" w:rsidRPr="00954A27" w:rsidRDefault="0019217F" w:rsidP="0019217F">
      <w:pPr>
        <w:pStyle w:val="Rectitle"/>
        <w:rPr>
          <w:lang w:val="fr-FR"/>
        </w:rPr>
      </w:pPr>
      <w:r w:rsidRPr="00875878">
        <w:rPr>
          <w:rFonts w:hint="cs"/>
          <w:rtl/>
          <w:lang w:bidi="ar-EG"/>
        </w:rPr>
        <w:t>مستقبل جدول التوقيت</w:t>
      </w:r>
      <w:r w:rsidRPr="001234B3">
        <w:rPr>
          <w:rFonts w:hint="cs"/>
          <w:rtl/>
          <w:lang w:bidi="ar-EG"/>
        </w:rPr>
        <w:t xml:space="preserve"> الخاص بالتوقيت العالمي المنسَّق </w:t>
      </w:r>
      <w:r w:rsidRPr="00954A27">
        <w:rPr>
          <w:lang w:val="fr-FR"/>
        </w:rPr>
        <w:t>(UTC)</w:t>
      </w:r>
    </w:p>
    <w:p w14:paraId="0CFD318F" w14:textId="77777777" w:rsidR="0019217F" w:rsidRPr="001234B3" w:rsidRDefault="0019217F" w:rsidP="0019217F">
      <w:pPr>
        <w:jc w:val="right"/>
        <w:rPr>
          <w:rtl/>
          <w:lang w:bidi="ar-EG"/>
        </w:rPr>
      </w:pPr>
      <w:r w:rsidRPr="001234B3">
        <w:rPr>
          <w:lang w:val="fr-FR"/>
        </w:rPr>
        <w:t>(</w:t>
      </w:r>
      <w:r w:rsidRPr="00954A27">
        <w:rPr>
          <w:lang w:val="fr-FR"/>
        </w:rPr>
        <w:t>2023-</w:t>
      </w:r>
      <w:r w:rsidRPr="001234B3">
        <w:rPr>
          <w:lang w:val="fr-FR"/>
        </w:rPr>
        <w:t>2017-2014-2001)</w:t>
      </w:r>
    </w:p>
    <w:p w14:paraId="6862E1C3" w14:textId="77777777" w:rsidR="0019217F" w:rsidRPr="001234B3" w:rsidRDefault="0019217F" w:rsidP="0019217F">
      <w:pPr>
        <w:pStyle w:val="Normalaftertitle"/>
        <w:rPr>
          <w:rtl/>
        </w:rPr>
      </w:pPr>
      <w:r w:rsidRPr="001234B3">
        <w:rPr>
          <w:rFonts w:hint="cs"/>
          <w:rtl/>
        </w:rPr>
        <w:t>إن جمعية الاتصالات الراديوية للاتحاد الدولي للاتصالات،</w:t>
      </w:r>
    </w:p>
    <w:p w14:paraId="347BD320" w14:textId="77777777" w:rsidR="0019217F" w:rsidRDefault="0019217F" w:rsidP="0019217F">
      <w:pPr>
        <w:pStyle w:val="Call"/>
      </w:pPr>
      <w:r w:rsidRPr="001234B3">
        <w:rPr>
          <w:rFonts w:hint="cs"/>
          <w:rtl/>
        </w:rPr>
        <w:t>إذ تضع في اعتبارها</w:t>
      </w:r>
    </w:p>
    <w:p w14:paraId="0D5F51F0" w14:textId="77777777" w:rsidR="0019217F" w:rsidRPr="004F7A4A" w:rsidRDefault="0019217F" w:rsidP="0019217F">
      <w:pPr>
        <w:rPr>
          <w:rtl/>
        </w:rPr>
      </w:pPr>
      <w:r w:rsidRPr="004F7A4A">
        <w:rPr>
          <w:i/>
          <w:iCs/>
          <w:rtl/>
        </w:rPr>
        <w:t xml:space="preserve"> أ )</w:t>
      </w:r>
      <w:r w:rsidRPr="004F7A4A">
        <w:rPr>
          <w:rtl/>
        </w:rPr>
        <w:tab/>
        <w:t xml:space="preserve">أن قطاع الاتصالات الراديوية بالاتحاد الدولي للاتصالات </w:t>
      </w:r>
      <w:r w:rsidRPr="004F7A4A">
        <w:t>(ITU-R)</w:t>
      </w:r>
      <w:r w:rsidRPr="004F7A4A">
        <w:rPr>
          <w:rtl/>
        </w:rPr>
        <w:t xml:space="preserve"> مسؤول عن تعريف </w:t>
      </w:r>
      <w:r w:rsidRPr="004F7A4A">
        <w:rPr>
          <w:color w:val="000000"/>
          <w:rtl/>
        </w:rPr>
        <w:t xml:space="preserve">خدمة الترددات المعيارية وإشارات التوقيت </w:t>
      </w:r>
      <w:r w:rsidRPr="00102ACF">
        <w:t>(SFTS)</w:t>
      </w:r>
      <w:r w:rsidRPr="00102ACF">
        <w:rPr>
          <w:rtl/>
        </w:rPr>
        <w:t xml:space="preserve"> </w:t>
      </w:r>
      <w:r w:rsidRPr="004F7A4A">
        <w:rPr>
          <w:rtl/>
        </w:rPr>
        <w:t xml:space="preserve">والخدمة الساتلية للترددات المعيارية وإشارات التوقيت </w:t>
      </w:r>
      <w:r w:rsidRPr="00102ACF">
        <w:t>(SFTSS)</w:t>
      </w:r>
      <w:r w:rsidRPr="004F7A4A">
        <w:rPr>
          <w:rtl/>
        </w:rPr>
        <w:t xml:space="preserve"> من أجل نشر إشارات التوقيت عن طريق الاتصالات الراديوية؛</w:t>
      </w:r>
    </w:p>
    <w:p w14:paraId="1CD71977" w14:textId="77777777" w:rsidR="0019217F" w:rsidRDefault="0019217F" w:rsidP="0019217F">
      <w:pPr>
        <w:rPr>
          <w:rtl/>
        </w:rPr>
      </w:pPr>
      <w:r w:rsidRPr="004763BC">
        <w:rPr>
          <w:rFonts w:hint="cs"/>
          <w:i/>
          <w:iCs/>
          <w:rtl/>
        </w:rPr>
        <w:t>ب)</w:t>
      </w:r>
      <w:r w:rsidRPr="004763BC">
        <w:rPr>
          <w:rFonts w:hint="cs"/>
          <w:rtl/>
        </w:rPr>
        <w:tab/>
        <w:t xml:space="preserve">أن </w:t>
      </w:r>
      <w:r w:rsidRPr="004763BC">
        <w:rPr>
          <w:color w:val="000000"/>
          <w:rtl/>
        </w:rPr>
        <w:t xml:space="preserve">المكتب الدولي للأوزان </w:t>
      </w:r>
      <w:r w:rsidRPr="004763BC">
        <w:rPr>
          <w:rFonts w:hint="cs"/>
          <w:color w:val="000000"/>
          <w:rtl/>
        </w:rPr>
        <w:t xml:space="preserve">والمقاييس </w:t>
      </w:r>
      <w:r w:rsidRPr="004763BC">
        <w:rPr>
          <w:color w:val="000000"/>
        </w:rPr>
        <w:t>(BIPM)</w:t>
      </w:r>
      <w:r w:rsidRPr="004763BC">
        <w:rPr>
          <w:rFonts w:hint="cs"/>
          <w:rtl/>
        </w:rPr>
        <w:t xml:space="preserve"> مسؤول عن إنشاء وصيانة </w:t>
      </w:r>
      <w:r w:rsidRPr="004763BC">
        <w:rPr>
          <w:color w:val="000000"/>
          <w:rtl/>
        </w:rPr>
        <w:t xml:space="preserve">ثانية النظام الدولي </w:t>
      </w:r>
      <w:r w:rsidRPr="004763BC">
        <w:rPr>
          <w:rFonts w:hint="cs"/>
          <w:color w:val="000000"/>
          <w:rtl/>
        </w:rPr>
        <w:t>للوحدات</w:t>
      </w:r>
      <w:r w:rsidRPr="004763BC">
        <w:rPr>
          <w:rFonts w:hint="eastAsia"/>
          <w:color w:val="000000"/>
          <w:rtl/>
        </w:rPr>
        <w:t> </w:t>
      </w:r>
      <w:r w:rsidRPr="004763BC">
        <w:rPr>
          <w:color w:val="000000"/>
        </w:rPr>
        <w:t>(SI)</w:t>
      </w:r>
      <w:r w:rsidRPr="004763BC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وجدول التوقيت المرجعي (التوقيت المرجعي المنسق، </w:t>
      </w:r>
      <w:r>
        <w:t>UTC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باستخدام ثانية النظام الدولي للوحدات كوحدة للجدول</w:t>
      </w:r>
      <w:r w:rsidRPr="004763BC">
        <w:rPr>
          <w:rFonts w:hint="cs"/>
          <w:rtl/>
        </w:rPr>
        <w:t>؛</w:t>
      </w:r>
    </w:p>
    <w:p w14:paraId="02F8A354" w14:textId="77777777" w:rsidR="0019217F" w:rsidRDefault="0019217F" w:rsidP="0019217F">
      <w:pPr>
        <w:rPr>
          <w:rtl/>
        </w:rPr>
      </w:pPr>
      <w:r>
        <w:rPr>
          <w:rFonts w:hint="cs"/>
          <w:i/>
          <w:iCs/>
          <w:rtl/>
          <w:lang w:bidi="ar-EG"/>
        </w:rPr>
        <w:t>ج)</w:t>
      </w:r>
      <w:r w:rsidRPr="001234B3">
        <w:rPr>
          <w:rFonts w:hint="cs"/>
          <w:i/>
          <w:iCs/>
          <w:rtl/>
        </w:rPr>
        <w:tab/>
      </w:r>
      <w:r w:rsidRPr="001234B3">
        <w:rPr>
          <w:rFonts w:hint="cs"/>
          <w:rtl/>
        </w:rPr>
        <w:t xml:space="preserve">أن القرار </w:t>
      </w:r>
      <w:r w:rsidRPr="001234B3">
        <w:rPr>
          <w:b/>
          <w:bCs/>
          <w:lang w:val="fr-CH"/>
        </w:rPr>
        <w:t>655</w:t>
      </w:r>
      <w:r w:rsidRPr="001234B3">
        <w:rPr>
          <w:b/>
          <w:bCs/>
        </w:rPr>
        <w:t> (WRC</w:t>
      </w:r>
      <w:r w:rsidRPr="001234B3">
        <w:rPr>
          <w:b/>
          <w:bCs/>
        </w:rPr>
        <w:noBreakHyphen/>
        <w:t>15)</w:t>
      </w:r>
      <w:r w:rsidRPr="001234B3">
        <w:rPr>
          <w:rFonts w:hint="cs"/>
          <w:rtl/>
          <w:lang w:bidi="ar-EG"/>
        </w:rPr>
        <w:t xml:space="preserve"> يدعو قطاع الاتصالات الراديوية بالاتحاد والمكتب الدولي للأوزان والمقاييس </w:t>
      </w:r>
      <w:r w:rsidRPr="001234B3">
        <w:t>(BIPM)</w:t>
      </w:r>
      <w:r w:rsidRPr="001234B3">
        <w:rPr>
          <w:rFonts w:hint="cs"/>
          <w:rtl/>
        </w:rPr>
        <w:t xml:space="preserve"> والمنظمات الأخرى إلى التعاون في الدراسات والحوار والتقارير لمعالجة القضايا المحددة في ذلك القرار فيما يتعلق بتعريف جدول التوقيت ونشر إشارات التوقيت عن طريق أنظمة الاتصالات؛</w:t>
      </w:r>
    </w:p>
    <w:p w14:paraId="179E90BB" w14:textId="77777777" w:rsidR="0019217F" w:rsidRPr="006463F6" w:rsidRDefault="0019217F" w:rsidP="0019217F">
      <w:pPr>
        <w:rPr>
          <w:spacing w:val="4"/>
          <w:rtl/>
        </w:rPr>
      </w:pPr>
      <w:r w:rsidRPr="006463F6">
        <w:rPr>
          <w:i/>
          <w:iCs/>
          <w:spacing w:val="4"/>
          <w:rtl/>
        </w:rPr>
        <w:t>د )</w:t>
      </w:r>
      <w:r w:rsidRPr="006463F6">
        <w:rPr>
          <w:spacing w:val="4"/>
          <w:rtl/>
        </w:rPr>
        <w:tab/>
        <w:t xml:space="preserve">أن القرار 2 (2018) للمؤتمر العام السادس والعشرين للأوزان والمقاييس </w:t>
      </w:r>
      <w:r w:rsidRPr="006463F6">
        <w:rPr>
          <w:spacing w:val="4"/>
        </w:rPr>
        <w:t>(CGPM)</w:t>
      </w:r>
      <w:r w:rsidRPr="006463F6">
        <w:rPr>
          <w:spacing w:val="4"/>
          <w:rtl/>
        </w:rPr>
        <w:t xml:space="preserve"> يقدم تعريفاً للتوقيت العالمي المنسق ويؤكد أن التوقيت العالمي المنسق الذي أعده </w:t>
      </w:r>
      <w:r w:rsidRPr="006463F6">
        <w:rPr>
          <w:color w:val="000000"/>
          <w:spacing w:val="4"/>
          <w:rtl/>
        </w:rPr>
        <w:t xml:space="preserve">المكتب الدولي للأوزان والمقاييس </w:t>
      </w:r>
      <w:r w:rsidRPr="006463F6">
        <w:rPr>
          <w:color w:val="000000"/>
          <w:spacing w:val="4"/>
        </w:rPr>
        <w:t>(BIPM)</w:t>
      </w:r>
      <w:r w:rsidRPr="006463F6">
        <w:rPr>
          <w:spacing w:val="4"/>
          <w:rtl/>
        </w:rPr>
        <w:t xml:space="preserve"> هو جدول</w:t>
      </w:r>
      <w:r>
        <w:rPr>
          <w:rFonts w:hint="cs"/>
          <w:spacing w:val="4"/>
          <w:rtl/>
        </w:rPr>
        <w:t> </w:t>
      </w:r>
      <w:r w:rsidRPr="006463F6">
        <w:rPr>
          <w:spacing w:val="4"/>
          <w:rtl/>
        </w:rPr>
        <w:t xml:space="preserve">التوقيت الوحيد الموصى به كمرجع دولي وهو الأساس لضبط التوقيت المدني في معظم البلدان </w:t>
      </w:r>
      <w:r w:rsidRPr="005517AE">
        <w:rPr>
          <w:spacing w:val="4"/>
        </w:rPr>
        <w:t>(</w:t>
      </w:r>
      <w:hyperlink r:id="rId8" w:history="1">
        <w:r w:rsidRPr="005517AE">
          <w:rPr>
            <w:rStyle w:val="Hyperlink"/>
            <w:spacing w:val="4"/>
          </w:rPr>
          <w:t>https://www.bipm.org/en/committees/cg/cgpm/26-2018/resolution-2</w:t>
        </w:r>
      </w:hyperlink>
      <w:r w:rsidRPr="005517AE">
        <w:rPr>
          <w:spacing w:val="4"/>
        </w:rPr>
        <w:t>)</w:t>
      </w:r>
      <w:r w:rsidRPr="006463F6">
        <w:rPr>
          <w:spacing w:val="4"/>
          <w:rtl/>
        </w:rPr>
        <w:t>؛</w:t>
      </w:r>
    </w:p>
    <w:p w14:paraId="392306CA" w14:textId="77777777" w:rsidR="0019217F" w:rsidRPr="001234B3" w:rsidRDefault="0019217F" w:rsidP="0019217F">
      <w:pPr>
        <w:rPr>
          <w:rtl/>
        </w:rPr>
      </w:pPr>
      <w:r>
        <w:rPr>
          <w:rFonts w:hint="cs"/>
          <w:i/>
          <w:iCs/>
          <w:rtl/>
        </w:rPr>
        <w:t>هـ )</w:t>
      </w:r>
      <w:r w:rsidRPr="001234B3">
        <w:rPr>
          <w:rFonts w:hint="cs"/>
          <w:rtl/>
        </w:rPr>
        <w:tab/>
        <w:t xml:space="preserve">أن التوصية </w:t>
      </w:r>
      <w:r w:rsidRPr="001234B3">
        <w:rPr>
          <w:lang w:val="fr-FR"/>
        </w:rPr>
        <w:t>ITU</w:t>
      </w:r>
      <w:r w:rsidRPr="001234B3">
        <w:rPr>
          <w:lang w:val="fr-FR"/>
        </w:rPr>
        <w:noBreakHyphen/>
        <w:t>R TF.460-6</w:t>
      </w:r>
      <w:r w:rsidRPr="001234B3">
        <w:rPr>
          <w:rFonts w:hint="cs"/>
          <w:rtl/>
        </w:rPr>
        <w:t xml:space="preserve"> تَذكُر أن جميع إرسالات الترددات المعيارية وإشارات التوقيت ينبغي أن تطابق إلى أقصى حد ممكن التوقيت العالمي المنسَّق</w:t>
      </w:r>
      <w:r>
        <w:rPr>
          <w:rFonts w:hint="cs"/>
          <w:rtl/>
        </w:rPr>
        <w:t xml:space="preserve"> و</w:t>
      </w:r>
      <w:r w:rsidRPr="001234B3">
        <w:rPr>
          <w:rFonts w:hint="cs"/>
          <w:rtl/>
        </w:rPr>
        <w:t xml:space="preserve">تصف الإجراء الخاص بإدراج ثوان كبيسة في بعض الأحيان في التوقيت العالمي المنسَّق لضمان ألا يختلف بأكثر من </w:t>
      </w:r>
      <w:r w:rsidRPr="001234B3">
        <w:rPr>
          <w:lang w:val="fr-FR"/>
        </w:rPr>
        <w:t>0,9</w:t>
      </w:r>
      <w:r w:rsidRPr="001234B3">
        <w:rPr>
          <w:rFonts w:hint="cs"/>
          <w:rtl/>
        </w:rPr>
        <w:t xml:space="preserve"> من الثانية عن التوقيت المحدد على أساس دوران الأرض </w:t>
      </w:r>
      <w:r w:rsidRPr="001234B3">
        <w:rPr>
          <w:lang w:val="fr-FR"/>
        </w:rPr>
        <w:t>(UT1)</w:t>
      </w:r>
      <w:r>
        <w:rPr>
          <w:rFonts w:hint="cs"/>
          <w:rtl/>
        </w:rPr>
        <w:t>،</w:t>
      </w:r>
    </w:p>
    <w:p w14:paraId="0FC84E59" w14:textId="77777777" w:rsidR="0019217F" w:rsidRDefault="0019217F" w:rsidP="0019217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تلاحظ</w:t>
      </w:r>
    </w:p>
    <w:p w14:paraId="12727371" w14:textId="77777777" w:rsidR="0019217F" w:rsidRDefault="0019217F" w:rsidP="0019217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أن الإشارات التي تحمل معلومات خاصة بالتوقيت والمستعملة عملياً في جميع مجالات الأنشطة البشرية (مثل الاتصالات، والصناعات، وغيرها)، تُنشَر عن طريق الاتصالات السلكية التي تغطيها توصيات قطاع تقييس الاتصالات بالاتحاد </w:t>
      </w:r>
      <w:r>
        <w:rPr>
          <w:lang w:bidi="ar-EG"/>
        </w:rPr>
        <w:t>(ITU-T)</w:t>
      </w:r>
      <w:r>
        <w:rPr>
          <w:rFonts w:hint="cs"/>
          <w:rtl/>
          <w:lang w:bidi="ar-EG"/>
        </w:rPr>
        <w:t>، وعن طريق أنظمة مختلف خدمات الاتصالات الراديوية (للفضاء والأرض)، بما في ذلك خدمات الترددات المعيارية وإشارات التوقيت التي يضطلع قطاع الاتصالات الراديوية بالمسؤولية عنها،</w:t>
      </w:r>
    </w:p>
    <w:p w14:paraId="4BC377FD" w14:textId="77777777" w:rsidR="0019217F" w:rsidRDefault="0019217F" w:rsidP="0019217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تدرك</w:t>
      </w:r>
    </w:p>
    <w:p w14:paraId="24DEF8C2" w14:textId="77777777" w:rsidR="0019217F" w:rsidRPr="00A245B2" w:rsidRDefault="0019217F" w:rsidP="0019217F">
      <w:pPr>
        <w:rPr>
          <w:rtl/>
          <w:lang w:bidi="ar-EG"/>
        </w:rPr>
      </w:pPr>
      <w:r w:rsidRPr="00102ACF">
        <w:rPr>
          <w:i/>
          <w:iCs/>
          <w:rtl/>
          <w:lang w:bidi="ar-EG"/>
        </w:rPr>
        <w:t xml:space="preserve"> أ )</w:t>
      </w:r>
      <w:r w:rsidRPr="00A245B2">
        <w:rPr>
          <w:rtl/>
          <w:lang w:bidi="ar-EG"/>
        </w:rPr>
        <w:tab/>
        <w:t xml:space="preserve">أن في عام 2020 جرى توقيع مذكرة تفاهم بين </w:t>
      </w:r>
      <w:r w:rsidRPr="00A245B2">
        <w:rPr>
          <w:color w:val="000000"/>
          <w:rtl/>
        </w:rPr>
        <w:t xml:space="preserve">المكتب الدولي للأوزان والمقاييس </w:t>
      </w:r>
      <w:r w:rsidRPr="00A245B2">
        <w:rPr>
          <w:color w:val="000000"/>
        </w:rPr>
        <w:t>(BIPM)</w:t>
      </w:r>
      <w:r w:rsidRPr="00A245B2">
        <w:rPr>
          <w:rtl/>
        </w:rPr>
        <w:t xml:space="preserve"> والاتحاد الدولي للاتصالات تحدد نطاق التعاون المشترك </w:t>
      </w:r>
      <w:r w:rsidRPr="005517AE">
        <w:t>(</w:t>
      </w:r>
      <w:hyperlink r:id="rId9" w:history="1">
        <w:r w:rsidRPr="005517AE">
          <w:rPr>
            <w:rStyle w:val="Hyperlink"/>
          </w:rPr>
          <w:t>https://www.bipm.org/en/-/2020-bipm-itu-mou</w:t>
        </w:r>
      </w:hyperlink>
      <w:r w:rsidRPr="005517AE">
        <w:t>)</w:t>
      </w:r>
      <w:r w:rsidRPr="00A245B2">
        <w:rPr>
          <w:rtl/>
          <w:lang w:bidi="ar-EG"/>
        </w:rPr>
        <w:t>؛</w:t>
      </w:r>
    </w:p>
    <w:p w14:paraId="18F9E7C5" w14:textId="77777777" w:rsidR="0019217F" w:rsidRPr="00C416FA" w:rsidRDefault="0019217F" w:rsidP="0019217F">
      <w:pPr>
        <w:rPr>
          <w:rtl/>
          <w:lang w:bidi="ar-EG"/>
        </w:rPr>
      </w:pPr>
      <w:r w:rsidRPr="00C416FA">
        <w:rPr>
          <w:i/>
          <w:iCs/>
          <w:rtl/>
          <w:lang w:bidi="ar-EG"/>
        </w:rPr>
        <w:t>ب)</w:t>
      </w:r>
      <w:r w:rsidRPr="00C416FA">
        <w:rPr>
          <w:rtl/>
          <w:lang w:bidi="ar-EG"/>
        </w:rPr>
        <w:tab/>
        <w:t xml:space="preserve">أن </w:t>
      </w:r>
      <w:r w:rsidRPr="00C416FA">
        <w:rPr>
          <w:rtl/>
        </w:rPr>
        <w:t xml:space="preserve">المؤتمر العام للأوزان والمقاييس </w:t>
      </w:r>
      <w:r w:rsidRPr="00C416FA">
        <w:t>(CGPM)</w:t>
      </w:r>
      <w:r w:rsidRPr="00C416FA">
        <w:rPr>
          <w:rtl/>
        </w:rPr>
        <w:t xml:space="preserve"> اعتمد القرار 4 (2022) بشأن "استعمال التوقيت العالمي المنسق وتطويره في المستقبل" </w:t>
      </w:r>
      <w:r w:rsidRPr="005517AE">
        <w:t>(</w:t>
      </w:r>
      <w:hyperlink r:id="rId10" w:history="1">
        <w:r w:rsidRPr="005517AE">
          <w:rPr>
            <w:rStyle w:val="Hyperlink"/>
          </w:rPr>
          <w:t>https://www.bipm.org/en/cgpm-2022/resolution-4</w:t>
        </w:r>
      </w:hyperlink>
      <w:r w:rsidRPr="005517AE">
        <w:t>)</w:t>
      </w:r>
      <w:r w:rsidRPr="00C416FA">
        <w:rPr>
          <w:rtl/>
          <w:lang w:bidi="ar-EG"/>
        </w:rPr>
        <w:t>؛</w:t>
      </w:r>
    </w:p>
    <w:p w14:paraId="463D3A5F" w14:textId="77777777" w:rsidR="0019217F" w:rsidRPr="00243A99" w:rsidRDefault="0019217F" w:rsidP="0019217F">
      <w:pPr>
        <w:rPr>
          <w:rtl/>
          <w:lang w:bidi="ar-EG"/>
        </w:rPr>
      </w:pPr>
      <w:r w:rsidRPr="00102ACF">
        <w:rPr>
          <w:i/>
          <w:iCs/>
          <w:rtl/>
          <w:lang w:bidi="ar-EG"/>
        </w:rPr>
        <w:t>ج)</w:t>
      </w:r>
      <w:r w:rsidRPr="00243A99">
        <w:rPr>
          <w:rtl/>
          <w:lang w:bidi="ar-EG"/>
        </w:rPr>
        <w:tab/>
        <w:t xml:space="preserve">أن </w:t>
      </w:r>
      <w:r w:rsidRPr="00243A99">
        <w:rPr>
          <w:rtl/>
        </w:rPr>
        <w:t xml:space="preserve">الجوانب المختلفة لجداول التوقيت المرجعية الحالية والمستقبلية المحتملة، بما في ذلك آثارها وتطبيقاتها، يغطيها التقرير </w:t>
      </w:r>
      <w:hyperlink r:id="rId11" w:history="1">
        <w:r w:rsidRPr="006463F6">
          <w:rPr>
            <w:rStyle w:val="Hyperlink"/>
          </w:rPr>
          <w:t>ITU-R TF.2511</w:t>
        </w:r>
      </w:hyperlink>
      <w:r>
        <w:rPr>
          <w:rFonts w:hint="cs"/>
          <w:rtl/>
        </w:rPr>
        <w:t xml:space="preserve"> </w:t>
      </w:r>
      <w:r w:rsidRPr="006463F6">
        <w:t>(2022)</w:t>
      </w:r>
      <w:r>
        <w:rPr>
          <w:rFonts w:hint="cs"/>
          <w:rtl/>
        </w:rPr>
        <w:t>،</w:t>
      </w:r>
    </w:p>
    <w:p w14:paraId="35F52521" w14:textId="77777777" w:rsidR="0019217F" w:rsidRPr="001234B3" w:rsidRDefault="0019217F" w:rsidP="0019217F">
      <w:pPr>
        <w:pStyle w:val="Call"/>
        <w:rPr>
          <w:rtl/>
        </w:rPr>
      </w:pPr>
      <w:r w:rsidRPr="001234B3">
        <w:rPr>
          <w:rFonts w:hint="cs"/>
          <w:rtl/>
        </w:rPr>
        <w:lastRenderedPageBreak/>
        <w:t xml:space="preserve">تقرر </w:t>
      </w:r>
      <w:r w:rsidRPr="006463F6">
        <w:rPr>
          <w:rFonts w:hint="cs"/>
          <w:i w:val="0"/>
          <w:iCs w:val="0"/>
          <w:rtl/>
        </w:rPr>
        <w:t>أن تخضع المسائل التالية للدراسة</w:t>
      </w:r>
    </w:p>
    <w:p w14:paraId="189E3BEE" w14:textId="77777777" w:rsidR="0019217F" w:rsidRPr="006463F6" w:rsidRDefault="0019217F" w:rsidP="0019217F">
      <w:pPr>
        <w:rPr>
          <w:spacing w:val="-6"/>
          <w:lang w:bidi="ar-EG"/>
        </w:rPr>
      </w:pPr>
      <w:r w:rsidRPr="006463F6">
        <w:rPr>
          <w:spacing w:val="-6"/>
          <w:lang w:val="fr-FR"/>
        </w:rPr>
        <w:t>1</w:t>
      </w:r>
      <w:r w:rsidRPr="006463F6">
        <w:rPr>
          <w:spacing w:val="-6"/>
          <w:rtl/>
        </w:rPr>
        <w:tab/>
        <w:t xml:space="preserve">ما هي الدقة المطلوبة </w:t>
      </w:r>
      <w:r w:rsidRPr="006463F6">
        <w:rPr>
          <w:rFonts w:hint="cs"/>
          <w:spacing w:val="-6"/>
          <w:rtl/>
        </w:rPr>
        <w:t>والتيسر المطلوب</w:t>
      </w:r>
      <w:r w:rsidRPr="006463F6">
        <w:rPr>
          <w:spacing w:val="-6"/>
          <w:rtl/>
        </w:rPr>
        <w:t xml:space="preserve"> لمعلومات </w:t>
      </w:r>
      <w:r w:rsidRPr="006463F6">
        <w:rPr>
          <w:spacing w:val="-6"/>
          <w:szCs w:val="24"/>
        </w:rPr>
        <w:t>(UT1 – UTC)</w:t>
      </w:r>
      <w:r w:rsidRPr="006463F6">
        <w:rPr>
          <w:spacing w:val="-6"/>
          <w:rtl/>
        </w:rPr>
        <w:t xml:space="preserve"> في إشارات التوقيت التي ستُنشر عن طريق أنظمة الاتصالات الراديوية والأنظمة السلكية، بالنظر إلى التوقيت العالمي المنسق في المستقبل مع تخفيف القيود على </w:t>
      </w:r>
      <w:r w:rsidRPr="006463F6">
        <w:rPr>
          <w:rFonts w:hint="cs"/>
          <w:spacing w:val="-6"/>
          <w:rtl/>
        </w:rPr>
        <w:t>القيمة</w:t>
      </w:r>
      <w:r w:rsidRPr="006463F6">
        <w:rPr>
          <w:spacing w:val="-6"/>
          <w:rtl/>
        </w:rPr>
        <w:t xml:space="preserve"> </w:t>
      </w:r>
      <w:r w:rsidRPr="006463F6">
        <w:rPr>
          <w:spacing w:val="-6"/>
          <w:szCs w:val="24"/>
        </w:rPr>
        <w:t xml:space="preserve">(UT1 – </w:t>
      </w:r>
      <w:proofErr w:type="gramStart"/>
      <w:r w:rsidRPr="006463F6">
        <w:rPr>
          <w:spacing w:val="-6"/>
          <w:szCs w:val="24"/>
        </w:rPr>
        <w:t>UTC)</w:t>
      </w:r>
      <w:r w:rsidRPr="006463F6">
        <w:rPr>
          <w:spacing w:val="-6"/>
          <w:rtl/>
          <w:lang w:bidi="ar-EG"/>
        </w:rPr>
        <w:t>؟</w:t>
      </w:r>
      <w:proofErr w:type="gramEnd"/>
    </w:p>
    <w:p w14:paraId="096DE43E" w14:textId="77777777" w:rsidR="0019217F" w:rsidRPr="000D4DD9" w:rsidRDefault="0019217F" w:rsidP="0019217F">
      <w:pPr>
        <w:rPr>
          <w:rtl/>
          <w:lang w:bidi="ar-EG"/>
        </w:rPr>
      </w:pPr>
      <w:r w:rsidRPr="000D4DD9">
        <w:rPr>
          <w:lang w:bidi="ar-EG"/>
        </w:rPr>
        <w:t>2</w:t>
      </w:r>
      <w:r w:rsidRPr="000D4DD9">
        <w:rPr>
          <w:lang w:bidi="ar-EG"/>
        </w:rPr>
        <w:tab/>
      </w:r>
      <w:r w:rsidRPr="000D4DD9">
        <w:rPr>
          <w:rtl/>
          <w:lang w:bidi="ar-EG"/>
        </w:rPr>
        <w:t xml:space="preserve">ما هي التقنيات والأنساق الأكثر ملاءمة لنشر </w:t>
      </w:r>
      <w:r>
        <w:rPr>
          <w:rFonts w:hint="cs"/>
          <w:rtl/>
          <w:lang w:bidi="ar-EG"/>
        </w:rPr>
        <w:t>القيمة</w:t>
      </w:r>
      <w:r w:rsidRPr="000D4DD9">
        <w:rPr>
          <w:rtl/>
          <w:lang w:bidi="ar-EG"/>
        </w:rPr>
        <w:t xml:space="preserve"> </w:t>
      </w:r>
      <w:r w:rsidRPr="00102ACF">
        <w:t>(UT1 – UTC)</w:t>
      </w:r>
      <w:r w:rsidRPr="00102ACF">
        <w:rPr>
          <w:rtl/>
        </w:rPr>
        <w:t xml:space="preserve"> بالدقة والتيسر المطلوبين؟</w:t>
      </w:r>
    </w:p>
    <w:p w14:paraId="57D9DCA3" w14:textId="77777777" w:rsidR="0019217F" w:rsidRPr="001234B3" w:rsidRDefault="0019217F" w:rsidP="0019217F">
      <w:pPr>
        <w:pStyle w:val="Call"/>
        <w:rPr>
          <w:rtl/>
        </w:rPr>
      </w:pPr>
      <w:r w:rsidRPr="001234B3">
        <w:rPr>
          <w:rFonts w:hint="cs"/>
          <w:rtl/>
        </w:rPr>
        <w:t>تقرر كذلك</w:t>
      </w:r>
    </w:p>
    <w:p w14:paraId="5BF2494E" w14:textId="77777777" w:rsidR="0019217F" w:rsidRPr="001234B3" w:rsidRDefault="0019217F" w:rsidP="0019217F">
      <w:pPr>
        <w:rPr>
          <w:rtl/>
        </w:rPr>
      </w:pPr>
      <w:r w:rsidRPr="001234B3">
        <w:t>1</w:t>
      </w:r>
      <w:r w:rsidRPr="001234B3">
        <w:rPr>
          <w:rFonts w:hint="cs"/>
          <w:b/>
          <w:rtl/>
        </w:rPr>
        <w:tab/>
      </w:r>
      <w:r w:rsidRPr="001234B3">
        <w:rPr>
          <w:rFonts w:hint="cs"/>
          <w:rtl/>
        </w:rPr>
        <w:t xml:space="preserve">أن تدرج نتائج الدراسات المذكورة أعلاه في </w:t>
      </w:r>
      <w:r>
        <w:rPr>
          <w:rFonts w:hint="cs"/>
          <w:rtl/>
        </w:rPr>
        <w:t xml:space="preserve">توصيات و/أو </w:t>
      </w:r>
      <w:r w:rsidRPr="001234B3">
        <w:rPr>
          <w:rFonts w:hint="cs"/>
          <w:rtl/>
        </w:rPr>
        <w:t xml:space="preserve">تقارير قطاع الاتصالات </w:t>
      </w:r>
      <w:proofErr w:type="gramStart"/>
      <w:r w:rsidRPr="001234B3">
        <w:rPr>
          <w:rFonts w:hint="cs"/>
          <w:rtl/>
        </w:rPr>
        <w:t>الراديوية؛</w:t>
      </w:r>
      <w:proofErr w:type="gramEnd"/>
    </w:p>
    <w:p w14:paraId="78F32B58" w14:textId="77777777" w:rsidR="0019217F" w:rsidRPr="001234B3" w:rsidRDefault="0019217F" w:rsidP="0019217F">
      <w:pPr>
        <w:rPr>
          <w:rtl/>
        </w:rPr>
      </w:pPr>
      <w:r w:rsidRPr="001234B3">
        <w:t>2</w:t>
      </w:r>
      <w:r w:rsidRPr="001234B3">
        <w:rPr>
          <w:rFonts w:hint="cs"/>
          <w:rtl/>
        </w:rPr>
        <w:tab/>
        <w:t xml:space="preserve">أن الدراسات المذكورة أعلاه ينبغي أن تُستكمل قبل عام </w:t>
      </w:r>
      <w:r w:rsidRPr="001234B3">
        <w:t>202</w:t>
      </w:r>
      <w:r>
        <w:t>7</w:t>
      </w:r>
      <w:r w:rsidRPr="001234B3">
        <w:rPr>
          <w:rFonts w:hint="cs"/>
          <w:rtl/>
        </w:rPr>
        <w:t>.</w:t>
      </w:r>
    </w:p>
    <w:p w14:paraId="23D2D265" w14:textId="77777777" w:rsidR="0019217F" w:rsidRDefault="0019217F" w:rsidP="0019217F">
      <w:pPr>
        <w:spacing w:before="480"/>
      </w:pPr>
      <w:r w:rsidRPr="001234B3">
        <w:rPr>
          <w:rFonts w:hint="cs"/>
          <w:rtl/>
        </w:rPr>
        <w:t xml:space="preserve">الفئة: </w:t>
      </w:r>
      <w:r>
        <w:t>S1</w:t>
      </w:r>
    </w:p>
    <w:p w14:paraId="055EABFB" w14:textId="6B603508" w:rsidR="00F925E0" w:rsidRPr="001E02A3" w:rsidRDefault="00F925E0" w:rsidP="001E02A3"/>
    <w:sectPr w:rsidR="00F925E0" w:rsidRPr="001E02A3" w:rsidSect="006C3242">
      <w:headerReference w:type="defaul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69DE373E" w14:textId="77777777" w:rsidR="0019217F" w:rsidRPr="00102ACF" w:rsidRDefault="0019217F" w:rsidP="0019217F">
      <w:pPr>
        <w:pStyle w:val="Footnotetexte"/>
        <w:tabs>
          <w:tab w:val="clear" w:pos="397"/>
          <w:tab w:val="left" w:pos="283"/>
        </w:tabs>
        <w:ind w:left="284" w:hanging="284"/>
      </w:pPr>
      <w:r w:rsidRPr="00102ACF">
        <w:rPr>
          <w:rStyle w:val="FootnoteReference"/>
          <w:sz w:val="20"/>
          <w:szCs w:val="20"/>
          <w:rtl/>
        </w:rPr>
        <w:t>*</w:t>
      </w:r>
      <w:r w:rsidRPr="00102ACF">
        <w:tab/>
      </w:r>
      <w:r w:rsidRPr="00EE4A9A">
        <w:rPr>
          <w:rtl/>
          <w:lang w:val="fr-FR"/>
        </w:rPr>
        <w:t xml:space="preserve">ينبغي أن تُرفع هذه المسألة إلى علم المكتب الدولي للأوزان والمقاييس </w:t>
      </w:r>
      <w:r w:rsidRPr="00EE4A9A">
        <w:rPr>
          <w:lang w:val="fr-FR"/>
        </w:rPr>
        <w:t>(BIPM)</w:t>
      </w:r>
      <w:r w:rsidRPr="00EE4A9A">
        <w:rPr>
          <w:rtl/>
          <w:lang w:val="fr-FR"/>
        </w:rPr>
        <w:t xml:space="preserve"> والهيئة الدولية لدوران الأرض والأنظمة المرجعية</w:t>
      </w:r>
      <w:r w:rsidRPr="00EE4A9A">
        <w:rPr>
          <w:rFonts w:hint="eastAsia"/>
          <w:rtl/>
          <w:lang w:val="fr-FR"/>
        </w:rPr>
        <w:t> </w:t>
      </w:r>
      <w:r w:rsidRPr="00EE4A9A">
        <w:rPr>
          <w:lang w:val="fr-FR"/>
        </w:rPr>
        <w:t>(IERS)</w:t>
      </w:r>
      <w:r w:rsidRPr="00EE4A9A">
        <w:rPr>
          <w:rtl/>
          <w:lang w:val="fr-FR"/>
        </w:rPr>
        <w:t>، ولجنة الدراسات 15/المسألة</w:t>
      </w:r>
      <w:r w:rsidRPr="00EE4A9A">
        <w:rPr>
          <w:rFonts w:hint="eastAsia"/>
          <w:rtl/>
          <w:lang w:val="fr-FR"/>
        </w:rPr>
        <w:t> </w:t>
      </w:r>
      <w:r w:rsidRPr="00EE4A9A">
        <w:rPr>
          <w:lang w:val="fr-FR"/>
        </w:rPr>
        <w:t>13</w:t>
      </w:r>
      <w:r w:rsidRPr="00EE4A9A">
        <w:rPr>
          <w:rtl/>
          <w:lang w:val="fr-FR"/>
        </w:rPr>
        <w:t xml:space="preserve"> لقطاع تقييس الاتصالات ولجان دراسات قطاع الاتصالات الراديوية، إضافةً إلى معهد مهندسي الكهرباء والإلكترونيات </w:t>
      </w:r>
      <w:r w:rsidRPr="00102ACF">
        <w:t>(IEEE)</w:t>
      </w:r>
      <w:r w:rsidRPr="00EE4A9A">
        <w:rPr>
          <w:rtl/>
          <w:lang w:val="fr-FR"/>
        </w:rPr>
        <w:t xml:space="preserve">، وفريق مهام هندسة الإنترنت </w:t>
      </w:r>
      <w:r w:rsidRPr="00102ACF">
        <w:t>(IETF)</w:t>
      </w:r>
      <w:r w:rsidRPr="00EE4A9A">
        <w:rPr>
          <w:rtl/>
          <w:lang w:val="fr-FR"/>
        </w:rPr>
        <w:t>، وكلاهما يعملان على تقييس البروتوكولات لنشر معلومات التوقيت في الأنظمة السلكية.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9E210AB" w:rsidR="00447F32" w:rsidRPr="00447F32" w:rsidRDefault="00374BD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9217F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4BD6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12A36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7F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uiPriority w:val="99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m.org/en/committees/cg/cgpm/26-2018/resolution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r/opb/rep/R-REP-TF.2511-2022-MSW-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pm.org/en/cgpm-2022/resolution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m.org/en/-/2020-bipm-itu-mo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Author1</cp:lastModifiedBy>
  <cp:revision>2</cp:revision>
  <dcterms:created xsi:type="dcterms:W3CDTF">2024-01-19T10:40:00Z</dcterms:created>
  <dcterms:modified xsi:type="dcterms:W3CDTF">2024-01-19T10:40:00Z</dcterms:modified>
</cp:coreProperties>
</file>