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18" w:rsidRPr="00655360" w:rsidRDefault="00C83318" w:rsidP="00C83318">
      <w:pPr>
        <w:pStyle w:val="QuestionNo"/>
        <w:rPr>
          <w:szCs w:val="36"/>
          <w:lang w:val="fr-FR"/>
        </w:rPr>
      </w:pPr>
      <w:r>
        <w:rPr>
          <w:rFonts w:hint="cs"/>
          <w:rtl/>
        </w:rPr>
        <w:t>المسألة</w:t>
      </w:r>
      <w:r w:rsidRPr="00655360">
        <w:rPr>
          <w:rtl/>
        </w:rPr>
        <w:t xml:space="preserve"> </w:t>
      </w:r>
      <w:r w:rsidRPr="00655360">
        <w:rPr>
          <w:lang w:val="fr-FR"/>
        </w:rPr>
        <w:t>ITU-R 236</w:t>
      </w:r>
      <w:r w:rsidRPr="00655360">
        <w:rPr>
          <w:lang w:val="fr-FR"/>
        </w:rPr>
        <w:noBreakHyphen/>
      </w:r>
      <w:r>
        <w:rPr>
          <w:lang w:val="fr-FR"/>
        </w:rPr>
        <w:t>2</w:t>
      </w:r>
      <w:r w:rsidRPr="00655360">
        <w:rPr>
          <w:lang w:val="fr-FR"/>
        </w:rPr>
        <w:t>/7</w:t>
      </w:r>
      <w:r w:rsidRPr="00655360">
        <w:rPr>
          <w:rStyle w:val="FootnoteReference"/>
          <w:rFonts w:hint="cs"/>
          <w:rtl/>
          <w:lang w:val="fr-FR"/>
        </w:rPr>
        <w:footnoteReference w:customMarkFollows="1" w:id="1"/>
        <w:t>*</w:t>
      </w:r>
    </w:p>
    <w:p w:rsidR="00C83318" w:rsidRPr="00655360" w:rsidRDefault="00C83318" w:rsidP="00C83318">
      <w:pPr>
        <w:pStyle w:val="Questiontitle"/>
        <w:rPr>
          <w:rtl/>
        </w:rPr>
      </w:pPr>
      <w:r w:rsidRPr="00655360">
        <w:rPr>
          <w:rtl/>
        </w:rPr>
        <w:t xml:space="preserve">مستقبل سلم التوقيت </w:t>
      </w:r>
      <w:r>
        <w:rPr>
          <w:rFonts w:hint="cs"/>
          <w:rtl/>
        </w:rPr>
        <w:t>الخاص</w:t>
      </w:r>
      <w:r w:rsidRPr="00655360">
        <w:rPr>
          <w:rtl/>
        </w:rPr>
        <w:t xml:space="preserve"> بالتوقيت </w:t>
      </w:r>
      <w:r>
        <w:rPr>
          <w:rFonts w:hint="cs"/>
          <w:rtl/>
        </w:rPr>
        <w:t>العالمي</w:t>
      </w:r>
      <w:r w:rsidRPr="00655360">
        <w:rPr>
          <w:rtl/>
        </w:rPr>
        <w:t xml:space="preserve"> </w:t>
      </w:r>
      <w:r>
        <w:rPr>
          <w:rFonts w:hint="cs"/>
          <w:rtl/>
        </w:rPr>
        <w:t>المنسَّق</w:t>
      </w:r>
      <w:r w:rsidRPr="00655360">
        <w:rPr>
          <w:rtl/>
        </w:rPr>
        <w:t xml:space="preserve"> </w:t>
      </w:r>
      <w:r w:rsidRPr="00655360">
        <w:t>(UTC)</w:t>
      </w:r>
    </w:p>
    <w:p w:rsidR="00C83318" w:rsidRPr="00655360" w:rsidRDefault="00C83318" w:rsidP="00C83318">
      <w:pPr>
        <w:pStyle w:val="Recdate"/>
        <w:rPr>
          <w:rtl/>
          <w:lang w:val="fr-FR"/>
        </w:rPr>
      </w:pPr>
      <w:r w:rsidRPr="00E47723">
        <w:rPr>
          <w:rFonts w:eastAsiaTheme="minorEastAsia"/>
          <w:lang w:val="fr-FR" w:eastAsia="zh-CN"/>
        </w:rPr>
        <w:t>(</w:t>
      </w:r>
      <w:r>
        <w:rPr>
          <w:rFonts w:eastAsiaTheme="minorEastAsia"/>
          <w:lang w:val="fr-FR" w:eastAsia="zh-CN"/>
        </w:rPr>
        <w:t>2017-</w:t>
      </w:r>
      <w:r w:rsidRPr="00E47723">
        <w:rPr>
          <w:rFonts w:eastAsiaTheme="minorEastAsia"/>
          <w:lang w:val="fr-FR" w:eastAsia="zh-CN"/>
        </w:rPr>
        <w:t>2014-2001)</w:t>
      </w:r>
    </w:p>
    <w:p w:rsidR="00C83318" w:rsidRPr="00655360" w:rsidRDefault="00C83318" w:rsidP="00C83318">
      <w:pPr>
        <w:pStyle w:val="Normalaftertitle"/>
        <w:rPr>
          <w:lang w:val="en-US"/>
        </w:rPr>
      </w:pPr>
      <w:r w:rsidRPr="00655360">
        <w:rPr>
          <w:rtl/>
        </w:rPr>
        <w:t>إن جمعية الاتصالات الراديوية ل</w:t>
      </w:r>
      <w:r w:rsidRPr="00655360">
        <w:rPr>
          <w:rtl/>
          <w:lang w:val="fr-CH"/>
        </w:rPr>
        <w:t>لاتحاد الدولي للاتصالات</w:t>
      </w:r>
      <w:r w:rsidRPr="00655360">
        <w:rPr>
          <w:rtl/>
        </w:rPr>
        <w:t>،</w:t>
      </w:r>
    </w:p>
    <w:p w:rsidR="00C83318" w:rsidRPr="00655360" w:rsidRDefault="00C83318" w:rsidP="00C83318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C83318" w:rsidRPr="00655360" w:rsidRDefault="00C83318" w:rsidP="00C83318">
      <w:pPr>
        <w:rPr>
          <w:rtl/>
          <w:lang w:val="fr-FR"/>
        </w:rPr>
      </w:pPr>
      <w:r w:rsidRPr="00655360">
        <w:rPr>
          <w:i/>
          <w:iCs/>
          <w:rtl/>
        </w:rPr>
        <w:t xml:space="preserve"> أ</w:t>
      </w:r>
      <w:r>
        <w:rPr>
          <w:rFonts w:hint="cs"/>
          <w:i/>
          <w:iCs/>
          <w:rtl/>
        </w:rPr>
        <w:t xml:space="preserve"> )</w:t>
      </w:r>
      <w:r w:rsidRPr="00655360">
        <w:rPr>
          <w:i/>
          <w:iCs/>
          <w:rtl/>
        </w:rPr>
        <w:tab/>
      </w:r>
      <w:r w:rsidRPr="004722B3">
        <w:rPr>
          <w:rFonts w:hint="cs"/>
          <w:rtl/>
        </w:rPr>
        <w:t xml:space="preserve">أن القرار </w:t>
      </w:r>
      <w:r w:rsidRPr="00A727D7">
        <w:rPr>
          <w:b/>
          <w:bCs/>
          <w:lang w:val="fr-CH"/>
        </w:rPr>
        <w:t>655</w:t>
      </w:r>
      <w:r>
        <w:rPr>
          <w:b/>
          <w:bCs/>
        </w:rPr>
        <w:t> (</w:t>
      </w:r>
      <w:r w:rsidRPr="00A727D7">
        <w:rPr>
          <w:b/>
          <w:bCs/>
        </w:rPr>
        <w:t>WRC</w:t>
      </w:r>
      <w:r>
        <w:rPr>
          <w:b/>
          <w:bCs/>
        </w:rPr>
        <w:noBreakHyphen/>
      </w:r>
      <w:r w:rsidRPr="00A727D7">
        <w:rPr>
          <w:b/>
          <w:bCs/>
        </w:rPr>
        <w:t>15)</w:t>
      </w:r>
      <w:r w:rsidRPr="004722B3">
        <w:rPr>
          <w:rFonts w:hint="cs"/>
          <w:rtl/>
          <w:lang w:bidi="ar-EG"/>
        </w:rPr>
        <w:t xml:space="preserve"> يدعو قطاع الاتصالات الراديوية</w:t>
      </w:r>
      <w:r>
        <w:rPr>
          <w:rFonts w:hint="cs"/>
          <w:rtl/>
          <w:lang w:bidi="ar-EG"/>
        </w:rPr>
        <w:t xml:space="preserve"> بالاتحاد</w:t>
      </w:r>
      <w:r w:rsidRPr="004722B3">
        <w:rPr>
          <w:rFonts w:hint="cs"/>
          <w:rtl/>
          <w:lang w:bidi="ar-EG"/>
        </w:rPr>
        <w:t xml:space="preserve"> والمكتب الدولي للأوزان والمقاييس</w:t>
      </w:r>
      <w:r>
        <w:rPr>
          <w:rFonts w:hint="eastAsia"/>
          <w:rtl/>
          <w:lang w:bidi="ar-EG"/>
        </w:rPr>
        <w:t> </w:t>
      </w:r>
      <w:r w:rsidRPr="004722B3">
        <w:rPr>
          <w:lang w:bidi="ar-EG"/>
        </w:rPr>
        <w:t>(BIPM</w:t>
      </w:r>
      <w:r>
        <w:rPr>
          <w:lang w:bidi="ar-EG"/>
        </w:rPr>
        <w:t>)</w:t>
      </w:r>
      <w:r w:rsidRPr="00655360">
        <w:rPr>
          <w:rFonts w:hint="cs"/>
          <w:rtl/>
        </w:rPr>
        <w:t xml:space="preserve"> والمنظمات الأخرى إلى التعاون في الدراسات والحوار والتقارير لمعالجة القضايا المحددة في ذلك القرار فيما</w:t>
      </w:r>
      <w:r>
        <w:rPr>
          <w:rFonts w:hint="eastAsia"/>
          <w:rtl/>
        </w:rPr>
        <w:t> </w:t>
      </w:r>
      <w:r w:rsidRPr="00655360">
        <w:rPr>
          <w:rFonts w:hint="cs"/>
          <w:rtl/>
        </w:rPr>
        <w:t>يتعلق بتعريف جدول التوقيت ونشر إشارات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التوقيت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أنظمة الاتصالات</w:t>
      </w:r>
      <w:r w:rsidRPr="00655360">
        <w:rPr>
          <w:rtl/>
          <w:lang w:val="fr-FR"/>
        </w:rPr>
        <w:t>؛</w:t>
      </w:r>
    </w:p>
    <w:p w:rsidR="00C83318" w:rsidRPr="00655360" w:rsidRDefault="00C83318" w:rsidP="00C83318">
      <w:pPr>
        <w:rPr>
          <w:rtl/>
        </w:rPr>
      </w:pPr>
      <w:r w:rsidRPr="00655360">
        <w:rPr>
          <w:i/>
          <w:iCs/>
          <w:rtl/>
        </w:rPr>
        <w:t>ب)</w:t>
      </w:r>
      <w:r w:rsidRPr="00655360">
        <w:rPr>
          <w:rtl/>
        </w:rPr>
        <w:tab/>
        <w:t xml:space="preserve">أن التوقيت العالمي المنسَّق هو الأساس القانوني لضبط التوقيت في معظم البلدان في العالم، وهو </w:t>
      </w:r>
      <w:r w:rsidRPr="00655360">
        <w:rPr>
          <w:i/>
          <w:iCs/>
          <w:rtl/>
        </w:rPr>
        <w:t>في الواقع</w:t>
      </w:r>
      <w:r w:rsidRPr="00655360">
        <w:rPr>
          <w:rtl/>
        </w:rPr>
        <w:t xml:space="preserve"> سلم التوقيت المستعمل في معظم البلدان الأخرى؛</w:t>
      </w:r>
    </w:p>
    <w:p w:rsidR="00C83318" w:rsidRPr="00655360" w:rsidRDefault="00C83318" w:rsidP="00C83318">
      <w:pPr>
        <w:rPr>
          <w:rtl/>
          <w:lang w:val="fr-FR"/>
        </w:rPr>
      </w:pPr>
      <w:r w:rsidRPr="00655360">
        <w:rPr>
          <w:i/>
          <w:iCs/>
          <w:rtl/>
        </w:rPr>
        <w:t>ج)</w:t>
      </w:r>
      <w:r w:rsidRPr="00655360">
        <w:rPr>
          <w:rtl/>
        </w:rPr>
        <w:tab/>
        <w:t xml:space="preserve">أن التوصية </w:t>
      </w:r>
      <w:r w:rsidRPr="00655360">
        <w:rPr>
          <w:lang w:val="fr-FR"/>
        </w:rPr>
        <w:t>ITU</w:t>
      </w:r>
      <w:r w:rsidRPr="00655360">
        <w:rPr>
          <w:lang w:val="fr-FR"/>
        </w:rPr>
        <w:noBreakHyphen/>
        <w:t>R TF.460-6</w:t>
      </w:r>
      <w:r w:rsidRPr="00655360">
        <w:rPr>
          <w:rtl/>
          <w:lang w:val="fr-FR"/>
        </w:rPr>
        <w:t xml:space="preserve"> تَذكُر أن جميع إرسالات الترددات المعيارية وإشارات التوقيت ينبغي أن تطابق إلى أ</w:t>
      </w:r>
      <w:r>
        <w:rPr>
          <w:rFonts w:hint="cs"/>
          <w:rtl/>
          <w:lang w:val="fr-FR"/>
        </w:rPr>
        <w:t>قصى</w:t>
      </w:r>
      <w:r w:rsidRPr="00655360">
        <w:rPr>
          <w:rtl/>
          <w:lang w:val="fr-FR"/>
        </w:rPr>
        <w:t xml:space="preserve"> حد ممكن التوقيت العالمي المنسَّق؛</w:t>
      </w:r>
    </w:p>
    <w:p w:rsidR="00C83318" w:rsidRPr="00655360" w:rsidRDefault="00C83318" w:rsidP="00C83318">
      <w:pPr>
        <w:rPr>
          <w:rtl/>
          <w:lang w:val="fr-FR"/>
        </w:rPr>
      </w:pPr>
      <w:r w:rsidRPr="00655360">
        <w:rPr>
          <w:i/>
          <w:iCs/>
          <w:rtl/>
        </w:rPr>
        <w:t>د )</w:t>
      </w:r>
      <w:r w:rsidRPr="00655360">
        <w:rPr>
          <w:rtl/>
        </w:rPr>
        <w:tab/>
        <w:t xml:space="preserve">أن التوصية </w:t>
      </w:r>
      <w:r w:rsidRPr="00655360">
        <w:rPr>
          <w:lang w:val="fr-FR"/>
        </w:rPr>
        <w:t>ITU</w:t>
      </w:r>
      <w:r w:rsidRPr="00655360">
        <w:rPr>
          <w:lang w:val="fr-FR"/>
        </w:rPr>
        <w:noBreakHyphen/>
        <w:t>R TF.460-6</w:t>
      </w:r>
      <w:r w:rsidRPr="00655360">
        <w:rPr>
          <w:rtl/>
          <w:lang w:val="fr-FR"/>
        </w:rPr>
        <w:t xml:space="preserve"> تصف الإجراء الخاص </w:t>
      </w:r>
      <w:r>
        <w:rPr>
          <w:rFonts w:hint="cs"/>
          <w:rtl/>
          <w:lang w:val="fr-FR"/>
        </w:rPr>
        <w:t>بإدراج</w:t>
      </w:r>
      <w:r w:rsidRPr="00655360">
        <w:rPr>
          <w:rtl/>
          <w:lang w:val="fr-FR"/>
        </w:rPr>
        <w:t xml:space="preserve"> ثوان كبيسة في بعض الأحيان في التوقيت العالمي المنسَّق لضمان ألاّ يختلف بأكثر من </w:t>
      </w:r>
      <w:r w:rsidRPr="00655360">
        <w:rPr>
          <w:lang w:val="fr-FR"/>
        </w:rPr>
        <w:t>0,9</w:t>
      </w:r>
      <w:r w:rsidRPr="00655360">
        <w:rPr>
          <w:rtl/>
          <w:lang w:val="fr-FR"/>
        </w:rPr>
        <w:t xml:space="preserve"> من الثانية عن التوقيت المحدد على أساس دوران الأرض </w:t>
      </w:r>
      <w:r w:rsidRPr="00655360">
        <w:rPr>
          <w:lang w:val="fr-FR"/>
        </w:rPr>
        <w:t>(UT1)</w:t>
      </w:r>
      <w:r w:rsidRPr="00655360">
        <w:rPr>
          <w:rtl/>
          <w:lang w:val="fr-FR"/>
        </w:rPr>
        <w:t>؛</w:t>
      </w:r>
    </w:p>
    <w:p w:rsidR="00C83318" w:rsidRPr="00655360" w:rsidRDefault="00C83318" w:rsidP="00C83318">
      <w:pPr>
        <w:rPr>
          <w:rtl/>
        </w:rPr>
      </w:pPr>
      <w:r w:rsidRPr="00655360">
        <w:rPr>
          <w:i/>
          <w:iCs/>
          <w:rtl/>
        </w:rPr>
        <w:t>ﻫ )</w:t>
      </w:r>
      <w:r w:rsidRPr="00655360">
        <w:rPr>
          <w:rtl/>
        </w:rPr>
        <w:tab/>
        <w:t xml:space="preserve">أن </w:t>
      </w:r>
      <w:r>
        <w:rPr>
          <w:rFonts w:hint="cs"/>
          <w:rtl/>
        </w:rPr>
        <w:t>إدراج</w:t>
      </w:r>
      <w:r w:rsidRPr="00655360">
        <w:rPr>
          <w:rtl/>
        </w:rPr>
        <w:t xml:space="preserve"> </w:t>
      </w:r>
      <w:r>
        <w:rPr>
          <w:rFonts w:hint="cs"/>
          <w:rtl/>
        </w:rPr>
        <w:t>ا</w:t>
      </w:r>
      <w:r w:rsidRPr="00655360">
        <w:rPr>
          <w:rtl/>
        </w:rPr>
        <w:t xml:space="preserve">لثواني الكبيسة في بعض الأحيان في التوقيت العالمي المنسَّق </w:t>
      </w:r>
      <w:r>
        <w:rPr>
          <w:rFonts w:hint="cs"/>
          <w:rtl/>
        </w:rPr>
        <w:t>يؤدي إلى</w:t>
      </w:r>
      <w:r w:rsidRPr="00655360">
        <w:rPr>
          <w:rtl/>
        </w:rPr>
        <w:t xml:space="preserve"> صعوبات</w:t>
      </w:r>
      <w:r w:rsidRPr="00655360">
        <w:rPr>
          <w:rFonts w:hint="cs"/>
          <w:rtl/>
        </w:rPr>
        <w:t xml:space="preserve"> تشغيلية</w:t>
      </w:r>
      <w:r w:rsidRPr="00655360">
        <w:rPr>
          <w:rtl/>
        </w:rPr>
        <w:t xml:space="preserve"> شديدة لكثير من أنظمة الملاحة والاتصالات</w:t>
      </w:r>
      <w:r w:rsidRPr="00655360">
        <w:rPr>
          <w:rFonts w:hint="cs"/>
          <w:rtl/>
        </w:rPr>
        <w:t xml:space="preserve"> والأنظمة الصناعية والأنظمة المالية</w:t>
      </w:r>
      <w:r w:rsidRPr="00655360">
        <w:rPr>
          <w:rtl/>
        </w:rPr>
        <w:t xml:space="preserve"> في الوقت الحالي،</w:t>
      </w:r>
    </w:p>
    <w:p w:rsidR="00C83318" w:rsidRPr="00655360" w:rsidRDefault="00C83318" w:rsidP="00C83318">
      <w:pPr>
        <w:pStyle w:val="Call"/>
        <w:rPr>
          <w:i w:val="0"/>
          <w:iCs w:val="0"/>
          <w:rtl/>
        </w:rPr>
      </w:pPr>
      <w:r w:rsidRPr="00655360">
        <w:rPr>
          <w:rtl/>
        </w:rPr>
        <w:t xml:space="preserve">تقرر </w:t>
      </w:r>
      <w:r w:rsidRPr="00655360">
        <w:rPr>
          <w:i w:val="0"/>
          <w:iCs w:val="0"/>
          <w:rtl/>
        </w:rPr>
        <w:t xml:space="preserve">أن </w:t>
      </w:r>
      <w:r>
        <w:rPr>
          <w:rFonts w:hint="cs"/>
          <w:i w:val="0"/>
          <w:iCs w:val="0"/>
          <w:rtl/>
        </w:rPr>
        <w:t xml:space="preserve">تخضع </w:t>
      </w:r>
      <w:r w:rsidRPr="00655360">
        <w:rPr>
          <w:i w:val="0"/>
          <w:iCs w:val="0"/>
          <w:rtl/>
        </w:rPr>
        <w:t>المسائل التالية</w:t>
      </w:r>
      <w:r>
        <w:rPr>
          <w:rFonts w:hint="cs"/>
          <w:i w:val="0"/>
          <w:iCs w:val="0"/>
          <w:rtl/>
        </w:rPr>
        <w:t xml:space="preserve"> للدراسة</w:t>
      </w:r>
    </w:p>
    <w:p w:rsidR="00C83318" w:rsidRPr="00655360" w:rsidRDefault="00C83318" w:rsidP="00C83318">
      <w:pPr>
        <w:rPr>
          <w:rtl/>
          <w:lang w:val="fr-FR"/>
        </w:rPr>
      </w:pPr>
      <w:r w:rsidRPr="00655360">
        <w:rPr>
          <w:lang w:val="fr-FR"/>
        </w:rPr>
        <w:t>1</w:t>
      </w:r>
      <w:r w:rsidRPr="00655360">
        <w:rPr>
          <w:rtl/>
          <w:lang w:val="fr-FR"/>
        </w:rPr>
        <w:tab/>
      </w:r>
      <w:r w:rsidRPr="00655360">
        <w:rPr>
          <w:rFonts w:hint="cs"/>
          <w:rtl/>
        </w:rPr>
        <w:t>ما هي</w:t>
      </w:r>
      <w:r w:rsidRPr="00655360">
        <w:rPr>
          <w:rtl/>
        </w:rPr>
        <w:t xml:space="preserve"> الجوانب المختلفة لجداول التوقيت المرجعية الحالية </w:t>
      </w:r>
      <w:r>
        <w:rPr>
          <w:rFonts w:hint="cs"/>
          <w:rtl/>
        </w:rPr>
        <w:t xml:space="preserve">والمستقبلية </w:t>
      </w:r>
      <w:r>
        <w:rPr>
          <w:rtl/>
        </w:rPr>
        <w:t>المحتملة</w:t>
      </w:r>
      <w:r w:rsidRPr="00655360">
        <w:rPr>
          <w:rtl/>
        </w:rPr>
        <w:t xml:space="preserve">، بما في ذلك آثارها وتطبيقاتها </w:t>
      </w:r>
      <w:r w:rsidRPr="00655360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655360">
        <w:rPr>
          <w:rFonts w:hint="cs"/>
          <w:rtl/>
        </w:rPr>
        <w:t>الاتصالات والصناعة وغيرها من مجالات النشاط البشري؟</w:t>
      </w:r>
    </w:p>
    <w:p w:rsidR="00C83318" w:rsidRPr="00655360" w:rsidRDefault="00C83318" w:rsidP="00C83318">
      <w:pPr>
        <w:rPr>
          <w:rtl/>
          <w:lang w:val="fr-FR" w:bidi="ar-EG"/>
        </w:rPr>
      </w:pPr>
      <w:r w:rsidRPr="00655360">
        <w:rPr>
          <w:lang w:val="fr-FR"/>
        </w:rPr>
        <w:t>2</w:t>
      </w:r>
      <w:r w:rsidRPr="00655360">
        <w:rPr>
          <w:rtl/>
          <w:lang w:val="fr-FR"/>
        </w:rPr>
        <w:tab/>
      </w:r>
      <w:r w:rsidRPr="00655360">
        <w:rPr>
          <w:rFonts w:hint="cs"/>
          <w:rtl/>
          <w:lang w:val="fr-FR"/>
        </w:rPr>
        <w:t xml:space="preserve">ما هي متطلبات </w:t>
      </w:r>
      <w:r w:rsidRPr="00655360">
        <w:rPr>
          <w:rtl/>
        </w:rPr>
        <w:t>محتوى وهيكل إشارات التوقيت التي ستُنشر عن طريق أنظمة الاتصالات الراديوية</w:t>
      </w:r>
      <w:r>
        <w:rPr>
          <w:rFonts w:hint="cs"/>
          <w:rtl/>
          <w:lang w:val="fr-FR" w:bidi="ar-EG"/>
        </w:rPr>
        <w:t>؟</w:t>
      </w:r>
    </w:p>
    <w:p w:rsidR="00C83318" w:rsidRPr="00655360" w:rsidRDefault="00C83318" w:rsidP="00C83318">
      <w:pPr>
        <w:rPr>
          <w:rtl/>
          <w:lang w:val="fr-FR"/>
        </w:rPr>
      </w:pPr>
      <w:r w:rsidRPr="00655360">
        <w:rPr>
          <w:lang w:val="fr-FR"/>
        </w:rPr>
        <w:t>3</w:t>
      </w:r>
      <w:r w:rsidRPr="00655360">
        <w:rPr>
          <w:rtl/>
          <w:lang w:val="fr-FR"/>
        </w:rPr>
        <w:tab/>
        <w:t xml:space="preserve">هل يُرضِي الإجراء الخاص بالثانية الكبيسة الحالي احتياجات المستعملين أم ينبغي </w:t>
      </w:r>
      <w:r w:rsidRPr="00655360">
        <w:rPr>
          <w:rFonts w:hint="cs"/>
          <w:rtl/>
          <w:lang w:val="fr-FR"/>
        </w:rPr>
        <w:t>اعتماد</w:t>
      </w:r>
      <w:r w:rsidRPr="00655360">
        <w:rPr>
          <w:rtl/>
          <w:lang w:val="fr-FR"/>
        </w:rPr>
        <w:t xml:space="preserve"> إجراء بديل؟</w:t>
      </w:r>
    </w:p>
    <w:p w:rsidR="00C83318" w:rsidRPr="00655360" w:rsidRDefault="00C83318" w:rsidP="00C83318">
      <w:pPr>
        <w:pStyle w:val="Call"/>
        <w:rPr>
          <w:rtl/>
        </w:rPr>
      </w:pPr>
      <w:r>
        <w:rPr>
          <w:rtl/>
        </w:rPr>
        <w:t xml:space="preserve">تقرر </w:t>
      </w:r>
      <w:r>
        <w:rPr>
          <w:rFonts w:hint="cs"/>
          <w:rtl/>
        </w:rPr>
        <w:t>كذلك</w:t>
      </w:r>
    </w:p>
    <w:p w:rsidR="00C83318" w:rsidRPr="00655360" w:rsidRDefault="00C83318" w:rsidP="00C83318">
      <w:pPr>
        <w:rPr>
          <w:rtl/>
        </w:rPr>
      </w:pPr>
      <w:r w:rsidRPr="00655360">
        <w:t>1</w:t>
      </w:r>
      <w:r w:rsidRPr="00655360">
        <w:rPr>
          <w:b/>
          <w:rtl/>
        </w:rPr>
        <w:tab/>
      </w:r>
      <w:r w:rsidRPr="00655360">
        <w:rPr>
          <w:rtl/>
        </w:rPr>
        <w:t>أن تدرج نتائج الدراسات المذكورة أعلاه في</w:t>
      </w:r>
      <w:r w:rsidRPr="00655360">
        <w:rPr>
          <w:rFonts w:hint="cs"/>
          <w:rtl/>
        </w:rPr>
        <w:t xml:space="preserve"> تقارير قطاع الاتصالات الراديوية</w:t>
      </w:r>
      <w:r w:rsidRPr="00655360">
        <w:rPr>
          <w:rtl/>
        </w:rPr>
        <w:t>؛</w:t>
      </w:r>
    </w:p>
    <w:p w:rsidR="00C83318" w:rsidRPr="00655360" w:rsidRDefault="00C83318" w:rsidP="00C83318">
      <w:pPr>
        <w:rPr>
          <w:rtl/>
        </w:rPr>
      </w:pPr>
      <w:r w:rsidRPr="00655360">
        <w:t>2</w:t>
      </w:r>
      <w:r w:rsidRPr="00655360">
        <w:rPr>
          <w:rtl/>
        </w:rPr>
        <w:tab/>
        <w:t>أن الدراسات المذكورة أعلاه</w:t>
      </w:r>
      <w:r>
        <w:rPr>
          <w:rFonts w:hint="cs"/>
          <w:rtl/>
        </w:rPr>
        <w:t xml:space="preserve"> ينبغي أن تُستكمل</w:t>
      </w:r>
      <w:r w:rsidRPr="00655360">
        <w:rPr>
          <w:rtl/>
        </w:rPr>
        <w:t xml:space="preserve"> </w:t>
      </w:r>
      <w:r>
        <w:rPr>
          <w:rFonts w:hint="cs"/>
          <w:rtl/>
        </w:rPr>
        <w:t xml:space="preserve">قبل عام </w:t>
      </w:r>
      <w:r w:rsidRPr="00655360">
        <w:t>2023</w:t>
      </w:r>
      <w:r w:rsidRPr="00655360">
        <w:rPr>
          <w:rtl/>
        </w:rPr>
        <w:t>.</w:t>
      </w:r>
    </w:p>
    <w:p w:rsidR="00C83318" w:rsidRDefault="00C83318" w:rsidP="00C83318">
      <w:pPr>
        <w:spacing w:before="480"/>
        <w:rPr>
          <w:rtl/>
        </w:rPr>
      </w:pPr>
      <w:r w:rsidRPr="00655360">
        <w:rPr>
          <w:rtl/>
        </w:rPr>
        <w:t xml:space="preserve">الفئة: </w:t>
      </w:r>
      <w:r w:rsidRPr="00655360">
        <w:t>C2</w:t>
      </w:r>
    </w:p>
    <w:p w:rsidR="006A2851" w:rsidRDefault="006A2851">
      <w:bookmarkStart w:id="0" w:name="_GoBack"/>
      <w:bookmarkEnd w:id="0"/>
    </w:p>
    <w:sectPr w:rsidR="006A2851" w:rsidSect="0057642C"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18" w:rsidRDefault="00C83318" w:rsidP="00C83318">
      <w:pPr>
        <w:spacing w:before="0" w:line="240" w:lineRule="auto"/>
      </w:pPr>
      <w:r>
        <w:separator/>
      </w:r>
    </w:p>
  </w:endnote>
  <w:endnote w:type="continuationSeparator" w:id="0">
    <w:p w:rsidR="00C83318" w:rsidRDefault="00C83318" w:rsidP="00C8331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18" w:rsidRDefault="00C83318" w:rsidP="00C83318">
      <w:pPr>
        <w:spacing w:before="0" w:line="240" w:lineRule="auto"/>
      </w:pPr>
      <w:r>
        <w:separator/>
      </w:r>
    </w:p>
  </w:footnote>
  <w:footnote w:type="continuationSeparator" w:id="0">
    <w:p w:rsidR="00C83318" w:rsidRDefault="00C83318" w:rsidP="00C83318">
      <w:pPr>
        <w:spacing w:before="0" w:line="240" w:lineRule="auto"/>
      </w:pPr>
      <w:r>
        <w:continuationSeparator/>
      </w:r>
    </w:p>
  </w:footnote>
  <w:footnote w:id="1">
    <w:p w:rsidR="00C83318" w:rsidRDefault="00C83318" w:rsidP="00C83318">
      <w:pPr>
        <w:pStyle w:val="FootnoteText"/>
        <w:tabs>
          <w:tab w:val="left" w:pos="720"/>
        </w:tabs>
        <w:rPr>
          <w:sz w:val="18"/>
          <w:szCs w:val="24"/>
          <w:rtl/>
        </w:rPr>
      </w:pPr>
      <w:r>
        <w:rPr>
          <w:rStyle w:val="FootnoteReference"/>
          <w:szCs w:val="24"/>
          <w:rtl/>
        </w:rPr>
        <w:t>*</w:t>
      </w:r>
      <w:r>
        <w:rPr>
          <w:sz w:val="18"/>
          <w:szCs w:val="24"/>
        </w:rPr>
        <w:tab/>
      </w:r>
      <w:r w:rsidRPr="006427F8">
        <w:rPr>
          <w:rtl/>
          <w:lang w:val="fr-FR"/>
        </w:rPr>
        <w:t xml:space="preserve">ينبغي أن </w:t>
      </w:r>
      <w:r w:rsidRPr="006427F8">
        <w:rPr>
          <w:rFonts w:hint="cs"/>
          <w:rtl/>
          <w:lang w:val="fr-FR"/>
        </w:rPr>
        <w:t>تُرفع هذه المسألة إلى علم</w:t>
      </w:r>
      <w:r w:rsidRPr="006427F8">
        <w:rPr>
          <w:rtl/>
          <w:lang w:val="fr-FR"/>
        </w:rPr>
        <w:t xml:space="preserve"> المكتب الدولي للأوزان والمقاييس </w:t>
      </w:r>
      <w:r w:rsidRPr="006427F8">
        <w:rPr>
          <w:lang w:val="fr-FR"/>
        </w:rPr>
        <w:t>(BIPM)</w:t>
      </w:r>
      <w:r w:rsidRPr="006427F8">
        <w:rPr>
          <w:rtl/>
          <w:lang w:val="fr-FR"/>
        </w:rPr>
        <w:t xml:space="preserve"> والهيئة الدولية لدوران الأرض </w:t>
      </w:r>
      <w:r w:rsidRPr="006427F8">
        <w:rPr>
          <w:lang w:val="fr-FR"/>
        </w:rPr>
        <w:t>(IERS)</w:t>
      </w:r>
      <w:r w:rsidRPr="006427F8">
        <w:rPr>
          <w:rtl/>
          <w:lang w:val="fr-FR"/>
        </w:rPr>
        <w:t xml:space="preserve">، </w:t>
      </w:r>
      <w:r w:rsidRPr="006427F8">
        <w:rPr>
          <w:rFonts w:hint="cs"/>
          <w:rtl/>
          <w:lang w:val="fr-FR"/>
        </w:rPr>
        <w:t>ولجنة</w:t>
      </w:r>
      <w:r w:rsidRPr="006427F8">
        <w:rPr>
          <w:rtl/>
          <w:lang w:val="fr-FR"/>
        </w:rPr>
        <w:t xml:space="preserve"> الدراسات </w:t>
      </w:r>
      <w:r w:rsidRPr="006427F8">
        <w:rPr>
          <w:lang w:val="fr-FR"/>
        </w:rPr>
        <w:t>13</w:t>
      </w:r>
      <w:r w:rsidRPr="006427F8">
        <w:rPr>
          <w:rtl/>
          <w:lang w:val="fr-FR"/>
        </w:rPr>
        <w:t xml:space="preserve"> التابعة لقطاع تقييس الاتصالات </w:t>
      </w:r>
      <w:r w:rsidRPr="006427F8">
        <w:rPr>
          <w:rFonts w:hint="cs"/>
          <w:rtl/>
          <w:lang w:val="fr-FR"/>
        </w:rPr>
        <w:t>ولجنة</w:t>
      </w:r>
      <w:r w:rsidRPr="006427F8">
        <w:rPr>
          <w:rtl/>
          <w:lang w:val="fr-FR"/>
        </w:rPr>
        <w:t xml:space="preserve"> الدراسات </w:t>
      </w:r>
      <w:r w:rsidRPr="006427F8">
        <w:rPr>
          <w:lang w:val="fr-FR"/>
        </w:rPr>
        <w:t>5</w:t>
      </w:r>
      <w:r w:rsidRPr="006427F8">
        <w:rPr>
          <w:rtl/>
          <w:lang w:val="fr-FR"/>
        </w:rPr>
        <w:t xml:space="preserve"> التابعة لقطاع الاتصالات الراديوية.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18"/>
    <w:rsid w:val="0057642C"/>
    <w:rsid w:val="006A2851"/>
    <w:rsid w:val="00C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361E-17F4-4643-9814-01EA7EA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C83318"/>
    <w:pPr>
      <w:keepNext/>
      <w:keepLines/>
      <w:spacing w:before="180"/>
      <w:ind w:firstLine="1134"/>
    </w:pPr>
    <w:rPr>
      <w:i/>
      <w:iCs/>
    </w:rPr>
  </w:style>
  <w:style w:type="paragraph" w:styleId="FootnoteText">
    <w:name w:val="footnote text"/>
    <w:aliases w:val="footnote text"/>
    <w:basedOn w:val="Normal"/>
    <w:link w:val="FootnoteTextChar"/>
    <w:rsid w:val="00C83318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C83318"/>
    <w:rPr>
      <w:rFonts w:ascii="Calibri" w:eastAsia="Times New Roman" w:hAnsi="Calibri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C83318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CallChar">
    <w:name w:val="Call Char"/>
    <w:basedOn w:val="DefaultParagraphFont"/>
    <w:link w:val="Call"/>
    <w:locked/>
    <w:rsid w:val="00C83318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C8331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C83318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cdate">
    <w:name w:val="Rec_date"/>
    <w:basedOn w:val="Normal"/>
    <w:next w:val="Normal"/>
    <w:rsid w:val="00C83318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</w:pPr>
    <w:rPr>
      <w:lang w:bidi="ar-EG"/>
    </w:rPr>
  </w:style>
  <w:style w:type="paragraph" w:customStyle="1" w:styleId="Normalaftertitle">
    <w:name w:val="Normal_after_title"/>
    <w:basedOn w:val="Normal"/>
    <w:next w:val="Normal"/>
    <w:rsid w:val="00C8331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83318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2017-07-14T11:04:00Z</dcterms:created>
  <dcterms:modified xsi:type="dcterms:W3CDTF">2017-07-14T11:05:00Z</dcterms:modified>
</cp:coreProperties>
</file>