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3B52" w14:textId="77777777" w:rsidR="00353395" w:rsidRDefault="00353395" w:rsidP="00A70F3C">
      <w:pPr>
        <w:pStyle w:val="QuestionNoBR"/>
      </w:pPr>
      <w:r>
        <w:t>CUESTIÓN uit-r 234/7</w:t>
      </w:r>
    </w:p>
    <w:p w14:paraId="57CF7B2D" w14:textId="77777777" w:rsidR="00353395" w:rsidRDefault="00353395" w:rsidP="00867DF3">
      <w:pPr>
        <w:pStyle w:val="Questiontitle"/>
      </w:pPr>
      <w:r>
        <w:t>Compartición de frecuencias entre los sistemas de sensores activos del servicio de exploración de la tierra por satélite y los sistemas que funcionan en otros</w:t>
      </w:r>
      <w:r>
        <w:br/>
        <w:t>servicios en la banda 1 215-1 300 MHz</w:t>
      </w:r>
    </w:p>
    <w:p w14:paraId="4DB544A3" w14:textId="77777777" w:rsidR="00353395" w:rsidRDefault="00353395" w:rsidP="00867DF3">
      <w:pPr>
        <w:pStyle w:val="Questiondate"/>
      </w:pPr>
      <w:r>
        <w:t>(2000)</w:t>
      </w:r>
    </w:p>
    <w:p w14:paraId="162DD148" w14:textId="77777777" w:rsidR="00353395" w:rsidRDefault="00353395" w:rsidP="00A510A1">
      <w:pPr>
        <w:pStyle w:val="Normalaftertitle0"/>
        <w:spacing w:before="240"/>
        <w:jc w:val="both"/>
      </w:pPr>
      <w:r>
        <w:t>La Asamblea de Radiocomunicaciones de la UIT,</w:t>
      </w:r>
    </w:p>
    <w:p w14:paraId="76C278A4" w14:textId="77777777" w:rsidR="00353395" w:rsidRDefault="00353395" w:rsidP="00A510A1">
      <w:pPr>
        <w:pStyle w:val="call0"/>
        <w:jc w:val="both"/>
      </w:pPr>
      <w:r>
        <w:t>considerando</w:t>
      </w:r>
    </w:p>
    <w:p w14:paraId="1D9B2258" w14:textId="77777777" w:rsidR="00353395" w:rsidRDefault="00353395" w:rsidP="00A510A1">
      <w:pPr>
        <w:jc w:val="both"/>
      </w:pPr>
      <w:r w:rsidRPr="00A510A1">
        <w:rPr>
          <w:i/>
          <w:iCs/>
        </w:rPr>
        <w:t>a)</w:t>
      </w:r>
      <w:r>
        <w:tab/>
        <w:t>que las características de los sistemas de exploración de la Tierra por satélite (SETS) (activos), así como las frecuencias y anchuras de banda y los criterios de calidad de funcionamiento, interferencia y compartición de frecuencias, están estipulados en las Recomendaciones UIT</w:t>
      </w:r>
      <w:r>
        <w:noBreakHyphen/>
        <w:t>R </w:t>
      </w:r>
      <w:proofErr w:type="spellStart"/>
      <w:r>
        <w:t>RS.577</w:t>
      </w:r>
      <w:proofErr w:type="spellEnd"/>
      <w:r>
        <w:t xml:space="preserve"> y UIT</w:t>
      </w:r>
      <w:r>
        <w:noBreakHyphen/>
        <w:t>R </w:t>
      </w:r>
      <w:proofErr w:type="spellStart"/>
      <w:r>
        <w:t>RS.1166</w:t>
      </w:r>
      <w:proofErr w:type="spellEnd"/>
      <w:r>
        <w:t>;</w:t>
      </w:r>
    </w:p>
    <w:p w14:paraId="638139B2" w14:textId="77777777" w:rsidR="00353395" w:rsidRDefault="00353395" w:rsidP="00A510A1">
      <w:pPr>
        <w:jc w:val="both"/>
      </w:pPr>
      <w:r w:rsidRPr="00A510A1">
        <w:rPr>
          <w:i/>
          <w:iCs/>
        </w:rPr>
        <w:t>b)</w:t>
      </w:r>
      <w:r>
        <w:tab/>
        <w:t xml:space="preserve">que la </w:t>
      </w:r>
      <w:proofErr w:type="spellStart"/>
      <w:r>
        <w:t>CMR</w:t>
      </w:r>
      <w:proofErr w:type="spellEnd"/>
      <w:r>
        <w:noBreakHyphen/>
        <w:t>97 adjudicó la banda de frecuencias 1 215</w:t>
      </w:r>
      <w:r>
        <w:noBreakHyphen/>
        <w:t>1 300 MHz a los sensores activos a bordo de vehículos espaciales del SETS a título primario, con sujeción a las restricciones consignadas en 5.332;</w:t>
      </w:r>
    </w:p>
    <w:p w14:paraId="6F8F568D" w14:textId="77777777" w:rsidR="00353395" w:rsidRDefault="00353395" w:rsidP="00A510A1">
      <w:pPr>
        <w:jc w:val="both"/>
      </w:pPr>
      <w:r w:rsidRPr="00A510A1">
        <w:rPr>
          <w:i/>
          <w:iCs/>
        </w:rPr>
        <w:t>c)</w:t>
      </w:r>
      <w:r>
        <w:tab/>
        <w:t xml:space="preserve">que en </w:t>
      </w:r>
      <w:r w:rsidRPr="00A510A1">
        <w:rPr>
          <w:b/>
          <w:bCs/>
        </w:rPr>
        <w:t>5.332</w:t>
      </w:r>
      <w:r>
        <w:t xml:space="preserve"> se estipula que en la banda 1 215</w:t>
      </w:r>
      <w:r>
        <w:noBreakHyphen/>
        <w:t>1 300 MHz los sensores activos a bordo de vehículos espaciales de los servicios de exploración de la Tierra por satélite y de investigación espacial no deberán causar interferencia perjudicial a los servicios de radiolocalización, de radionavegación por satélite y otros servicios a los que se ha atribuido esa banda a título primario, ni reclamarán protección contra estos servicios o impondrán cualquier otro tipo de limitación al funcionamiento o el desarrollo de los mismos; y que los radares de perfil de viento funcionan en el marco del servicio de radiolocalización;</w:t>
      </w:r>
    </w:p>
    <w:p w14:paraId="68F846D9" w14:textId="77777777" w:rsidR="00353395" w:rsidRDefault="00353395" w:rsidP="00A510A1">
      <w:pPr>
        <w:jc w:val="both"/>
      </w:pPr>
      <w:r w:rsidRPr="00A510A1">
        <w:rPr>
          <w:i/>
          <w:iCs/>
        </w:rPr>
        <w:t>d)</w:t>
      </w:r>
      <w:r>
        <w:tab/>
        <w:t>que los estudios realizados por la UIT-R han demostrado que la compartición entre los radares de apertura sintética a bordo de vehículos espaciales y los radares terrenales es viable, salvo cuando se trata de radar de impulsos con modulación de frecuencia;</w:t>
      </w:r>
    </w:p>
    <w:p w14:paraId="17C2D4C4" w14:textId="77777777" w:rsidR="00353395" w:rsidRDefault="00353395" w:rsidP="00A510A1">
      <w:pPr>
        <w:jc w:val="both"/>
      </w:pPr>
      <w:r w:rsidRPr="00A510A1">
        <w:rPr>
          <w:i/>
          <w:iCs/>
        </w:rPr>
        <w:t>e)</w:t>
      </w:r>
      <w:r>
        <w:tab/>
        <w:t>que se pueden aplicar técnicas paliativas a los sensores activos a bordo de vehículos espaciales si eso es necesario para mejorar la viabilidad de la compartición entre dichos sensores y los sistemas de radares de radiolocalización que funcionan en la banda 1 215</w:t>
      </w:r>
      <w:r>
        <w:noBreakHyphen/>
        <w:t>1 300 MHz,</w:t>
      </w:r>
    </w:p>
    <w:p w14:paraId="28692631" w14:textId="0EA85E25" w:rsidR="00353395" w:rsidRDefault="00353395" w:rsidP="00A510A1">
      <w:pPr>
        <w:pStyle w:val="call0"/>
        <w:jc w:val="both"/>
      </w:pPr>
      <w:r>
        <w:t xml:space="preserve">decide </w:t>
      </w:r>
      <w:r>
        <w:rPr>
          <w:i w:val="0"/>
          <w:iCs/>
        </w:rPr>
        <w:t>poner a estudio la</w:t>
      </w:r>
      <w:r w:rsidR="00A510A1">
        <w:rPr>
          <w:i w:val="0"/>
          <w:iCs/>
        </w:rPr>
        <w:t>s</w:t>
      </w:r>
      <w:r>
        <w:rPr>
          <w:i w:val="0"/>
          <w:iCs/>
        </w:rPr>
        <w:t xml:space="preserve"> siguiente</w:t>
      </w:r>
      <w:r w:rsidR="00A510A1">
        <w:rPr>
          <w:i w:val="0"/>
          <w:iCs/>
        </w:rPr>
        <w:t>s</w:t>
      </w:r>
      <w:r>
        <w:rPr>
          <w:i w:val="0"/>
          <w:iCs/>
        </w:rPr>
        <w:t xml:space="preserve"> Cuesti</w:t>
      </w:r>
      <w:r w:rsidR="00A510A1">
        <w:rPr>
          <w:i w:val="0"/>
          <w:iCs/>
        </w:rPr>
        <w:t>o</w:t>
      </w:r>
      <w:r>
        <w:rPr>
          <w:i w:val="0"/>
          <w:iCs/>
        </w:rPr>
        <w:t>n</w:t>
      </w:r>
      <w:r w:rsidR="00A510A1">
        <w:rPr>
          <w:i w:val="0"/>
          <w:iCs/>
        </w:rPr>
        <w:t>es</w:t>
      </w:r>
    </w:p>
    <w:p w14:paraId="64EAE81C" w14:textId="77777777" w:rsidR="00353395" w:rsidRDefault="00353395" w:rsidP="00A510A1">
      <w:pPr>
        <w:jc w:val="both"/>
      </w:pPr>
      <w:r w:rsidRPr="00A510A1">
        <w:t>1</w:t>
      </w:r>
      <w:r>
        <w:tab/>
        <w:t>¿Cuáles son las posibilidades y condiciones para la compartición de frecuencias entre los sistemas de sensores activos a bordo de vehículos espaciales del SETS y los sistemas que funcionan en otros servicios en la banda 1 215</w:t>
      </w:r>
      <w:r>
        <w:noBreakHyphen/>
        <w:t>1 300 MHz?</w:t>
      </w:r>
    </w:p>
    <w:p w14:paraId="22D770DC" w14:textId="77777777" w:rsidR="00353395" w:rsidRDefault="00353395" w:rsidP="00A510A1">
      <w:pPr>
        <w:jc w:val="both"/>
      </w:pPr>
      <w:r w:rsidRPr="00A510A1">
        <w:t>2</w:t>
      </w:r>
      <w:r>
        <w:tab/>
        <w:t>¿Cuáles son las técnicas tendientes a reducir la interferencia que podrían utilizar los sensores activos a bordo de vehículos espaciales para facilitar la compartición en la banda 1 215</w:t>
      </w:r>
      <w:r>
        <w:noBreakHyphen/>
        <w:t>1 300 MHz?</w:t>
      </w:r>
    </w:p>
    <w:p w14:paraId="3E1176F9" w14:textId="77777777" w:rsidR="00353395" w:rsidRDefault="00353395" w:rsidP="00A510A1">
      <w:pPr>
        <w:pStyle w:val="call0"/>
        <w:jc w:val="both"/>
      </w:pPr>
      <w:r>
        <w:t>decide también</w:t>
      </w:r>
    </w:p>
    <w:p w14:paraId="3F0DFA23" w14:textId="77777777" w:rsidR="00353395" w:rsidRDefault="00353395" w:rsidP="00A510A1">
      <w:pPr>
        <w:jc w:val="both"/>
      </w:pPr>
      <w:r w:rsidRPr="00A510A1">
        <w:rPr>
          <w:bCs/>
        </w:rPr>
        <w:t>1</w:t>
      </w:r>
      <w:r>
        <w:tab/>
        <w:t>que los resultados de estos estudios se incluyan en una o varias Recomendaciones;</w:t>
      </w:r>
    </w:p>
    <w:p w14:paraId="1641D5BA" w14:textId="4E85F515" w:rsidR="00353395" w:rsidRDefault="00353395" w:rsidP="00A510A1">
      <w:pPr>
        <w:jc w:val="both"/>
      </w:pPr>
      <w:r w:rsidRPr="00A510A1">
        <w:rPr>
          <w:bCs/>
        </w:rPr>
        <w:t>2</w:t>
      </w:r>
      <w:r>
        <w:tab/>
        <w:t>que dichos estudios se terminen en 202</w:t>
      </w:r>
      <w:r w:rsidR="00A510A1">
        <w:t>7</w:t>
      </w:r>
      <w:r>
        <w:t>.</w:t>
      </w:r>
    </w:p>
    <w:p w14:paraId="76B0FF35" w14:textId="77777777" w:rsidR="00353395" w:rsidRDefault="00353395" w:rsidP="00867DF3"/>
    <w:p w14:paraId="3E945FE3" w14:textId="22EAA636" w:rsidR="00860893" w:rsidRDefault="00353395" w:rsidP="00572779">
      <w:proofErr w:type="spellStart"/>
      <w:proofErr w:type="gramStart"/>
      <w:r w:rsidRPr="00A70F3C">
        <w:rPr>
          <w:lang w:val="fr-FR"/>
        </w:rPr>
        <w:t>Categoría</w:t>
      </w:r>
      <w:proofErr w:type="spellEnd"/>
      <w:r w:rsidRPr="00A70F3C">
        <w:rPr>
          <w:lang w:val="fr-FR"/>
        </w:rPr>
        <w:t>:</w:t>
      </w:r>
      <w:proofErr w:type="gramEnd"/>
      <w:r w:rsidRPr="00A70F3C">
        <w:rPr>
          <w:lang w:val="fr-FR"/>
        </w:rPr>
        <w:t xml:space="preserve"> </w:t>
      </w:r>
      <w:proofErr w:type="spellStart"/>
      <w:r w:rsidRPr="00A70F3C">
        <w:rPr>
          <w:lang w:val="fr-FR"/>
        </w:rPr>
        <w:t>S2</w:t>
      </w:r>
      <w:bookmarkStart w:id="0" w:name="_GoBack"/>
      <w:bookmarkEnd w:id="0"/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353395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A510A1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353395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53395"/>
    <w:pPr>
      <w:spacing w:before="280"/>
    </w:pPr>
  </w:style>
  <w:style w:type="paragraph" w:customStyle="1" w:styleId="call0">
    <w:name w:val="call"/>
    <w:basedOn w:val="Normal"/>
    <w:next w:val="Normal"/>
    <w:rsid w:val="0035339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420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2024-02-07T11:39:00Z</dcterms:created>
  <dcterms:modified xsi:type="dcterms:W3CDTF">2024-02-07T11:40:00Z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