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09DDC" w14:textId="77777777" w:rsidR="003F2E2F" w:rsidRPr="007A641C" w:rsidRDefault="003F2E2F" w:rsidP="003F2E2F">
      <w:pPr>
        <w:pStyle w:val="QuestionNoBR"/>
      </w:pPr>
      <w:r w:rsidRPr="007A641C">
        <w:t>CUESTIÓN uit-r 234-1/7</w:t>
      </w:r>
    </w:p>
    <w:p w14:paraId="4814DDE8" w14:textId="77777777" w:rsidR="003F2E2F" w:rsidRPr="007A641C" w:rsidRDefault="003F2E2F" w:rsidP="003F2E2F">
      <w:pPr>
        <w:pStyle w:val="Questiontitle"/>
      </w:pPr>
      <w:r w:rsidRPr="007A641C">
        <w:t xml:space="preserve">Compartición de frecuencias entre los sistemas de sensores activos del servicio de exploración de la </w:t>
      </w:r>
      <w:r>
        <w:t>T</w:t>
      </w:r>
      <w:r w:rsidRPr="007A641C">
        <w:t>ierra por satélite y los sistemas que funcionan en otros</w:t>
      </w:r>
      <w:r w:rsidRPr="007A641C">
        <w:br/>
        <w:t>servicios en la banda 1 215-1 300 MHz</w:t>
      </w:r>
    </w:p>
    <w:p w14:paraId="6391F714" w14:textId="77777777" w:rsidR="003F2E2F" w:rsidRPr="007A641C" w:rsidRDefault="003F2E2F" w:rsidP="003F2E2F">
      <w:pPr>
        <w:pStyle w:val="Questiondate"/>
        <w:rPr>
          <w:i/>
          <w:iCs/>
        </w:rPr>
      </w:pPr>
      <w:r w:rsidRPr="007A641C">
        <w:rPr>
          <w:iCs/>
        </w:rPr>
        <w:t>(2000-2026)</w:t>
      </w:r>
    </w:p>
    <w:p w14:paraId="71C0A662" w14:textId="77777777" w:rsidR="003F2E2F" w:rsidRPr="007A641C" w:rsidRDefault="003F2E2F" w:rsidP="003F2E2F">
      <w:pPr>
        <w:pStyle w:val="Normalaftertitle"/>
      </w:pPr>
      <w:r w:rsidRPr="007A641C">
        <w:t>La Asamblea de Radiocomunicaciones de la UIT,</w:t>
      </w:r>
    </w:p>
    <w:p w14:paraId="06BC01EE" w14:textId="77777777" w:rsidR="003F2E2F" w:rsidRPr="007A641C" w:rsidRDefault="003F2E2F" w:rsidP="003F2E2F">
      <w:pPr>
        <w:pStyle w:val="Call"/>
      </w:pPr>
      <w:r w:rsidRPr="007A641C">
        <w:t>considerando</w:t>
      </w:r>
    </w:p>
    <w:p w14:paraId="75A2B28B" w14:textId="77777777" w:rsidR="003F2E2F" w:rsidRPr="007A641C" w:rsidRDefault="003F2E2F" w:rsidP="003F2E2F">
      <w:pPr>
        <w:jc w:val="both"/>
      </w:pPr>
      <w:r w:rsidRPr="007A641C">
        <w:rPr>
          <w:i/>
          <w:iCs/>
        </w:rPr>
        <w:t>a)</w:t>
      </w:r>
      <w:r w:rsidRPr="007A641C">
        <w:tab/>
        <w:t>que las características de los sistemas de exploración de la Tierra por satélite (SETS) (activos), así como las frecuencias y anchuras de banda y los criterios de calidad de funcionamiento, interferencia y compartición de frecuencias figuran en las Recomendaciones UIT</w:t>
      </w:r>
      <w:r w:rsidRPr="007A641C">
        <w:noBreakHyphen/>
        <w:t>R RS.577, UIT</w:t>
      </w:r>
      <w:r w:rsidRPr="007A641C">
        <w:noBreakHyphen/>
        <w:t>R RS.1166 y UIT-R RS.2105;</w:t>
      </w:r>
    </w:p>
    <w:p w14:paraId="7DA86957" w14:textId="77777777" w:rsidR="003F2E2F" w:rsidRPr="007A641C" w:rsidRDefault="003F2E2F" w:rsidP="003F2E2F">
      <w:pPr>
        <w:jc w:val="both"/>
      </w:pPr>
      <w:r w:rsidRPr="007A641C">
        <w:rPr>
          <w:i/>
          <w:iCs/>
        </w:rPr>
        <w:t>b)</w:t>
      </w:r>
      <w:r w:rsidRPr="007A641C">
        <w:tab/>
        <w:t xml:space="preserve">que la CMR-2000 atribuyó la banda de frecuencias 1 215-1 300 MHz al SETS (activo) a título primario para su utilización por sensores activos a bordo de vehículos espaciales sujetos a los números </w:t>
      </w:r>
      <w:r w:rsidRPr="007A641C">
        <w:rPr>
          <w:b/>
          <w:bCs/>
        </w:rPr>
        <w:t>5.332</w:t>
      </w:r>
      <w:r w:rsidRPr="007A641C">
        <w:t xml:space="preserve">, </w:t>
      </w:r>
      <w:r w:rsidRPr="007A641C">
        <w:rPr>
          <w:b/>
          <w:bCs/>
        </w:rPr>
        <w:t>5.335</w:t>
      </w:r>
      <w:r w:rsidRPr="007A641C">
        <w:t xml:space="preserve"> y </w:t>
      </w:r>
      <w:r w:rsidRPr="007A641C">
        <w:rPr>
          <w:b/>
          <w:bCs/>
        </w:rPr>
        <w:t>5.335A</w:t>
      </w:r>
      <w:r w:rsidRPr="007A641C">
        <w:t xml:space="preserve"> del RR;</w:t>
      </w:r>
    </w:p>
    <w:p w14:paraId="40DE2FB5" w14:textId="77777777" w:rsidR="003F2E2F" w:rsidRPr="007A641C" w:rsidRDefault="003F2E2F" w:rsidP="003F2E2F">
      <w:pPr>
        <w:jc w:val="both"/>
      </w:pPr>
      <w:r w:rsidRPr="007A641C">
        <w:rPr>
          <w:i/>
          <w:iCs/>
        </w:rPr>
        <w:t>c)</w:t>
      </w:r>
      <w:r w:rsidRPr="007A641C">
        <w:tab/>
        <w:t>que los estudios realizados por la UIT-R han demostrado que la compartición entre los radares de apertura sintética a bordo de vehículos espaciales y los radares terrenales es viable, salvo cuando se trata de radar de impulsos con modulación de frecuencia;</w:t>
      </w:r>
    </w:p>
    <w:p w14:paraId="26D90B65" w14:textId="77777777" w:rsidR="003F2E2F" w:rsidRPr="007A641C" w:rsidRDefault="003F2E2F" w:rsidP="003F2E2F">
      <w:pPr>
        <w:jc w:val="both"/>
      </w:pPr>
      <w:r w:rsidRPr="007A641C">
        <w:rPr>
          <w:i/>
          <w:iCs/>
        </w:rPr>
        <w:t>d)</w:t>
      </w:r>
      <w:r w:rsidRPr="007A641C">
        <w:tab/>
        <w:t>que se pueden aplicar técnicas paliativas a los sensores activos a bordo de vehículos espaciales si eso es necesario para mejorar la viabilidad de la compartición entre dichos sensores y los sistemas de radares de radiolocalización que funcionan en la banda 1 215</w:t>
      </w:r>
      <w:r w:rsidRPr="007A641C">
        <w:noBreakHyphen/>
        <w:t>1 300 MHz,</w:t>
      </w:r>
    </w:p>
    <w:p w14:paraId="6F96F6F5" w14:textId="77777777" w:rsidR="003F2E2F" w:rsidRPr="007A641C" w:rsidRDefault="003F2E2F" w:rsidP="003F2E2F">
      <w:pPr>
        <w:pStyle w:val="Call"/>
      </w:pPr>
      <w:r w:rsidRPr="007A641C">
        <w:t xml:space="preserve">decide </w:t>
      </w:r>
      <w:r w:rsidRPr="009179E7">
        <w:rPr>
          <w:i w:val="0"/>
          <w:iCs/>
        </w:rPr>
        <w:t>poner a estudio las siguientes Cuestiones</w:t>
      </w:r>
    </w:p>
    <w:p w14:paraId="0D8D09F8" w14:textId="77777777" w:rsidR="003F2E2F" w:rsidRPr="007A641C" w:rsidRDefault="003F2E2F" w:rsidP="003F2E2F">
      <w:pPr>
        <w:jc w:val="both"/>
      </w:pPr>
      <w:r w:rsidRPr="007A641C">
        <w:t>1</w:t>
      </w:r>
      <w:r w:rsidRPr="007A641C">
        <w:tab/>
        <w:t>¿Cuáles son las posibilidades y condiciones para la compartición de frecuencias entre los sistemas de sensores activos a bordo de vehículos espaciales del SETS y los sistemas que funcionan en otros servicios en la banda 1 215</w:t>
      </w:r>
      <w:r w:rsidRPr="007A641C">
        <w:noBreakHyphen/>
        <w:t>1 300 MHz?</w:t>
      </w:r>
    </w:p>
    <w:p w14:paraId="76C43766" w14:textId="77777777" w:rsidR="003F2E2F" w:rsidRPr="007A641C" w:rsidRDefault="003F2E2F" w:rsidP="003F2E2F">
      <w:pPr>
        <w:jc w:val="both"/>
      </w:pPr>
      <w:r w:rsidRPr="007A641C">
        <w:t>2</w:t>
      </w:r>
      <w:r w:rsidRPr="007A641C">
        <w:tab/>
        <w:t xml:space="preserve">¿Cuáles son </w:t>
      </w:r>
      <w:proofErr w:type="gramStart"/>
      <w:r w:rsidRPr="007A641C">
        <w:t>las técnicas tendientes a reducir</w:t>
      </w:r>
      <w:proofErr w:type="gramEnd"/>
      <w:r w:rsidRPr="007A641C">
        <w:t xml:space="preserve"> la interferencia que podrían utilizar los sensores activos a bordo de vehículos espaciales para facilitar la compartición en la banda 1 215</w:t>
      </w:r>
      <w:r w:rsidRPr="007A641C">
        <w:noBreakHyphen/>
        <w:t>1 300 MHz?</w:t>
      </w:r>
    </w:p>
    <w:p w14:paraId="608E28C2" w14:textId="77777777" w:rsidR="003F2E2F" w:rsidRPr="007A641C" w:rsidRDefault="003F2E2F" w:rsidP="003F2E2F">
      <w:pPr>
        <w:pStyle w:val="Call"/>
      </w:pPr>
      <w:r w:rsidRPr="007A641C">
        <w:t>decide también</w:t>
      </w:r>
    </w:p>
    <w:p w14:paraId="48BE791C" w14:textId="77777777" w:rsidR="003F2E2F" w:rsidRPr="007A641C" w:rsidRDefault="003F2E2F" w:rsidP="003F2E2F">
      <w:pPr>
        <w:jc w:val="both"/>
      </w:pPr>
      <w:r w:rsidRPr="007A641C">
        <w:t>1</w:t>
      </w:r>
      <w:r w:rsidRPr="007A641C">
        <w:tab/>
        <w:t>que los resultados de estos estudios se incluyan en una o varias Recomendaciones;</w:t>
      </w:r>
    </w:p>
    <w:p w14:paraId="4E3910D2" w14:textId="77777777" w:rsidR="003F2E2F" w:rsidRPr="007A641C" w:rsidRDefault="003F2E2F" w:rsidP="003F2E2F">
      <w:pPr>
        <w:jc w:val="both"/>
      </w:pPr>
      <w:r w:rsidRPr="007A641C">
        <w:t>2</w:t>
      </w:r>
      <w:r w:rsidRPr="007A641C">
        <w:tab/>
        <w:t>que dichos estudios se terminen en 2031.</w:t>
      </w:r>
    </w:p>
    <w:p w14:paraId="7E472678" w14:textId="77777777" w:rsidR="003F2E2F" w:rsidRPr="007A641C" w:rsidRDefault="003F2E2F" w:rsidP="003F2E2F">
      <w:pPr>
        <w:spacing w:before="360"/>
      </w:pPr>
      <w:r w:rsidRPr="007A641C">
        <w:t>Categoría: S2</w:t>
      </w:r>
    </w:p>
    <w:p w14:paraId="3E945FE3" w14:textId="4D0506BF" w:rsidR="00860893" w:rsidRPr="003F2E2F" w:rsidRDefault="00860893" w:rsidP="003F2E2F"/>
    <w:sectPr w:rsidR="00860893" w:rsidRPr="003F2E2F">
      <w:headerReference w:type="default" r:id="rId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2EA4" w14:textId="77777777" w:rsidR="00EB5563" w:rsidRDefault="00EB5563">
      <w:r>
        <w:separator/>
      </w:r>
    </w:p>
  </w:endnote>
  <w:endnote w:type="continuationSeparator" w:id="0">
    <w:p w14:paraId="2A9C45F6" w14:textId="77777777" w:rsidR="00EB5563" w:rsidRDefault="00EB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E9E09" w14:textId="77777777" w:rsidR="00EB5563" w:rsidRDefault="00EB5563">
      <w:r>
        <w:t>____________________</w:t>
      </w:r>
    </w:p>
  </w:footnote>
  <w:footnote w:type="continuationSeparator" w:id="0">
    <w:p w14:paraId="1BF204E1" w14:textId="77777777" w:rsidR="00EB5563" w:rsidRDefault="00EB5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1D78" w14:textId="77777777" w:rsidR="00105A36" w:rsidRDefault="00105A36" w:rsidP="00572779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72779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 w:rsidR="00572779">
      <w:rPr>
        <w:rStyle w:val="PageNumber"/>
      </w:rPr>
      <w:t>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AD"/>
    <w:rsid w:val="00011304"/>
    <w:rsid w:val="00024946"/>
    <w:rsid w:val="00034615"/>
    <w:rsid w:val="0005654C"/>
    <w:rsid w:val="00105A36"/>
    <w:rsid w:val="00134DE9"/>
    <w:rsid w:val="00344C92"/>
    <w:rsid w:val="00353395"/>
    <w:rsid w:val="003F2E2F"/>
    <w:rsid w:val="004649CF"/>
    <w:rsid w:val="005036A8"/>
    <w:rsid w:val="00516A17"/>
    <w:rsid w:val="00525CEE"/>
    <w:rsid w:val="00572779"/>
    <w:rsid w:val="005A42D2"/>
    <w:rsid w:val="005B70A0"/>
    <w:rsid w:val="005D4A50"/>
    <w:rsid w:val="00667028"/>
    <w:rsid w:val="00677A46"/>
    <w:rsid w:val="006F778B"/>
    <w:rsid w:val="00786D6D"/>
    <w:rsid w:val="007B13A4"/>
    <w:rsid w:val="00860893"/>
    <w:rsid w:val="009D1DC3"/>
    <w:rsid w:val="009E2590"/>
    <w:rsid w:val="00A127AD"/>
    <w:rsid w:val="00A31D52"/>
    <w:rsid w:val="00A510A1"/>
    <w:rsid w:val="00B966F9"/>
    <w:rsid w:val="00C049E0"/>
    <w:rsid w:val="00D33365"/>
    <w:rsid w:val="00E302E3"/>
    <w:rsid w:val="00EB5563"/>
    <w:rsid w:val="00FB4AC0"/>
    <w:rsid w:val="00FD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8E586"/>
  <w15:docId w15:val="{B1EF406D-B64F-410E-A9A9-D7383321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rtNo">
    <w:name w:val="Art_No"/>
    <w:basedOn w:val="Normal"/>
    <w:next w:val="Arttitl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itle">
    <w:name w:val="Table_title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Pr>
      <w:position w:val="6"/>
      <w:sz w:val="18"/>
    </w:rPr>
  </w:style>
  <w:style w:type="paragraph" w:styleId="FootnoteText">
    <w:name w:val="footnote text"/>
    <w:basedOn w:val="Not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pPr>
      <w:spacing w:before="80"/>
    </w:pPr>
    <w:rPr>
      <w:sz w:val="22"/>
    </w:rPr>
  </w:style>
  <w:style w:type="paragraph" w:styleId="Header">
    <w:name w:val="head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pPr>
      <w:ind w:left="283"/>
    </w:pPr>
  </w:style>
  <w:style w:type="paragraph" w:styleId="Index3">
    <w:name w:val="index 3"/>
    <w:basedOn w:val="Normal"/>
    <w:next w:val="Normal"/>
    <w:pPr>
      <w:ind w:left="566"/>
    </w:pPr>
  </w:style>
  <w:style w:type="paragraph" w:customStyle="1" w:styleId="PartNo">
    <w:name w:val="Part_No"/>
    <w:basedOn w:val="Normal"/>
    <w:next w:val="Partre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QuestionNo">
    <w:name w:val="Question_No"/>
    <w:basedOn w:val="RecNo"/>
    <w:next w:val="Normal"/>
  </w:style>
  <w:style w:type="paragraph" w:customStyle="1" w:styleId="Questiontitle">
    <w:name w:val="Question_title"/>
    <w:basedOn w:val="Rectitle"/>
    <w:next w:val="Questionref"/>
  </w:style>
  <w:style w:type="paragraph" w:customStyle="1" w:styleId="Questionref">
    <w:name w:val="Question_ref"/>
    <w:basedOn w:val="Recref"/>
    <w:next w:val="Questiondate"/>
  </w:style>
  <w:style w:type="paragraph" w:customStyle="1" w:styleId="Reftext">
    <w:name w:val="Ref_text"/>
    <w:basedOn w:val="Normal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sdate">
    <w:name w:val="Res_date"/>
    <w:basedOn w:val="Recdate"/>
    <w:next w:val="Normalaftertitle"/>
  </w:style>
  <w:style w:type="paragraph" w:customStyle="1" w:styleId="ResNo">
    <w:name w:val="Res_No"/>
    <w:basedOn w:val="RecNo"/>
    <w:next w:val="Restitle"/>
  </w:style>
  <w:style w:type="paragraph" w:customStyle="1" w:styleId="Restitle">
    <w:name w:val="Res_title"/>
    <w:basedOn w:val="Rectitle"/>
    <w:next w:val="Resref"/>
  </w:style>
  <w:style w:type="paragraph" w:customStyle="1" w:styleId="Resref">
    <w:name w:val="Res_ref"/>
    <w:basedOn w:val="Recref"/>
    <w:next w:val="Resdate"/>
  </w:style>
  <w:style w:type="paragraph" w:customStyle="1" w:styleId="SectionNo">
    <w:name w:val="Section_No"/>
    <w:basedOn w:val="Normal"/>
    <w:next w:val="Sectiontitl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</w:style>
  <w:style w:type="paragraph" w:customStyle="1" w:styleId="Title3">
    <w:name w:val="Title 3"/>
    <w:basedOn w:val="Title2"/>
    <w:next w:val="Title4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pPr>
      <w:spacing w:before="80"/>
      <w:ind w:left="1531" w:hanging="851"/>
    </w:pPr>
  </w:style>
  <w:style w:type="paragraph" w:styleId="TOC3">
    <w:name w:val="toc 3"/>
    <w:basedOn w:val="TOC2"/>
  </w:style>
  <w:style w:type="paragraph" w:styleId="TOC4">
    <w:name w:val="toc 4"/>
    <w:basedOn w:val="TOC3"/>
  </w:style>
  <w:style w:type="paragraph" w:styleId="TOC5">
    <w:name w:val="toc 5"/>
    <w:basedOn w:val="TOC4"/>
  </w:style>
  <w:style w:type="paragraph" w:styleId="TOC6">
    <w:name w:val="toc 6"/>
    <w:basedOn w:val="TOC4"/>
  </w:style>
  <w:style w:type="paragraph" w:styleId="TOC7">
    <w:name w:val="toc 7"/>
    <w:basedOn w:val="TOC4"/>
  </w:style>
  <w:style w:type="paragraph" w:styleId="TOC8">
    <w:name w:val="toc 8"/>
    <w:basedOn w:val="TOC4"/>
  </w:style>
  <w:style w:type="character" w:customStyle="1" w:styleId="Appdef">
    <w:name w:val="App_def"/>
    <w:basedOn w:val="DefaultParagraphFont"/>
    <w:rsid w:val="00516A17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16A17"/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character" w:customStyle="1" w:styleId="Artref">
    <w:name w:val="Art_ref"/>
    <w:basedOn w:val="DefaultParagraphFont"/>
  </w:style>
  <w:style w:type="character" w:customStyle="1" w:styleId="Recdef">
    <w:name w:val="Rec_def"/>
    <w:basedOn w:val="DefaultParagraphFont"/>
    <w:rPr>
      <w:b/>
    </w:rPr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Pr>
      <w:b/>
      <w:color w:val="auto"/>
    </w:rPr>
  </w:style>
  <w:style w:type="paragraph" w:customStyle="1" w:styleId="Formal">
    <w:name w:val="Formal"/>
    <w:basedOn w:val="ASN1"/>
    <w:rPr>
      <w:b w:val="0"/>
    </w:rPr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</w:style>
  <w:style w:type="paragraph" w:customStyle="1" w:styleId="Figuretitle">
    <w:name w:val="Figure_title"/>
    <w:basedOn w:val="Tabletitle"/>
    <w:next w:val="Normal"/>
  </w:style>
  <w:style w:type="paragraph" w:customStyle="1" w:styleId="FigureNo">
    <w:name w:val="Figure_No"/>
    <w:basedOn w:val="Normal"/>
    <w:next w:val="Figuretitle"/>
    <w:pPr>
      <w:keepNext/>
      <w:keepLines/>
      <w:spacing w:before="480" w:after="120"/>
      <w:jc w:val="center"/>
    </w:pPr>
    <w:rPr>
      <w:caps/>
    </w:rPr>
  </w:style>
  <w:style w:type="paragraph" w:customStyle="1" w:styleId="AnnexNo">
    <w:name w:val="Annex_No"/>
    <w:basedOn w:val="Normal"/>
    <w:next w:val="Normal"/>
    <w:rsid w:val="00516A1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516A1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</w:style>
  <w:style w:type="paragraph" w:customStyle="1" w:styleId="Annextitle">
    <w:name w:val="Annex_title"/>
    <w:basedOn w:val="Normal"/>
    <w:next w:val="Normal"/>
    <w:rsid w:val="00516A1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ArtNo">
    <w:name w:val="App_Art_No"/>
    <w:basedOn w:val="ArtNo"/>
    <w:next w:val="Normal"/>
    <w:qFormat/>
    <w:rsid w:val="00516A17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next w:val="Normal"/>
    <w:qFormat/>
    <w:rsid w:val="00516A17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Normal"/>
    <w:qFormat/>
    <w:rsid w:val="00516A1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8"/>
    </w:rPr>
  </w:style>
  <w:style w:type="paragraph" w:customStyle="1" w:styleId="Headingsplit">
    <w:name w:val="Heading_split"/>
    <w:basedOn w:val="Headingi"/>
    <w:next w:val="Normal"/>
    <w:qFormat/>
    <w:rsid w:val="009E259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ascii="Times" w:hAnsi="Times"/>
      <w:color w:val="000000"/>
    </w:rPr>
  </w:style>
  <w:style w:type="character" w:customStyle="1" w:styleId="Provsplit">
    <w:name w:val="Prov_split"/>
    <w:basedOn w:val="DefaultParagraphFont"/>
    <w:uiPriority w:val="1"/>
    <w:qFormat/>
    <w:rsid w:val="009E2590"/>
  </w:style>
  <w:style w:type="paragraph" w:customStyle="1" w:styleId="QuestionNoBR">
    <w:name w:val="Question_No_BR"/>
    <w:basedOn w:val="Normal"/>
    <w:next w:val="Normal"/>
    <w:rsid w:val="00353395"/>
    <w:pPr>
      <w:keepNext/>
      <w:keepLines/>
      <w:spacing w:before="480"/>
      <w:jc w:val="center"/>
    </w:pPr>
    <w:rPr>
      <w:caps/>
      <w:sz w:val="28"/>
    </w:rPr>
  </w:style>
  <w:style w:type="paragraph" w:customStyle="1" w:styleId="Normalaftertitle0">
    <w:name w:val="Normal after title"/>
    <w:basedOn w:val="Normal"/>
    <w:next w:val="Normal"/>
    <w:rsid w:val="00353395"/>
    <w:pPr>
      <w:spacing w:before="280"/>
    </w:pPr>
  </w:style>
  <w:style w:type="paragraph" w:customStyle="1" w:styleId="call0">
    <w:name w:val="call"/>
    <w:basedOn w:val="Normal"/>
    <w:next w:val="Normal"/>
    <w:rsid w:val="00353395"/>
    <w:pPr>
      <w:keepNext/>
      <w:keepLines/>
      <w:overflowPunct/>
      <w:autoSpaceDE/>
      <w:autoSpaceDN/>
      <w:adjustRightInd/>
      <w:spacing w:before="160"/>
      <w:ind w:left="794"/>
      <w:textAlignment w:val="auto"/>
    </w:pPr>
    <w:rPr>
      <w:i/>
      <w:lang w:val="es-ES"/>
    </w:rPr>
  </w:style>
  <w:style w:type="character" w:customStyle="1" w:styleId="CallChar">
    <w:name w:val="Call Char"/>
    <w:basedOn w:val="DefaultParagraphFont"/>
    <w:link w:val="Call"/>
    <w:locked/>
    <w:rsid w:val="003F2E2F"/>
    <w:rPr>
      <w:rFonts w:ascii="Times New Roman" w:hAnsi="Times New Roman"/>
      <w:i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S%20-%20ITU\PS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PS_BR.dotm</Template>
  <TotalTime>2</TotalTime>
  <Pages>1</Pages>
  <Words>325</Words>
  <Characters>1689</Characters>
  <Application>Microsoft Office Word</Application>
  <DocSecurity>0</DocSecurity>
  <Lines>29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Comisiones de estudio de radiocomunicaciones</dc:subject>
  <dc:creator>Author</dc:creator>
  <dc:description>PS_BR.DOT  For: _x000d_Document date: _x000d_Saved by TRA44246 at 14:48:33 on 25.02.2008</dc:description>
  <cp:lastModifiedBy>Chamova, Alisa</cp:lastModifiedBy>
  <cp:revision>4</cp:revision>
  <cp:lastPrinted>2008-02-21T14:04:00Z</cp:lastPrinted>
  <dcterms:created xsi:type="dcterms:W3CDTF">2024-02-07T11:39:00Z</dcterms:created>
  <dcterms:modified xsi:type="dcterms:W3CDTF">2026-06-09T14:07:00Z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PS_BR.DOT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</Properties>
</file>