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190D" w14:textId="77777777" w:rsidR="00784B9D" w:rsidRDefault="00784B9D" w:rsidP="00992F8F">
      <w:pPr>
        <w:pStyle w:val="QuestionNoBR"/>
        <w:rPr>
          <w:lang w:eastAsia="zh-CN"/>
        </w:rPr>
      </w:pPr>
      <w:r w:rsidRPr="00A50E9D">
        <w:rPr>
          <w:lang w:eastAsia="zh-CN"/>
        </w:rPr>
        <w:t>ITU-R</w:t>
      </w:r>
      <w:r>
        <w:rPr>
          <w:rFonts w:hint="eastAsia"/>
          <w:lang w:eastAsia="zh-CN"/>
        </w:rPr>
        <w:t>第</w:t>
      </w:r>
      <w:r w:rsidRPr="00A50E9D">
        <w:rPr>
          <w:lang w:eastAsia="zh-CN"/>
        </w:rPr>
        <w:t>230</w:t>
      </w:r>
      <w:r>
        <w:rPr>
          <w:rFonts w:hint="eastAsia"/>
          <w:lang w:eastAsia="zh-CN"/>
        </w:rPr>
        <w:t>-1</w:t>
      </w:r>
      <w:r w:rsidRPr="00A50E9D">
        <w:rPr>
          <w:lang w:eastAsia="zh-CN"/>
        </w:rPr>
        <w:t>/</w:t>
      </w:r>
      <w:proofErr w:type="spellStart"/>
      <w:r w:rsidRPr="00A50E9D">
        <w:rPr>
          <w:lang w:eastAsia="zh-CN"/>
        </w:rPr>
        <w:t>7</w:t>
      </w:r>
      <w:bookmarkStart w:id="0" w:name="_GoBack"/>
      <w:bookmarkEnd w:id="0"/>
      <w:r>
        <w:rPr>
          <w:rFonts w:hint="eastAsia"/>
          <w:lang w:eastAsia="zh-CN"/>
        </w:rPr>
        <w:t>号课题</w:t>
      </w:r>
      <w:proofErr w:type="spellEnd"/>
    </w:p>
    <w:p w14:paraId="3AFCC83D" w14:textId="77777777" w:rsidR="00784B9D" w:rsidRDefault="00784B9D" w:rsidP="00C3693D">
      <w:pPr>
        <w:pStyle w:val="Questiontitle"/>
        <w:rPr>
          <w:lang w:eastAsia="zh-CN"/>
        </w:rPr>
      </w:pPr>
      <w:r w:rsidRPr="005A144C">
        <w:rPr>
          <w:rFonts w:hint="eastAsia"/>
          <w:lang w:eastAsia="zh-CN"/>
        </w:rPr>
        <w:t>空间射电天文测量的</w:t>
      </w:r>
      <w:r>
        <w:rPr>
          <w:rFonts w:hint="eastAsia"/>
          <w:lang w:eastAsia="zh-CN"/>
        </w:rPr>
        <w:t>优选频段和</w:t>
      </w:r>
      <w:r w:rsidRPr="005A144C">
        <w:rPr>
          <w:rFonts w:hint="eastAsia"/>
          <w:lang w:eastAsia="zh-CN"/>
        </w:rPr>
        <w:t>保护标准</w:t>
      </w:r>
    </w:p>
    <w:p w14:paraId="0E9A8EB3" w14:textId="77777777" w:rsidR="00784B9D" w:rsidRPr="00684151" w:rsidRDefault="00784B9D" w:rsidP="00C3693D">
      <w:pPr>
        <w:pStyle w:val="Questiondate"/>
        <w:rPr>
          <w:iCs/>
          <w:lang w:eastAsia="zh-CN"/>
        </w:rPr>
      </w:pPr>
      <w:r w:rsidRPr="00684151">
        <w:rPr>
          <w:rFonts w:hint="eastAsia"/>
          <w:iCs/>
          <w:lang w:eastAsia="zh-CN"/>
        </w:rPr>
        <w:t>（</w:t>
      </w:r>
      <w:r w:rsidRPr="00684151">
        <w:rPr>
          <w:iCs/>
          <w:lang w:eastAsia="zh-CN"/>
        </w:rPr>
        <w:t>2000</w:t>
      </w:r>
      <w:r>
        <w:rPr>
          <w:rFonts w:hint="eastAsia"/>
          <w:iCs/>
          <w:lang w:eastAsia="zh-CN"/>
        </w:rPr>
        <w:t>-2010</w:t>
      </w:r>
      <w:r>
        <w:rPr>
          <w:rFonts w:hint="eastAsia"/>
          <w:iCs/>
          <w:lang w:eastAsia="zh-CN"/>
        </w:rPr>
        <w:t>年</w:t>
      </w:r>
      <w:r w:rsidRPr="00684151">
        <w:rPr>
          <w:rFonts w:hint="eastAsia"/>
          <w:iCs/>
          <w:lang w:eastAsia="zh-CN"/>
        </w:rPr>
        <w:t>）</w:t>
      </w:r>
    </w:p>
    <w:p w14:paraId="5A6127E4" w14:textId="77777777" w:rsidR="00784B9D" w:rsidRDefault="00784B9D" w:rsidP="00382586">
      <w:pPr>
        <w:pStyle w:val="Normalaftertitle"/>
        <w:jc w:val="both"/>
        <w:rPr>
          <w:lang w:eastAsia="zh-CN"/>
        </w:rPr>
      </w:pPr>
      <w:r w:rsidRPr="00C252CD">
        <w:rPr>
          <w:lang w:eastAsia="zh-CN"/>
        </w:rPr>
        <w:t>国际电联无线电通信全会，</w:t>
      </w:r>
    </w:p>
    <w:p w14:paraId="5C443EE0" w14:textId="77777777" w:rsidR="00784B9D" w:rsidRPr="00C8385C" w:rsidRDefault="00784B9D" w:rsidP="00382586">
      <w:pPr>
        <w:pStyle w:val="Call"/>
        <w:rPr>
          <w:lang w:eastAsia="zh-CN"/>
        </w:rPr>
      </w:pPr>
      <w:r w:rsidRPr="00C8385C">
        <w:rPr>
          <w:rFonts w:hint="eastAsia"/>
          <w:lang w:eastAsia="zh-CN"/>
        </w:rPr>
        <w:t>考虑到</w:t>
      </w:r>
    </w:p>
    <w:p w14:paraId="412D0A8A" w14:textId="77777777" w:rsidR="00784B9D" w:rsidRDefault="00784B9D" w:rsidP="00382586">
      <w:pPr>
        <w:jc w:val="both"/>
        <w:rPr>
          <w:lang w:eastAsia="zh-CN"/>
        </w:rPr>
      </w:pPr>
      <w:r w:rsidRPr="00382586">
        <w:rPr>
          <w:i/>
          <w:iCs/>
          <w:lang w:eastAsia="zh-CN"/>
        </w:rPr>
        <w:t>a)</w:t>
      </w:r>
      <w:r>
        <w:rPr>
          <w:lang w:eastAsia="zh-CN"/>
        </w:rPr>
        <w:tab/>
      </w:r>
      <w:r>
        <w:rPr>
          <w:rFonts w:hint="eastAsia"/>
          <w:lang w:eastAsia="zh-CN"/>
        </w:rPr>
        <w:t>空间射电望远镜可提供地面射电望远镜无法获取的信息，特别是能够在下列情况下进行观测：</w:t>
      </w:r>
      <w:r>
        <w:rPr>
          <w:lang w:eastAsia="zh-CN"/>
        </w:rPr>
        <w:t xml:space="preserve"> </w:t>
      </w:r>
    </w:p>
    <w:p w14:paraId="77FA30F0" w14:textId="77777777" w:rsidR="00784B9D" w:rsidRDefault="00784B9D" w:rsidP="00382586">
      <w:pPr>
        <w:pStyle w:val="enumlev1"/>
        <w:jc w:val="both"/>
        <w:rPr>
          <w:lang w:eastAsia="zh-CN"/>
        </w:rPr>
      </w:pPr>
      <w:r>
        <w:rPr>
          <w:lang w:eastAsia="zh-CN"/>
        </w:rPr>
        <w:t>–</w:t>
      </w:r>
      <w:r>
        <w:rPr>
          <w:lang w:eastAsia="zh-CN"/>
        </w:rPr>
        <w:tab/>
      </w:r>
      <w:proofErr w:type="gramStart"/>
      <w:r>
        <w:rPr>
          <w:rFonts w:hint="eastAsia"/>
          <w:lang w:eastAsia="zh-CN"/>
        </w:rPr>
        <w:t>地面干扰测法无法实现的角分辨率；</w:t>
      </w:r>
      <w:proofErr w:type="gramEnd"/>
    </w:p>
    <w:p w14:paraId="54345B1A" w14:textId="77777777" w:rsidR="00784B9D" w:rsidRDefault="00784B9D" w:rsidP="00382586">
      <w:pPr>
        <w:pStyle w:val="enumlev1"/>
        <w:jc w:val="both"/>
        <w:rPr>
          <w:lang w:eastAsia="zh-CN"/>
        </w:rPr>
      </w:pPr>
      <w:r>
        <w:rPr>
          <w:lang w:eastAsia="zh-CN"/>
        </w:rPr>
        <w:t>–</w:t>
      </w:r>
      <w:r>
        <w:rPr>
          <w:lang w:eastAsia="zh-CN"/>
        </w:rPr>
        <w:tab/>
      </w:r>
      <w:proofErr w:type="gramStart"/>
      <w:r>
        <w:rPr>
          <w:rFonts w:hint="eastAsia"/>
          <w:lang w:eastAsia="zh-CN"/>
        </w:rPr>
        <w:t>测量</w:t>
      </w:r>
      <w:r w:rsidRPr="004610A1">
        <w:rPr>
          <w:rFonts w:hint="eastAsia"/>
          <w:lang w:eastAsia="zh-CN"/>
        </w:rPr>
        <w:t>宇宙微波背景辐射</w:t>
      </w:r>
      <w:r>
        <w:rPr>
          <w:rFonts w:hint="eastAsia"/>
          <w:lang w:eastAsia="zh-CN"/>
        </w:rPr>
        <w:t>时无可比拟的灵敏度；</w:t>
      </w:r>
      <w:proofErr w:type="gramEnd"/>
    </w:p>
    <w:p w14:paraId="7797CE48" w14:textId="77777777" w:rsidR="00784B9D" w:rsidRDefault="00784B9D" w:rsidP="00382586">
      <w:pPr>
        <w:pStyle w:val="enumlev1"/>
        <w:jc w:val="both"/>
        <w:rPr>
          <w:lang w:eastAsia="zh-CN"/>
        </w:rPr>
      </w:pPr>
      <w:r>
        <w:rPr>
          <w:lang w:eastAsia="zh-CN"/>
        </w:rPr>
        <w:t>–</w:t>
      </w:r>
      <w:r>
        <w:rPr>
          <w:lang w:eastAsia="zh-CN"/>
        </w:rPr>
        <w:tab/>
      </w:r>
      <w:r>
        <w:rPr>
          <w:rFonts w:hint="eastAsia"/>
          <w:lang w:eastAsia="zh-CN"/>
        </w:rPr>
        <w:t>位于地球电离层可屏蔽辐射约</w:t>
      </w:r>
      <w:r>
        <w:rPr>
          <w:lang w:eastAsia="zh-CN"/>
        </w:rPr>
        <w:t xml:space="preserve">10 </w:t>
      </w:r>
      <w:proofErr w:type="gramStart"/>
      <w:r>
        <w:rPr>
          <w:lang w:eastAsia="zh-CN"/>
        </w:rPr>
        <w:t>MHz</w:t>
      </w:r>
      <w:r>
        <w:rPr>
          <w:rFonts w:hint="eastAsia"/>
          <w:lang w:eastAsia="zh-CN"/>
        </w:rPr>
        <w:t>以下频率；</w:t>
      </w:r>
      <w:proofErr w:type="gramEnd"/>
    </w:p>
    <w:p w14:paraId="15D19832" w14:textId="77777777" w:rsidR="00784B9D" w:rsidRDefault="00784B9D" w:rsidP="00382586">
      <w:pPr>
        <w:pStyle w:val="enumlev1"/>
        <w:jc w:val="both"/>
        <w:rPr>
          <w:lang w:eastAsia="zh-CN"/>
        </w:rPr>
      </w:pPr>
      <w:r>
        <w:rPr>
          <w:lang w:eastAsia="zh-CN"/>
        </w:rPr>
        <w:t>–</w:t>
      </w:r>
      <w:r>
        <w:rPr>
          <w:lang w:eastAsia="zh-CN"/>
        </w:rPr>
        <w:tab/>
      </w:r>
      <w:r>
        <w:rPr>
          <w:rFonts w:hint="eastAsia"/>
          <w:lang w:eastAsia="zh-CN"/>
        </w:rPr>
        <w:t>在地球电离层大大削弱（或完全屏蔽）</w:t>
      </w:r>
      <w:proofErr w:type="gramStart"/>
      <w:r>
        <w:rPr>
          <w:rFonts w:hint="eastAsia"/>
          <w:lang w:eastAsia="zh-CN"/>
        </w:rPr>
        <w:t>辐射的某些毫米和亚毫米频段；</w:t>
      </w:r>
      <w:proofErr w:type="gramEnd"/>
    </w:p>
    <w:p w14:paraId="24C86958" w14:textId="77777777" w:rsidR="00784B9D" w:rsidRDefault="00784B9D" w:rsidP="00382586">
      <w:pPr>
        <w:jc w:val="both"/>
        <w:rPr>
          <w:lang w:eastAsia="zh-CN"/>
        </w:rPr>
      </w:pPr>
      <w:r w:rsidRPr="00382586">
        <w:rPr>
          <w:i/>
          <w:iCs/>
          <w:lang w:eastAsia="zh-CN"/>
        </w:rPr>
        <w:t>b)</w:t>
      </w:r>
      <w:r>
        <w:rPr>
          <w:lang w:eastAsia="zh-CN"/>
        </w:rPr>
        <w:tab/>
      </w:r>
      <w:r>
        <w:rPr>
          <w:rFonts w:hint="eastAsia"/>
          <w:lang w:eastAsia="zh-CN"/>
        </w:rPr>
        <w:t>空间</w:t>
      </w:r>
      <w:r>
        <w:rPr>
          <w:lang w:eastAsia="zh-CN"/>
        </w:rPr>
        <w:t>VLBI</w:t>
      </w:r>
      <w:r>
        <w:rPr>
          <w:rFonts w:hint="eastAsia"/>
          <w:lang w:eastAsia="zh-CN"/>
        </w:rPr>
        <w:t>、</w:t>
      </w:r>
      <w:r w:rsidRPr="004610A1">
        <w:rPr>
          <w:rFonts w:hint="eastAsia"/>
          <w:lang w:eastAsia="zh-CN"/>
        </w:rPr>
        <w:t>宇宙微波背景</w:t>
      </w:r>
      <w:r>
        <w:rPr>
          <w:rFonts w:hint="eastAsia"/>
          <w:lang w:eastAsia="zh-CN"/>
        </w:rPr>
        <w:t>观测、</w:t>
      </w:r>
      <w:proofErr w:type="gramStart"/>
      <w:r>
        <w:rPr>
          <w:rFonts w:hint="eastAsia"/>
          <w:lang w:eastAsia="zh-CN"/>
        </w:rPr>
        <w:t>甚低频观测以及在由气压作用阻挡辐射的毫米和亚毫米频段进行的观测可能是解决现代天文学某些基本问题的唯一途径；</w:t>
      </w:r>
      <w:proofErr w:type="gramEnd"/>
    </w:p>
    <w:p w14:paraId="377E0AC5" w14:textId="77777777" w:rsidR="00784B9D" w:rsidRDefault="00784B9D" w:rsidP="00382586">
      <w:pPr>
        <w:jc w:val="both"/>
        <w:rPr>
          <w:lang w:eastAsia="zh-CN"/>
        </w:rPr>
      </w:pPr>
      <w:r w:rsidRPr="00382586">
        <w:rPr>
          <w:i/>
          <w:iCs/>
          <w:lang w:eastAsia="zh-CN"/>
        </w:rPr>
        <w:t>c)</w:t>
      </w:r>
      <w:r>
        <w:rPr>
          <w:lang w:eastAsia="zh-CN"/>
        </w:rPr>
        <w:tab/>
      </w:r>
      <w:r>
        <w:rPr>
          <w:rFonts w:hint="eastAsia"/>
          <w:lang w:eastAsia="zh-CN"/>
        </w:rPr>
        <w:t>由于空间望远镜的轨道位置、距地球的距离及其相对于人为发射的方向等因素，</w:t>
      </w:r>
      <w:proofErr w:type="gramStart"/>
      <w:r>
        <w:rPr>
          <w:rFonts w:hint="eastAsia"/>
          <w:lang w:eastAsia="zh-CN"/>
        </w:rPr>
        <w:t>空间射电望远镜射电天文观测的保护标准与地面射电望远镜不同；</w:t>
      </w:r>
      <w:proofErr w:type="gramEnd"/>
    </w:p>
    <w:p w14:paraId="796FEB13" w14:textId="77777777" w:rsidR="00784B9D" w:rsidRDefault="00784B9D" w:rsidP="00382586">
      <w:pPr>
        <w:jc w:val="both"/>
        <w:rPr>
          <w:lang w:eastAsia="zh-CN"/>
        </w:rPr>
      </w:pPr>
      <w:r w:rsidRPr="00382586">
        <w:rPr>
          <w:rFonts w:hint="eastAsia"/>
          <w:i/>
          <w:iCs/>
          <w:lang w:eastAsia="zh-CN"/>
        </w:rPr>
        <w:t>d)</w:t>
      </w:r>
      <w:r>
        <w:rPr>
          <w:rFonts w:hint="eastAsia"/>
          <w:lang w:eastAsia="zh-CN"/>
        </w:rPr>
        <w:tab/>
      </w:r>
      <w:r>
        <w:rPr>
          <w:rFonts w:hint="eastAsia"/>
          <w:lang w:eastAsia="zh-CN"/>
        </w:rPr>
        <w:t>可在空间研究业务（无源）</w:t>
      </w:r>
      <w:proofErr w:type="gramStart"/>
      <w:r>
        <w:rPr>
          <w:rFonts w:hint="eastAsia"/>
          <w:lang w:eastAsia="zh-CN"/>
        </w:rPr>
        <w:t>使用的频段进行空间射电天文观测；</w:t>
      </w:r>
      <w:proofErr w:type="gramEnd"/>
    </w:p>
    <w:p w14:paraId="559A2AFE" w14:textId="77777777" w:rsidR="00784B9D" w:rsidRDefault="00784B9D" w:rsidP="00382586">
      <w:pPr>
        <w:jc w:val="both"/>
        <w:rPr>
          <w:lang w:eastAsia="zh-CN"/>
        </w:rPr>
      </w:pPr>
      <w:r w:rsidRPr="00382586">
        <w:rPr>
          <w:rFonts w:hint="eastAsia"/>
          <w:i/>
          <w:iCs/>
          <w:lang w:eastAsia="zh-CN"/>
        </w:rPr>
        <w:t>e)</w:t>
      </w:r>
      <w:r>
        <w:rPr>
          <w:rFonts w:hint="eastAsia"/>
          <w:lang w:eastAsia="zh-CN"/>
        </w:rPr>
        <w:tab/>
      </w:r>
      <w:r>
        <w:rPr>
          <w:rFonts w:hint="eastAsia"/>
          <w:lang w:eastAsia="zh-CN"/>
        </w:rPr>
        <w:t>在有源和无源业务共用的频段进行空间射电天文观测时，</w:t>
      </w:r>
      <w:proofErr w:type="gramStart"/>
      <w:r>
        <w:rPr>
          <w:rFonts w:hint="eastAsia"/>
          <w:lang w:eastAsia="zh-CN"/>
        </w:rPr>
        <w:t>有必要考虑有源和无源业务的需要和要求；</w:t>
      </w:r>
      <w:proofErr w:type="gramEnd"/>
    </w:p>
    <w:p w14:paraId="16702C1E" w14:textId="77777777" w:rsidR="00784B9D" w:rsidRDefault="00784B9D" w:rsidP="00382586">
      <w:pPr>
        <w:jc w:val="both"/>
        <w:rPr>
          <w:lang w:eastAsia="zh-CN"/>
        </w:rPr>
      </w:pPr>
      <w:r w:rsidRPr="00382586">
        <w:rPr>
          <w:rFonts w:hint="eastAsia"/>
          <w:i/>
          <w:iCs/>
          <w:lang w:eastAsia="zh-CN"/>
        </w:rPr>
        <w:t>f</w:t>
      </w:r>
      <w:r w:rsidRPr="00382586">
        <w:rPr>
          <w:i/>
          <w:iCs/>
          <w:lang w:eastAsia="zh-CN"/>
        </w:rPr>
        <w:t>)</w:t>
      </w:r>
      <w:r>
        <w:rPr>
          <w:lang w:eastAsia="zh-CN"/>
        </w:rPr>
        <w:tab/>
      </w:r>
      <w:r>
        <w:rPr>
          <w:rFonts w:hint="eastAsia"/>
          <w:lang w:eastAsia="zh-CN"/>
        </w:rPr>
        <w:t>与地面射电望远镜不同，</w:t>
      </w:r>
      <w:proofErr w:type="gramStart"/>
      <w:r>
        <w:rPr>
          <w:rFonts w:hint="eastAsia"/>
          <w:lang w:eastAsia="zh-CN"/>
        </w:rPr>
        <w:t>空间射电望远镜临近用于空间操作和数据传输的发射机和接收机；</w:t>
      </w:r>
      <w:proofErr w:type="gramEnd"/>
    </w:p>
    <w:p w14:paraId="68592634" w14:textId="77777777" w:rsidR="00784B9D" w:rsidRDefault="00784B9D" w:rsidP="00382586">
      <w:pPr>
        <w:jc w:val="both"/>
        <w:rPr>
          <w:lang w:eastAsia="zh-CN"/>
        </w:rPr>
      </w:pPr>
      <w:r w:rsidRPr="00382586">
        <w:rPr>
          <w:rFonts w:hint="eastAsia"/>
          <w:i/>
          <w:iCs/>
          <w:lang w:eastAsia="zh-CN"/>
        </w:rPr>
        <w:t>g</w:t>
      </w:r>
      <w:r w:rsidRPr="00382586">
        <w:rPr>
          <w:i/>
          <w:iCs/>
          <w:lang w:eastAsia="zh-CN"/>
        </w:rPr>
        <w:t>)</w:t>
      </w:r>
      <w:r>
        <w:rPr>
          <w:lang w:eastAsia="zh-CN"/>
        </w:rPr>
        <w:tab/>
      </w:r>
      <w:r>
        <w:rPr>
          <w:rFonts w:hint="eastAsia"/>
          <w:lang w:eastAsia="zh-CN"/>
        </w:rPr>
        <w:t>空间射电天文任务取得了巨大的成功，</w:t>
      </w:r>
      <w:proofErr w:type="gramStart"/>
      <w:r>
        <w:rPr>
          <w:rFonts w:hint="eastAsia"/>
          <w:lang w:eastAsia="zh-CN"/>
        </w:rPr>
        <w:t>已计划在未来进行更多此类任务的发射与操作；</w:t>
      </w:r>
      <w:proofErr w:type="gramEnd"/>
    </w:p>
    <w:p w14:paraId="3F1B98A5" w14:textId="77777777" w:rsidR="00784B9D" w:rsidRDefault="00784B9D" w:rsidP="00382586">
      <w:pPr>
        <w:jc w:val="both"/>
        <w:rPr>
          <w:lang w:eastAsia="zh-CN"/>
        </w:rPr>
      </w:pPr>
      <w:r w:rsidRPr="00382586">
        <w:rPr>
          <w:rFonts w:hint="eastAsia"/>
          <w:i/>
          <w:iCs/>
          <w:lang w:eastAsia="zh-CN"/>
        </w:rPr>
        <w:t>h</w:t>
      </w:r>
      <w:r w:rsidRPr="00382586">
        <w:rPr>
          <w:i/>
          <w:iCs/>
          <w:lang w:eastAsia="zh-CN"/>
        </w:rPr>
        <w:t>)</w:t>
      </w:r>
      <w:r>
        <w:rPr>
          <w:lang w:eastAsia="zh-CN"/>
        </w:rPr>
        <w:tab/>
      </w:r>
      <w:r>
        <w:rPr>
          <w:rFonts w:hint="eastAsia"/>
          <w:lang w:eastAsia="zh-CN"/>
        </w:rPr>
        <w:t>正在开发相关技术以支持此类任务（可展天线、冷却系统、高数据速率纪录、传输和处理系统、空间射电望远镜的精确定向和稳定等），</w:t>
      </w:r>
      <w:proofErr w:type="gramStart"/>
      <w:r>
        <w:rPr>
          <w:rFonts w:hint="eastAsia"/>
          <w:lang w:eastAsia="zh-CN"/>
        </w:rPr>
        <w:t>在未来此类技术亦可能用于其它电信业务；</w:t>
      </w:r>
      <w:proofErr w:type="gramEnd"/>
    </w:p>
    <w:p w14:paraId="20BBC02B" w14:textId="77777777" w:rsidR="00784B9D" w:rsidRDefault="00784B9D" w:rsidP="00382586">
      <w:pPr>
        <w:jc w:val="both"/>
        <w:rPr>
          <w:lang w:eastAsia="zh-CN"/>
        </w:rPr>
      </w:pPr>
      <w:proofErr w:type="spellStart"/>
      <w:r w:rsidRPr="00382586">
        <w:rPr>
          <w:rFonts w:hint="eastAsia"/>
          <w:i/>
          <w:iCs/>
          <w:lang w:eastAsia="zh-CN"/>
        </w:rPr>
        <w:t>i</w:t>
      </w:r>
      <w:proofErr w:type="spellEnd"/>
      <w:r w:rsidRPr="00382586">
        <w:rPr>
          <w:i/>
          <w:iCs/>
          <w:lang w:eastAsia="zh-CN"/>
        </w:rPr>
        <w:t>)</w:t>
      </w:r>
      <w:r>
        <w:rPr>
          <w:lang w:eastAsia="zh-CN"/>
        </w:rPr>
        <w:tab/>
      </w:r>
      <w:r>
        <w:rPr>
          <w:rFonts w:hint="eastAsia"/>
          <w:lang w:eastAsia="zh-CN"/>
        </w:rPr>
        <w:t>《无线电规则》未提出有关保护空间射电天文（</w:t>
      </w:r>
      <w:r>
        <w:rPr>
          <w:rFonts w:hint="eastAsia"/>
          <w:lang w:eastAsia="zh-CN"/>
        </w:rPr>
        <w:t>1668-</w:t>
      </w:r>
      <w:proofErr w:type="spellStart"/>
      <w:r>
        <w:rPr>
          <w:rFonts w:hint="eastAsia"/>
          <w:lang w:eastAsia="zh-CN"/>
        </w:rPr>
        <w:t>1668.4MHz</w:t>
      </w:r>
      <w:proofErr w:type="spellEnd"/>
      <w:r>
        <w:rPr>
          <w:rFonts w:hint="eastAsia"/>
          <w:lang w:eastAsia="zh-CN"/>
        </w:rPr>
        <w:t>频段的空间研究（无源）业务应用除外）的具体规定，</w:t>
      </w:r>
    </w:p>
    <w:p w14:paraId="5DC7FD5F" w14:textId="77777777" w:rsidR="00784B9D" w:rsidRDefault="00784B9D" w:rsidP="00382586">
      <w:pPr>
        <w:pStyle w:val="Call"/>
        <w:rPr>
          <w:i/>
          <w:lang w:eastAsia="zh-CN"/>
        </w:rPr>
      </w:pPr>
      <w:r w:rsidRPr="00C8385C">
        <w:rPr>
          <w:rFonts w:hint="eastAsia"/>
          <w:lang w:eastAsia="zh-CN"/>
        </w:rPr>
        <w:t>做出决定</w:t>
      </w:r>
      <w:r w:rsidRPr="00211301">
        <w:rPr>
          <w:rFonts w:hint="eastAsia"/>
          <w:lang w:eastAsia="zh-CN"/>
        </w:rPr>
        <w:t>，应研究下列课题</w:t>
      </w:r>
    </w:p>
    <w:p w14:paraId="5C5017DA" w14:textId="77777777" w:rsidR="00784B9D" w:rsidRDefault="00784B9D" w:rsidP="00382586">
      <w:pPr>
        <w:jc w:val="both"/>
        <w:rPr>
          <w:lang w:eastAsia="zh-CN"/>
        </w:rPr>
      </w:pPr>
      <w:r w:rsidRPr="00382586">
        <w:rPr>
          <w:bCs/>
          <w:lang w:eastAsia="zh-CN"/>
        </w:rPr>
        <w:t>1</w:t>
      </w:r>
      <w:r>
        <w:rPr>
          <w:lang w:eastAsia="zh-CN"/>
        </w:rPr>
        <w:tab/>
      </w:r>
      <w:r>
        <w:rPr>
          <w:rFonts w:hint="eastAsia"/>
          <w:lang w:eastAsia="zh-CN"/>
        </w:rPr>
        <w:t>空间射电天文观测的优选频段有哪些？</w:t>
      </w:r>
    </w:p>
    <w:p w14:paraId="07AFE715" w14:textId="77777777" w:rsidR="00784B9D" w:rsidRDefault="00784B9D" w:rsidP="00382586">
      <w:pPr>
        <w:jc w:val="both"/>
        <w:rPr>
          <w:b/>
          <w:lang w:eastAsia="zh-CN"/>
        </w:rPr>
      </w:pPr>
      <w:r w:rsidRPr="00382586">
        <w:rPr>
          <w:rFonts w:hint="eastAsia"/>
          <w:bCs/>
          <w:lang w:eastAsia="zh-CN"/>
        </w:rPr>
        <w:t>2</w:t>
      </w:r>
      <w:r w:rsidRPr="00B47E90">
        <w:rPr>
          <w:rFonts w:hint="eastAsia"/>
          <w:bCs/>
          <w:lang w:eastAsia="zh-CN"/>
        </w:rPr>
        <w:tab/>
      </w:r>
      <w:r w:rsidRPr="00B47E90">
        <w:rPr>
          <w:rFonts w:hint="eastAsia"/>
          <w:bCs/>
          <w:lang w:eastAsia="zh-CN"/>
        </w:rPr>
        <w:t>空间射电天文观测系统的典型技术和操作特性有哪些？</w:t>
      </w:r>
    </w:p>
    <w:p w14:paraId="0240BECA" w14:textId="77777777" w:rsidR="00784B9D" w:rsidRDefault="00784B9D" w:rsidP="00382586">
      <w:pPr>
        <w:jc w:val="both"/>
        <w:rPr>
          <w:lang w:eastAsia="zh-CN"/>
        </w:rPr>
      </w:pPr>
      <w:r w:rsidRPr="00382586">
        <w:rPr>
          <w:rFonts w:hint="eastAsia"/>
          <w:bCs/>
          <w:lang w:eastAsia="zh-CN"/>
        </w:rPr>
        <w:t>3</w:t>
      </w:r>
      <w:r>
        <w:rPr>
          <w:lang w:eastAsia="zh-CN"/>
        </w:rPr>
        <w:tab/>
      </w:r>
      <w:r>
        <w:rPr>
          <w:rFonts w:hint="eastAsia"/>
          <w:lang w:eastAsia="zh-CN"/>
        </w:rPr>
        <w:t>空间射电天文观测的性能要求和保护标准有哪些？</w:t>
      </w:r>
    </w:p>
    <w:p w14:paraId="36AE341B" w14:textId="77777777" w:rsidR="00382586" w:rsidRDefault="00382586">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08E3FAAB" w14:textId="70E90693" w:rsidR="00784B9D" w:rsidRPr="00C8385C" w:rsidRDefault="00784B9D" w:rsidP="00382586">
      <w:pPr>
        <w:pStyle w:val="Call"/>
        <w:rPr>
          <w:lang w:eastAsia="zh-CN"/>
        </w:rPr>
      </w:pPr>
      <w:r w:rsidRPr="00C8385C">
        <w:rPr>
          <w:rFonts w:hint="eastAsia"/>
          <w:lang w:eastAsia="zh-CN"/>
        </w:rPr>
        <w:lastRenderedPageBreak/>
        <w:t>进一步做出决定</w:t>
      </w:r>
    </w:p>
    <w:p w14:paraId="2D1416D7" w14:textId="77777777" w:rsidR="00784B9D" w:rsidRDefault="00784B9D" w:rsidP="00382586">
      <w:pPr>
        <w:jc w:val="both"/>
        <w:rPr>
          <w:lang w:eastAsia="zh-CN"/>
        </w:rPr>
      </w:pPr>
      <w:r w:rsidRPr="00382586">
        <w:rPr>
          <w:bCs/>
          <w:lang w:eastAsia="zh-CN"/>
        </w:rPr>
        <w:t>1</w:t>
      </w:r>
      <w:r>
        <w:rPr>
          <w:lang w:eastAsia="zh-CN"/>
        </w:rPr>
        <w:tab/>
      </w:r>
      <w:r>
        <w:rPr>
          <w:rFonts w:hint="eastAsia"/>
          <w:lang w:eastAsia="zh-CN"/>
        </w:rPr>
        <w:t>上述研究结果应纳入一份或多份建议书和</w:t>
      </w:r>
      <w:r>
        <w:rPr>
          <w:lang w:val="en-US" w:eastAsia="zh-CN"/>
        </w:rPr>
        <w:t>/</w:t>
      </w:r>
      <w:proofErr w:type="gramStart"/>
      <w:r>
        <w:rPr>
          <w:rFonts w:hint="eastAsia"/>
          <w:lang w:eastAsia="zh-CN"/>
        </w:rPr>
        <w:t>或报告中；</w:t>
      </w:r>
      <w:proofErr w:type="gramEnd"/>
    </w:p>
    <w:p w14:paraId="76BD00B9" w14:textId="6DDDCC06" w:rsidR="00784B9D" w:rsidRDefault="00784B9D" w:rsidP="00382586">
      <w:pPr>
        <w:jc w:val="both"/>
        <w:rPr>
          <w:lang w:eastAsia="zh-CN"/>
        </w:rPr>
      </w:pPr>
      <w:r w:rsidRPr="00382586">
        <w:rPr>
          <w:bCs/>
          <w:lang w:eastAsia="zh-CN"/>
        </w:rPr>
        <w:t>2</w:t>
      </w:r>
      <w:r>
        <w:rPr>
          <w:lang w:eastAsia="zh-CN"/>
        </w:rPr>
        <w:tab/>
      </w:r>
      <w:r>
        <w:rPr>
          <w:rFonts w:hint="eastAsia"/>
          <w:lang w:eastAsia="zh-CN"/>
        </w:rPr>
        <w:t>以上研究应于</w:t>
      </w:r>
      <w:r>
        <w:rPr>
          <w:rFonts w:hint="eastAsia"/>
          <w:lang w:eastAsia="zh-CN"/>
        </w:rPr>
        <w:t>20</w:t>
      </w:r>
      <w:r>
        <w:rPr>
          <w:lang w:eastAsia="zh-CN"/>
        </w:rPr>
        <w:t>2</w:t>
      </w:r>
      <w:r w:rsidR="00382586">
        <w:rPr>
          <w:lang w:eastAsia="zh-CN"/>
        </w:rPr>
        <w:t>7</w:t>
      </w:r>
      <w:r>
        <w:rPr>
          <w:rFonts w:hint="eastAsia"/>
          <w:lang w:eastAsia="zh-CN"/>
        </w:rPr>
        <w:t>年之前完成。</w:t>
      </w:r>
    </w:p>
    <w:p w14:paraId="44FB52DD" w14:textId="77777777" w:rsidR="00784B9D" w:rsidRDefault="00784B9D" w:rsidP="00C3693D">
      <w:pPr>
        <w:rPr>
          <w:lang w:eastAsia="zh-CN"/>
        </w:rPr>
      </w:pPr>
    </w:p>
    <w:p w14:paraId="78A6B54F" w14:textId="77777777" w:rsidR="00784B9D" w:rsidRDefault="00784B9D" w:rsidP="00C3693D">
      <w:pPr>
        <w:rPr>
          <w:lang w:eastAsia="zh-CN"/>
        </w:rPr>
      </w:pPr>
      <w:r>
        <w:rPr>
          <w:rFonts w:hint="eastAsia"/>
          <w:lang w:eastAsia="zh-CN"/>
        </w:rPr>
        <w:t>类别：</w:t>
      </w:r>
      <w:proofErr w:type="spellStart"/>
      <w:r>
        <w:rPr>
          <w:lang w:eastAsia="zh-CN"/>
        </w:rPr>
        <w:t>S</w:t>
      </w:r>
      <w:r>
        <w:rPr>
          <w:rFonts w:hint="eastAsia"/>
          <w:lang w:eastAsia="zh-CN"/>
        </w:rPr>
        <w:t>2</w:t>
      </w:r>
      <w:proofErr w:type="spellEnd"/>
    </w:p>
    <w:p w14:paraId="01E9D98A" w14:textId="77777777"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BB0714D" w:rsidR="00C07CF1" w:rsidRPr="00877D12" w:rsidRDefault="00382586">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9C5F62">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82586"/>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84B9D"/>
    <w:rsid w:val="007F7283"/>
    <w:rsid w:val="00845350"/>
    <w:rsid w:val="00877D12"/>
    <w:rsid w:val="008B1239"/>
    <w:rsid w:val="00943EBD"/>
    <w:rsid w:val="009447A3"/>
    <w:rsid w:val="00970B63"/>
    <w:rsid w:val="009C5F62"/>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link w:val="enumlev10"/>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9C5F62"/>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CallChar">
    <w:name w:val="Call Char"/>
    <w:basedOn w:val="DefaultParagraphFont"/>
    <w:link w:val="Call"/>
    <w:locked/>
    <w:rsid w:val="009C5F62"/>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9C5F62"/>
    <w:rPr>
      <w:rFonts w:ascii="Times New Roman" w:hAnsi="Times New Roman"/>
      <w:sz w:val="24"/>
      <w:lang w:val="en-GB" w:eastAsia="en-US"/>
    </w:rPr>
  </w:style>
  <w:style w:type="character" w:customStyle="1" w:styleId="enumlev10">
    <w:name w:val="enumlev1 Знак"/>
    <w:basedOn w:val="DefaultParagraphFont"/>
    <w:link w:val="enumlev1"/>
    <w:locked/>
    <w:rsid w:val="009C5F62"/>
    <w:rPr>
      <w:rFonts w:ascii="Times New Roman" w:hAnsi="Times New Roman"/>
      <w:sz w:val="24"/>
      <w:lang w:val="en-GB" w:eastAsia="en-US"/>
    </w:rPr>
  </w:style>
  <w:style w:type="character" w:customStyle="1" w:styleId="QuestiontitleChar">
    <w:name w:val="Question_title Char"/>
    <w:basedOn w:val="DefaultParagraphFont"/>
    <w:link w:val="Questiontitle"/>
    <w:locked/>
    <w:rsid w:val="00784B9D"/>
    <w:rPr>
      <w:rFonts w:ascii="Times New Roman Bold" w:hAnsi="Times New Roman Bold"/>
      <w:b/>
      <w:sz w:val="28"/>
      <w:lang w:val="en-GB" w:eastAsia="en-US"/>
    </w:rPr>
  </w:style>
  <w:style w:type="paragraph" w:customStyle="1" w:styleId="call0">
    <w:name w:val="call"/>
    <w:basedOn w:val="Normal"/>
    <w:next w:val="Normal"/>
    <w:rsid w:val="00784B9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784B9D"/>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784B9D"/>
    <w:rPr>
      <w:rFonts w:ascii="STKaiti" w:eastAsia="STKaiti" w:hAnsi="STKaiti"/>
      <w:i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3</TotalTime>
  <Pages>2</Pages>
  <Words>708</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4</cp:revision>
  <cp:lastPrinted>2007-04-05T15:30:00Z</cp:lastPrinted>
  <dcterms:created xsi:type="dcterms:W3CDTF">2024-02-07T10:58:00Z</dcterms:created>
  <dcterms:modified xsi:type="dcterms:W3CDTF">2024-02-07T11:01:00Z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