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07EB" w14:textId="77777777" w:rsidR="00C802A3" w:rsidRPr="009D614C" w:rsidRDefault="00C802A3" w:rsidP="00C802A3">
      <w:pPr>
        <w:pStyle w:val="QuestionNoBR"/>
        <w:rPr>
          <w:lang w:val="ru-RU"/>
        </w:rPr>
      </w:pPr>
      <w:r w:rsidRPr="009D614C">
        <w:rPr>
          <w:lang w:val="ru-RU" w:eastAsia="zh-CN"/>
        </w:rPr>
        <w:t xml:space="preserve">Вопрос МСЭ-R </w:t>
      </w:r>
      <w:proofErr w:type="gramStart"/>
      <w:r w:rsidRPr="009D614C">
        <w:rPr>
          <w:lang w:val="ru-RU" w:eastAsia="zh-CN"/>
        </w:rPr>
        <w:t>146-2</w:t>
      </w:r>
      <w:proofErr w:type="gramEnd"/>
      <w:r w:rsidRPr="009D614C">
        <w:rPr>
          <w:lang w:val="ru-RU" w:eastAsia="zh-CN"/>
        </w:rPr>
        <w:t>/7</w:t>
      </w:r>
      <w:r>
        <w:rPr>
          <w:rStyle w:val="FootnoteReference"/>
          <w:lang w:val="ru-RU" w:eastAsia="zh-CN"/>
        </w:rPr>
        <w:footnoteReference w:customMarkFollows="1" w:id="1"/>
        <w:t>*</w:t>
      </w:r>
    </w:p>
    <w:p w14:paraId="7D68AECA" w14:textId="77777777" w:rsidR="00C802A3" w:rsidRPr="009D614C" w:rsidRDefault="00C802A3" w:rsidP="00C802A3">
      <w:pPr>
        <w:pStyle w:val="Questiontitle"/>
        <w:rPr>
          <w:lang w:val="ru-RU" w:eastAsia="zh-CN"/>
        </w:rPr>
      </w:pPr>
      <w:r w:rsidRPr="009D614C">
        <w:rPr>
          <w:lang w:val="ru-RU" w:eastAsia="zh-CN"/>
        </w:rPr>
        <w:t>Критерии оценки помех радиоастрономической службе</w:t>
      </w:r>
    </w:p>
    <w:p w14:paraId="3406754B" w14:textId="77777777" w:rsidR="00C802A3" w:rsidRPr="009D614C" w:rsidRDefault="00C802A3" w:rsidP="00C802A3">
      <w:pPr>
        <w:pStyle w:val="Questiondate"/>
        <w:rPr>
          <w:lang w:val="ru-RU"/>
        </w:rPr>
      </w:pPr>
      <w:r w:rsidRPr="009D614C">
        <w:rPr>
          <w:lang w:val="ru-RU"/>
        </w:rPr>
        <w:t>(1990-1993-2000)</w:t>
      </w:r>
    </w:p>
    <w:p w14:paraId="76CE8619" w14:textId="77777777" w:rsidR="00C802A3" w:rsidRPr="009D614C" w:rsidRDefault="00C802A3" w:rsidP="00C802A3">
      <w:pPr>
        <w:pStyle w:val="Normalaftertitle0"/>
        <w:jc w:val="both"/>
        <w:rPr>
          <w:lang w:val="ru-RU"/>
        </w:rPr>
      </w:pPr>
      <w:r w:rsidRPr="009D614C">
        <w:rPr>
          <w:lang w:val="ru-RU"/>
        </w:rPr>
        <w:t>Ассамблея радиосвязи МСЭ,</w:t>
      </w:r>
    </w:p>
    <w:p w14:paraId="6BFB74B3" w14:textId="77777777" w:rsidR="00C802A3" w:rsidRPr="009D614C" w:rsidRDefault="00C802A3" w:rsidP="00C802A3">
      <w:pPr>
        <w:pStyle w:val="Call"/>
        <w:jc w:val="both"/>
        <w:rPr>
          <w:i w:val="0"/>
        </w:rPr>
      </w:pPr>
      <w:r w:rsidRPr="009D614C">
        <w:t>учитывая</w:t>
      </w:r>
      <w:r w:rsidRPr="009D614C">
        <w:rPr>
          <w:i w:val="0"/>
        </w:rPr>
        <w:t>,</w:t>
      </w:r>
    </w:p>
    <w:p w14:paraId="28B8EE8A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i/>
          <w:iCs/>
          <w:lang w:val="ru-RU"/>
        </w:rPr>
        <w:t>a)</w:t>
      </w:r>
      <w:r w:rsidRPr="009D614C">
        <w:rPr>
          <w:lang w:val="ru-RU"/>
        </w:rPr>
        <w:tab/>
        <w:t>что в соответствии с Регламентом радиосвязи (РР), полосы частот распределены радиоастрономической службе для наблюдений спектральных линий и непрерывного спектра;</w:t>
      </w:r>
    </w:p>
    <w:p w14:paraId="59A3F32E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i/>
          <w:iCs/>
          <w:lang w:val="ru-RU"/>
        </w:rPr>
        <w:t>b)</w:t>
      </w:r>
      <w:r w:rsidRPr="009D614C">
        <w:rPr>
          <w:lang w:val="ru-RU"/>
        </w:rPr>
        <w:tab/>
        <w:t xml:space="preserve">что нежелательные сигналы очень малой мощности могут приводить к вредным помехах радиоастрономическим наблюдениям; </w:t>
      </w:r>
    </w:p>
    <w:p w14:paraId="01B51DC2" w14:textId="5A20003D" w:rsidR="00C802A3" w:rsidRPr="009D614C" w:rsidRDefault="00C802A3" w:rsidP="00C802A3">
      <w:pPr>
        <w:jc w:val="both"/>
        <w:rPr>
          <w:lang w:val="ru-RU"/>
        </w:rPr>
      </w:pPr>
      <w:r w:rsidRPr="00F955BD">
        <w:rPr>
          <w:i/>
          <w:iCs/>
          <w:lang w:val="ru-RU"/>
        </w:rPr>
        <w:t>c)</w:t>
      </w:r>
      <w:r w:rsidRPr="00F955BD">
        <w:rPr>
          <w:i/>
          <w:iCs/>
          <w:lang w:val="ru-RU"/>
        </w:rPr>
        <w:tab/>
      </w:r>
      <w:r w:rsidRPr="009D614C">
        <w:rPr>
          <w:lang w:val="ru-RU"/>
        </w:rPr>
        <w:t xml:space="preserve">что другие службы работают во многих полосах, в которых </w:t>
      </w:r>
      <w:proofErr w:type="spellStart"/>
      <w:r w:rsidRPr="009D614C">
        <w:rPr>
          <w:lang w:val="ru-RU"/>
        </w:rPr>
        <w:t>име</w:t>
      </w:r>
      <w:proofErr w:type="spellEnd"/>
      <w:r>
        <w:rPr>
          <w:lang w:val="fr-FR"/>
        </w:rPr>
        <w:t>A</w:t>
      </w:r>
      <w:proofErr w:type="spellStart"/>
      <w:r w:rsidRPr="009D614C">
        <w:rPr>
          <w:lang w:val="ru-RU"/>
        </w:rPr>
        <w:t>ются</w:t>
      </w:r>
      <w:proofErr w:type="spellEnd"/>
      <w:r w:rsidRPr="009D614C">
        <w:rPr>
          <w:lang w:val="ru-RU"/>
        </w:rPr>
        <w:t xml:space="preserve"> распределения радиоастрономической службе, или используют передатчики высокой мощности в соседних полосах или гармонически связанных с полосами, используемыми радиоастрономической службой;</w:t>
      </w:r>
    </w:p>
    <w:p w14:paraId="1C433A20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i/>
          <w:iCs/>
          <w:lang w:val="ru-RU"/>
        </w:rPr>
        <w:t>d)</w:t>
      </w:r>
      <w:r w:rsidRPr="00F955BD">
        <w:rPr>
          <w:i/>
          <w:iCs/>
          <w:lang w:val="ru-RU"/>
        </w:rPr>
        <w:tab/>
      </w:r>
      <w:r w:rsidRPr="009D614C">
        <w:rPr>
          <w:lang w:val="ru-RU"/>
        </w:rPr>
        <w:t>что увеличение числа передач с космических кораблей может вызвать проблемы помех радиоастрономической службе и что этих проблем нельзя избежать с помощью выбора места расположения обсерватории или местной защиты;</w:t>
      </w:r>
    </w:p>
    <w:p w14:paraId="5A199C44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i/>
          <w:iCs/>
          <w:lang w:val="ru-RU"/>
        </w:rPr>
        <w:t>e)</w:t>
      </w:r>
      <w:r w:rsidRPr="009D614C">
        <w:rPr>
          <w:lang w:val="ru-RU"/>
        </w:rPr>
        <w:tab/>
        <w:t>что использование радиоастрономической службой для определенных видов наблюдений орбитальных антенн, как в виде элементов антенных решеток, так и в виде независимых радиотелескопов, обеспечивает преимущества перед наземными антеннами;</w:t>
      </w:r>
    </w:p>
    <w:p w14:paraId="238CC7DA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i/>
          <w:iCs/>
          <w:lang w:val="ru-RU"/>
        </w:rPr>
        <w:t>f)</w:t>
      </w:r>
      <w:r w:rsidRPr="00F955BD">
        <w:rPr>
          <w:i/>
          <w:iCs/>
          <w:lang w:val="ru-RU"/>
        </w:rPr>
        <w:tab/>
      </w:r>
      <w:r w:rsidRPr="009D614C">
        <w:rPr>
          <w:lang w:val="ru-RU"/>
        </w:rPr>
        <w:t>что в Рекомендации 61</w:t>
      </w:r>
      <w:r w:rsidRPr="009D614C">
        <w:rPr>
          <w:rStyle w:val="FootnoteReference"/>
          <w:szCs w:val="16"/>
          <w:lang w:val="ru-RU"/>
        </w:rPr>
        <w:footnoteReference w:customMarkFollows="1" w:id="2"/>
        <w:t>*</w:t>
      </w:r>
      <w:r w:rsidRPr="009D614C">
        <w:rPr>
          <w:lang w:val="ru-RU"/>
        </w:rPr>
        <w:t>, на ВАРК-79 запрашивается информация, касающаяся критериев вредных помех радиоастрономической службе;</w:t>
      </w:r>
    </w:p>
    <w:p w14:paraId="6ADBC64B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i/>
          <w:iCs/>
          <w:lang w:val="ru-RU"/>
        </w:rPr>
        <w:t>g)</w:t>
      </w:r>
      <w:r w:rsidRPr="009D614C">
        <w:rPr>
          <w:lang w:val="ru-RU"/>
        </w:rPr>
        <w:tab/>
        <w:t>что Резолюци</w:t>
      </w:r>
      <w:r>
        <w:rPr>
          <w:lang w:val="ru-RU"/>
        </w:rPr>
        <w:t>я</w:t>
      </w:r>
      <w:r w:rsidRPr="009D614C">
        <w:rPr>
          <w:lang w:val="ru-RU"/>
        </w:rPr>
        <w:t xml:space="preserve"> 63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Пересм</w:t>
      </w:r>
      <w:proofErr w:type="spellEnd"/>
      <w:r>
        <w:rPr>
          <w:lang w:val="ru-RU"/>
        </w:rPr>
        <w:t>. ВКР-97)</w:t>
      </w:r>
      <w:r w:rsidRPr="009D614C">
        <w:rPr>
          <w:lang w:val="ru-RU"/>
        </w:rPr>
        <w:t xml:space="preserve"> предлагает продолжить исследования, касающиеся промышленного, научного и медицинского (ПНМ) оборудования, чтобы обеспечить надлежащую защиту служб радиосвязи,</w:t>
      </w:r>
    </w:p>
    <w:p w14:paraId="0C530BC2" w14:textId="77777777" w:rsidR="00C802A3" w:rsidRPr="009D614C" w:rsidRDefault="00C802A3" w:rsidP="00C802A3">
      <w:pPr>
        <w:pStyle w:val="Call"/>
        <w:jc w:val="both"/>
        <w:rPr>
          <w:i w:val="0"/>
          <w:iCs/>
        </w:rPr>
      </w:pPr>
      <w:r w:rsidRPr="009D614C">
        <w:t>решает</w:t>
      </w:r>
      <w:r w:rsidRPr="009D614C">
        <w:rPr>
          <w:i w:val="0"/>
          <w:iCs/>
        </w:rPr>
        <w:t>, что необходимо изучить следующий Вопрос:</w:t>
      </w:r>
    </w:p>
    <w:p w14:paraId="68F6C327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t>1</w:t>
      </w:r>
      <w:r w:rsidRPr="009D614C">
        <w:rPr>
          <w:lang w:val="ru-RU"/>
        </w:rPr>
        <w:tab/>
        <w:t>Каково практическое толкование вредной помехи, как она определена в п. 1.169 РР, для радиоастрономической службы?</w:t>
      </w:r>
    </w:p>
    <w:p w14:paraId="5DA9996A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t>2</w:t>
      </w:r>
      <w:r w:rsidRPr="009D614C">
        <w:rPr>
          <w:lang w:val="ru-RU"/>
        </w:rPr>
        <w:tab/>
        <w:t>Каковы пороговые уровни нежелательных сигналов, которые, в случае их превышения сверх заданного процента времени, будут создавать вредные помехи и какова зависимость этих порогов от характера и методов радиоастрономических наблюдений?</w:t>
      </w:r>
    </w:p>
    <w:p w14:paraId="4E6F6713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t>3</w:t>
      </w:r>
      <w:r w:rsidRPr="009D614C">
        <w:rPr>
          <w:lang w:val="ru-RU"/>
        </w:rPr>
        <w:tab/>
        <w:t xml:space="preserve">Каковы уровни помех, которые могут возникать в месте расположения типовой обсерватории </w:t>
      </w:r>
      <w:r w:rsidRPr="009D614C">
        <w:rPr>
          <w:rStyle w:val="FootnoteReference"/>
          <w:szCs w:val="16"/>
          <w:lang w:val="ru-RU"/>
        </w:rPr>
        <w:footnoteReference w:customMarkFollows="1" w:id="3"/>
        <w:t>**</w:t>
      </w:r>
      <w:r w:rsidRPr="009D614C">
        <w:rPr>
          <w:lang w:val="ru-RU"/>
        </w:rPr>
        <w:t>, вследствие различных источников помех, включая:</w:t>
      </w:r>
    </w:p>
    <w:p w14:paraId="22D22F80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t>3.1</w:t>
      </w:r>
      <w:r w:rsidRPr="009D614C">
        <w:rPr>
          <w:lang w:val="ru-RU"/>
        </w:rPr>
        <w:tab/>
        <w:t>передачи других служб, работающих в полосах, которые используются для радиоастрономических наблюдений;</w:t>
      </w:r>
    </w:p>
    <w:p w14:paraId="7475150B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t>3.2</w:t>
      </w:r>
      <w:r w:rsidRPr="009D614C">
        <w:rPr>
          <w:lang w:val="ru-RU"/>
        </w:rPr>
        <w:tab/>
        <w:t xml:space="preserve">гармоники, продукты </w:t>
      </w:r>
      <w:proofErr w:type="spellStart"/>
      <w:r w:rsidRPr="009D614C">
        <w:rPr>
          <w:lang w:val="ru-RU"/>
        </w:rPr>
        <w:t>интермодуляции</w:t>
      </w:r>
      <w:proofErr w:type="spellEnd"/>
      <w:r w:rsidRPr="009D614C">
        <w:rPr>
          <w:lang w:val="ru-RU"/>
        </w:rPr>
        <w:t>, а также боковые полосы передатчиков в других полосах частот;</w:t>
      </w:r>
    </w:p>
    <w:p w14:paraId="4AB53524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lastRenderedPageBreak/>
        <w:t>3.3</w:t>
      </w:r>
      <w:r w:rsidRPr="009D614C">
        <w:rPr>
          <w:lang w:val="ru-RU"/>
        </w:rPr>
        <w:tab/>
        <w:t>другие источники электрических помех, включая оборудование ПНМ?</w:t>
      </w:r>
    </w:p>
    <w:p w14:paraId="24C48085" w14:textId="319C0B82" w:rsidR="00C802A3" w:rsidRPr="009D614C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t>4</w:t>
      </w:r>
      <w:r w:rsidRPr="009D614C">
        <w:rPr>
          <w:lang w:val="ru-RU"/>
        </w:rPr>
        <w:tab/>
        <w:t>Какое влияние оказывают отражения от воздушных судов и спутников Земли в плане увеличения риска помехи?</w:t>
      </w:r>
    </w:p>
    <w:p w14:paraId="21832B03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t>5</w:t>
      </w:r>
      <w:r w:rsidRPr="009D614C">
        <w:rPr>
          <w:lang w:val="ru-RU"/>
        </w:rPr>
        <w:tab/>
        <w:t>Каков отклик типового радиоастрономического приемника на сигналы в полосах частот, соседних с номинальной полосой пропускания приемника?</w:t>
      </w:r>
    </w:p>
    <w:p w14:paraId="4015CA83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t>6</w:t>
      </w:r>
      <w:r w:rsidRPr="009D614C">
        <w:rPr>
          <w:lang w:val="ru-RU"/>
        </w:rPr>
        <w:tab/>
        <w:t>Какие особые меры предосторожности могут понадобиться со стороны радиоастрономов и операторов других служб, если передатчик, который является потенциальным источником помехи, находится на борту космического корабля или воздушного судна в пределах области видимости радиоастрономической обсерватории?</w:t>
      </w:r>
    </w:p>
    <w:p w14:paraId="1F06D4D0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t>7</w:t>
      </w:r>
      <w:r w:rsidRPr="009D614C">
        <w:rPr>
          <w:lang w:val="ru-RU"/>
        </w:rPr>
        <w:tab/>
        <w:t>Какие условия требуются для недопущения вредных помех наблюдениям при наличии радиоастрономических антенн?</w:t>
      </w:r>
    </w:p>
    <w:p w14:paraId="641F0581" w14:textId="77777777" w:rsidR="00C802A3" w:rsidRPr="009D614C" w:rsidRDefault="00C802A3" w:rsidP="00C802A3">
      <w:pPr>
        <w:pStyle w:val="Call"/>
        <w:jc w:val="both"/>
        <w:rPr>
          <w:i w:val="0"/>
        </w:rPr>
      </w:pPr>
      <w:r w:rsidRPr="009D614C">
        <w:t>решает далее</w:t>
      </w:r>
      <w:r w:rsidRPr="009D614C">
        <w:rPr>
          <w:i w:val="0"/>
        </w:rPr>
        <w:t>,</w:t>
      </w:r>
    </w:p>
    <w:p w14:paraId="15230CD1" w14:textId="77777777" w:rsidR="00C802A3" w:rsidRPr="009D614C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t>1</w:t>
      </w:r>
      <w:r w:rsidRPr="009D614C">
        <w:rPr>
          <w:lang w:val="ru-RU"/>
        </w:rPr>
        <w:tab/>
        <w:t>что результаты вышеупомянутых исследований должны быть включены в Рекомендацию(и);</w:t>
      </w:r>
    </w:p>
    <w:p w14:paraId="7CAF776D" w14:textId="2619A7A8" w:rsidR="00C802A3" w:rsidRDefault="00C802A3" w:rsidP="00C802A3">
      <w:pPr>
        <w:jc w:val="both"/>
        <w:rPr>
          <w:lang w:val="ru-RU"/>
        </w:rPr>
      </w:pPr>
      <w:r w:rsidRPr="00F955BD">
        <w:rPr>
          <w:bCs/>
          <w:lang w:val="ru-RU"/>
        </w:rPr>
        <w:t>2</w:t>
      </w:r>
      <w:r w:rsidRPr="009D614C">
        <w:rPr>
          <w:lang w:val="ru-RU"/>
        </w:rPr>
        <w:tab/>
        <w:t>что вышеупомянутые исследования должны быть завершены к 20</w:t>
      </w:r>
      <w:r w:rsidRPr="00AF4B71">
        <w:rPr>
          <w:lang w:val="ru-RU"/>
        </w:rPr>
        <w:t>2</w:t>
      </w:r>
      <w:r w:rsidRPr="00C802A3">
        <w:rPr>
          <w:lang w:val="ru-RU"/>
        </w:rPr>
        <w:t>7</w:t>
      </w:r>
      <w:r w:rsidRPr="009D614C">
        <w:rPr>
          <w:lang w:val="ru-RU"/>
        </w:rPr>
        <w:t> году.</w:t>
      </w:r>
    </w:p>
    <w:p w14:paraId="3E29FC84" w14:textId="4FC46403" w:rsidR="00770DFA" w:rsidRPr="003F24D8" w:rsidRDefault="00C802A3" w:rsidP="00C802A3">
      <w:pPr>
        <w:spacing w:before="360"/>
        <w:jc w:val="both"/>
      </w:pPr>
      <w:proofErr w:type="spellStart"/>
      <w:r w:rsidRPr="00E0332E">
        <w:rPr>
          <w:lang w:eastAsia="zh-CN"/>
        </w:rPr>
        <w:t>Категория</w:t>
      </w:r>
      <w:proofErr w:type="spellEnd"/>
      <w:r w:rsidRPr="00E0332E">
        <w:rPr>
          <w:lang w:eastAsia="zh-CN"/>
        </w:rPr>
        <w:t>: S2</w:t>
      </w:r>
    </w:p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20CD7B25" w14:textId="77777777" w:rsidR="00C802A3" w:rsidRPr="00941E49" w:rsidRDefault="00C802A3" w:rsidP="00C802A3">
      <w:pPr>
        <w:pStyle w:val="FootnoteText"/>
        <w:ind w:left="284" w:hanging="284"/>
        <w:rPr>
          <w:lang w:val="ru-RU"/>
        </w:rPr>
      </w:pPr>
      <w:r w:rsidRPr="00941E49">
        <w:rPr>
          <w:rStyle w:val="FootnoteReference"/>
          <w:lang w:val="ru-RU"/>
        </w:rPr>
        <w:t>*</w:t>
      </w:r>
      <w:r w:rsidRPr="00941E49">
        <w:rPr>
          <w:lang w:val="ru-RU"/>
        </w:rPr>
        <w:t xml:space="preserve"> </w:t>
      </w:r>
      <w:r w:rsidRPr="00941E49">
        <w:rPr>
          <w:lang w:val="ru-RU"/>
        </w:rPr>
        <w:tab/>
      </w:r>
      <w:r>
        <w:rPr>
          <w:szCs w:val="22"/>
          <w:lang w:val="ru-RU"/>
        </w:rPr>
        <w:t xml:space="preserve">В 2009 году </w:t>
      </w:r>
      <w:r w:rsidRPr="00F955BD">
        <w:rPr>
          <w:szCs w:val="22"/>
          <w:lang w:val="ru-RU"/>
        </w:rPr>
        <w:t>7</w:t>
      </w:r>
      <w:r w:rsidRPr="00941E49">
        <w:rPr>
          <w:szCs w:val="22"/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  <w:footnote w:id="2">
    <w:p w14:paraId="05FA05C0" w14:textId="77777777" w:rsidR="00C802A3" w:rsidRPr="0063669E" w:rsidRDefault="00C802A3" w:rsidP="00C802A3">
      <w:pPr>
        <w:pStyle w:val="FootnoteText"/>
        <w:rPr>
          <w:lang w:val="ru-RU"/>
        </w:rPr>
      </w:pPr>
      <w:r w:rsidRPr="0063669E">
        <w:rPr>
          <w:rStyle w:val="FootnoteReference"/>
          <w:szCs w:val="16"/>
          <w:lang w:val="ru-RU"/>
        </w:rPr>
        <w:t>*</w:t>
      </w:r>
      <w:r w:rsidRPr="0063669E">
        <w:rPr>
          <w:lang w:val="ru-RU"/>
        </w:rPr>
        <w:tab/>
        <w:t>Настоящая Рекомендация была исключена на ВКР-2000.</w:t>
      </w:r>
    </w:p>
  </w:footnote>
  <w:footnote w:id="3">
    <w:p w14:paraId="63BB38EA" w14:textId="77777777" w:rsidR="00C802A3" w:rsidRPr="0063669E" w:rsidRDefault="00C802A3" w:rsidP="00C802A3">
      <w:pPr>
        <w:pStyle w:val="FootnoteText"/>
        <w:ind w:left="284" w:hanging="284"/>
        <w:rPr>
          <w:lang w:val="ru-RU"/>
        </w:rPr>
      </w:pPr>
      <w:r w:rsidRPr="0063669E">
        <w:rPr>
          <w:rStyle w:val="FootnoteReference"/>
          <w:szCs w:val="16"/>
          <w:lang w:val="ru-RU"/>
        </w:rPr>
        <w:t>**</w:t>
      </w:r>
      <w:r w:rsidRPr="0063669E">
        <w:rPr>
          <w:lang w:val="ru-RU"/>
        </w:rPr>
        <w:tab/>
      </w:r>
      <w:r>
        <w:rPr>
          <w:lang w:val="ru-RU"/>
        </w:rPr>
        <w:t>Данные о распространении для настоящего исследования потребуются от 3-й Исследовательской комиссии</w:t>
      </w:r>
      <w:r w:rsidRPr="0063669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802A3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Normalaftertitle">
    <w:name w:val="Normal_after_title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</w:pPr>
    <w:rPr>
      <w:lang w:val="ru-RU"/>
    </w:r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" w:hAnsi="Times"/>
      <w:i/>
      <w:lang w:val="ru-RU"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b/>
      <w:sz w:val="26"/>
      <w:lang w:val="ru-RU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</w:pPr>
    <w:rPr>
      <w:i/>
      <w:lang w:val="ru-RU"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lang w:val="ru-RU"/>
    </w:r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B234F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</w:pPr>
  </w:style>
  <w:style w:type="paragraph" w:customStyle="1" w:styleId="Note">
    <w:name w:val="Note"/>
    <w:basedOn w:val="Normal"/>
    <w:link w:val="NoteChar"/>
    <w:rsid w:val="00B234F3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</w:pPr>
  </w:style>
  <w:style w:type="paragraph" w:styleId="Header">
    <w:name w:val="header"/>
    <w:basedOn w:val="Normal"/>
    <w:link w:val="HeaderChar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styleId="Index2">
    <w:name w:val="index 2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283"/>
    </w:pPr>
    <w:rPr>
      <w:lang w:val="ru-RU"/>
    </w:rPr>
  </w:style>
  <w:style w:type="paragraph" w:styleId="Index3">
    <w:name w:val="index 3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566"/>
    </w:pPr>
    <w:rPr>
      <w:lang w:val="ru-RU"/>
    </w:r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  <w:lang w:val="ru-RU"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b/>
      <w:sz w:val="26"/>
      <w:lang w:val="ru-RU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/>
      <w:ind w:left="567" w:hanging="567"/>
    </w:pPr>
    <w:rPr>
      <w:lang w:val="ru-RU"/>
    </w:r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ru-RU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smallCaps/>
      <w:lang w:val="ru-RU"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lang w:val="ru-RU"/>
    </w:r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lang w:val="ru-RU"/>
    </w:rPr>
  </w:style>
  <w:style w:type="paragraph" w:styleId="Index5">
    <w:name w:val="index 5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379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Author</cp:lastModifiedBy>
  <cp:revision>2</cp:revision>
  <cp:lastPrinted>2005-04-28T15:12:00Z</cp:lastPrinted>
  <dcterms:created xsi:type="dcterms:W3CDTF">2024-02-05T10:24:00Z</dcterms:created>
  <dcterms:modified xsi:type="dcterms:W3CDTF">2024-02-05T10:24:00Z</dcterms:modified>
</cp:coreProperties>
</file>