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9EB" w:rsidRPr="0021580E" w:rsidRDefault="00E949EB" w:rsidP="007E189A">
      <w:pPr>
        <w:pStyle w:val="QuestionNoBR"/>
        <w:spacing w:before="360"/>
        <w:rPr>
          <w:lang w:eastAsia="zh-CN"/>
        </w:rPr>
      </w:pPr>
      <w:r>
        <w:rPr>
          <w:rFonts w:hint="eastAsia"/>
          <w:lang w:eastAsia="zh-CN"/>
        </w:rPr>
        <w:t>ITU-R</w:t>
      </w:r>
      <w:r>
        <w:rPr>
          <w:rFonts w:hint="eastAsia"/>
          <w:lang w:eastAsia="zh-CN"/>
        </w:rPr>
        <w:t>第</w:t>
      </w:r>
      <w:r>
        <w:rPr>
          <w:lang w:eastAsia="zh-CN"/>
        </w:rPr>
        <w:t>40-</w:t>
      </w:r>
      <w:r>
        <w:rPr>
          <w:rFonts w:hint="eastAsia"/>
          <w:lang w:eastAsia="zh-CN"/>
        </w:rPr>
        <w:t>2</w:t>
      </w:r>
      <w:r w:rsidRPr="0021580E">
        <w:rPr>
          <w:lang w:eastAsia="zh-CN"/>
        </w:rPr>
        <w:t>/6</w:t>
      </w:r>
      <w:r>
        <w:rPr>
          <w:rFonts w:hint="eastAsia"/>
          <w:lang w:eastAsia="zh-CN"/>
        </w:rPr>
        <w:t>号课题</w:t>
      </w:r>
      <w:r>
        <w:rPr>
          <w:rFonts w:hint="eastAsia"/>
          <w:lang w:eastAsia="zh-CN"/>
        </w:rPr>
        <w:t xml:space="preserve"> </w:t>
      </w:r>
      <w:r w:rsidRPr="000A2C8B">
        <w:rPr>
          <w:rStyle w:val="FootnoteReference"/>
          <w:lang w:val="en-US" w:eastAsia="zh-CN"/>
        </w:rPr>
        <w:footnoteReference w:customMarkFollows="1" w:id="1"/>
        <w:t>*</w:t>
      </w:r>
    </w:p>
    <w:p w:rsidR="00E949EB" w:rsidRDefault="00E949EB" w:rsidP="00E949EB">
      <w:pPr>
        <w:pStyle w:val="Questiontitle"/>
        <w:rPr>
          <w:lang w:eastAsia="zh-CN"/>
        </w:rPr>
      </w:pPr>
      <w:r w:rsidRPr="00BF378E">
        <w:rPr>
          <w:rFonts w:hint="eastAsia"/>
          <w:color w:val="000000"/>
          <w:szCs w:val="22"/>
          <w:lang w:val="en-US" w:eastAsia="zh-CN"/>
        </w:rPr>
        <w:t>特高清晰度图像</w:t>
      </w:r>
    </w:p>
    <w:p w:rsidR="00E949EB" w:rsidRDefault="00E949EB" w:rsidP="00E949EB">
      <w:pPr>
        <w:pStyle w:val="Questiondate"/>
        <w:rPr>
          <w:lang w:val="en-AU" w:eastAsia="zh-CN"/>
        </w:rPr>
      </w:pPr>
      <w:r>
        <w:rPr>
          <w:rFonts w:hint="eastAsia"/>
          <w:lang w:val="en-AU" w:eastAsia="zh-CN"/>
        </w:rPr>
        <w:t>（</w:t>
      </w:r>
      <w:r>
        <w:rPr>
          <w:lang w:val="en-AU" w:eastAsia="zh-CN"/>
        </w:rPr>
        <w:t>1993-2002-201</w:t>
      </w:r>
      <w:r>
        <w:rPr>
          <w:rFonts w:hint="eastAsia"/>
          <w:lang w:val="en-AU" w:eastAsia="zh-CN"/>
        </w:rPr>
        <w:t>0-2011</w:t>
      </w:r>
      <w:r>
        <w:rPr>
          <w:rFonts w:hint="eastAsia"/>
          <w:lang w:val="en-AU" w:eastAsia="zh-CN"/>
        </w:rPr>
        <w:t>年）</w:t>
      </w:r>
    </w:p>
    <w:p w:rsidR="00E949EB" w:rsidRPr="002A7482" w:rsidRDefault="00E949EB" w:rsidP="00E949EB">
      <w:pPr>
        <w:pStyle w:val="Normalaftertitle0"/>
        <w:spacing w:before="240"/>
        <w:rPr>
          <w:rFonts w:ascii="SimSun"/>
          <w:lang w:eastAsia="zh-CN"/>
        </w:rPr>
      </w:pPr>
      <w:proofErr w:type="spellStart"/>
      <w:r w:rsidRPr="002A7482">
        <w:rPr>
          <w:rFonts w:ascii="SimSun" w:hAnsi="SimSun" w:hint="eastAsia"/>
          <w:lang w:eastAsia="zh-CN"/>
        </w:rPr>
        <w:t>国际电联无线电通信全会</w:t>
      </w:r>
      <w:proofErr w:type="spellEnd"/>
      <w:r w:rsidRPr="002A7482">
        <w:rPr>
          <w:rFonts w:ascii="SimSun" w:hAnsi="SimSun" w:hint="eastAsia"/>
          <w:lang w:eastAsia="zh-CN"/>
        </w:rPr>
        <w:t>，</w:t>
      </w:r>
    </w:p>
    <w:p w:rsidR="00E949EB" w:rsidRDefault="00E949EB" w:rsidP="00E949EB">
      <w:pPr>
        <w:pStyle w:val="Callkaiti"/>
      </w:pPr>
      <w:r>
        <w:rPr>
          <w:rFonts w:hint="eastAsia"/>
        </w:rPr>
        <w:t>考虑到</w:t>
      </w:r>
    </w:p>
    <w:p w:rsidR="00E949EB" w:rsidRDefault="00E949EB" w:rsidP="00E949EB">
      <w:pPr>
        <w:rPr>
          <w:lang w:eastAsia="zh-CN"/>
        </w:rPr>
      </w:pPr>
      <w:r>
        <w:rPr>
          <w:lang w:eastAsia="zh-CN"/>
        </w:rPr>
        <w:t>a)</w:t>
      </w:r>
      <w:r>
        <w:rPr>
          <w:lang w:eastAsia="zh-CN"/>
        </w:rPr>
        <w:tab/>
      </w:r>
      <w:r>
        <w:rPr>
          <w:rFonts w:hint="eastAsia"/>
          <w:lang w:eastAsia="zh-CN"/>
        </w:rPr>
        <w:t>处于不同质量水平的电视技术可用于广播和非广播业务；</w:t>
      </w:r>
    </w:p>
    <w:p w:rsidR="00E949EB" w:rsidRDefault="00E949EB" w:rsidP="00E949EB">
      <w:pPr>
        <w:rPr>
          <w:lang w:eastAsia="zh-CN"/>
        </w:rPr>
      </w:pPr>
      <w:r>
        <w:rPr>
          <w:lang w:eastAsia="zh-CN"/>
        </w:rPr>
        <w:t>b)</w:t>
      </w:r>
      <w:r>
        <w:rPr>
          <w:lang w:eastAsia="zh-CN"/>
        </w:rPr>
        <w:tab/>
      </w:r>
      <w:r>
        <w:rPr>
          <w:rFonts w:hint="eastAsia"/>
          <w:lang w:eastAsia="zh-CN"/>
        </w:rPr>
        <w:t>无线电通信部门正在研究一系列用于广播的电视系统；</w:t>
      </w:r>
    </w:p>
    <w:p w:rsidR="00E949EB" w:rsidRPr="00A331A4" w:rsidRDefault="00E949EB" w:rsidP="00E949EB">
      <w:pPr>
        <w:rPr>
          <w:lang w:eastAsia="ja-JP"/>
        </w:rPr>
      </w:pPr>
      <w:r w:rsidRPr="00A331A4">
        <w:rPr>
          <w:lang w:eastAsia="ja-JP"/>
        </w:rPr>
        <w:t>c)</w:t>
      </w:r>
      <w:r w:rsidRPr="00A331A4">
        <w:rPr>
          <w:lang w:eastAsia="ja-JP"/>
        </w:rPr>
        <w:tab/>
        <w:t>ITU-R</w:t>
      </w:r>
      <w:r>
        <w:rPr>
          <w:rFonts w:hint="eastAsia"/>
          <w:lang w:eastAsia="zh-CN"/>
        </w:rPr>
        <w:t>一直在研究特高清晰度图像和大屏幕数字图像（</w:t>
      </w:r>
      <w:r>
        <w:rPr>
          <w:lang w:eastAsia="zh-CN"/>
        </w:rPr>
        <w:t>LSDI</w:t>
      </w:r>
      <w:r>
        <w:rPr>
          <w:rFonts w:hint="eastAsia"/>
          <w:lang w:eastAsia="zh-CN"/>
        </w:rPr>
        <w:t>）的扩展层并制定了</w:t>
      </w:r>
      <w:r w:rsidRPr="00A331A4">
        <w:rPr>
          <w:lang w:eastAsia="zh-CN"/>
        </w:rPr>
        <w:t>ITU-R BT.1201-1</w:t>
      </w:r>
      <w:r>
        <w:rPr>
          <w:rFonts w:hint="eastAsia"/>
          <w:lang w:eastAsia="zh-CN"/>
        </w:rPr>
        <w:t>和</w:t>
      </w:r>
      <w:r w:rsidRPr="00A331A4">
        <w:rPr>
          <w:lang w:eastAsia="zh-CN"/>
        </w:rPr>
        <w:t>ITU-R BT.1769</w:t>
      </w:r>
      <w:r>
        <w:rPr>
          <w:rFonts w:hint="eastAsia"/>
          <w:lang w:eastAsia="zh-CN"/>
        </w:rPr>
        <w:t>建议书，前者提供了特高清晰度图像图像特性的指导原则，后者提供了</w:t>
      </w:r>
      <w:r w:rsidRPr="00A331A4">
        <w:rPr>
          <w:lang w:eastAsia="zh-CN"/>
        </w:rPr>
        <w:t>LSDI</w:t>
      </w:r>
      <w:r>
        <w:rPr>
          <w:rFonts w:hint="eastAsia"/>
          <w:lang w:eastAsia="zh-CN"/>
        </w:rPr>
        <w:t>应用图像格式扩展层的参数值；</w:t>
      </w:r>
    </w:p>
    <w:p w:rsidR="00E949EB" w:rsidRPr="00A331A4" w:rsidRDefault="00E949EB" w:rsidP="00E949EB">
      <w:pPr>
        <w:rPr>
          <w:lang w:eastAsia="ja-JP"/>
        </w:rPr>
      </w:pPr>
      <w:r w:rsidRPr="00A331A4">
        <w:rPr>
          <w:lang w:eastAsia="zh-CN"/>
        </w:rPr>
        <w:t>d)</w:t>
      </w:r>
      <w:r w:rsidRPr="00A331A4">
        <w:rPr>
          <w:lang w:eastAsia="zh-CN"/>
        </w:rPr>
        <w:tab/>
      </w:r>
      <w:r w:rsidRPr="00A331A4">
        <w:rPr>
          <w:lang w:eastAsia="ja-JP"/>
        </w:rPr>
        <w:t>HDTV</w:t>
      </w:r>
      <w:r>
        <w:rPr>
          <w:rFonts w:hint="eastAsia"/>
          <w:lang w:eastAsia="zh-CN"/>
        </w:rPr>
        <w:t>技术与大屏幕显示已成为观众欣赏高质量节目内容的家用标准；</w:t>
      </w:r>
    </w:p>
    <w:p w:rsidR="00E949EB" w:rsidRPr="00A331A4" w:rsidRDefault="00E949EB" w:rsidP="00E949EB">
      <w:pPr>
        <w:rPr>
          <w:lang w:eastAsia="zh-CN"/>
        </w:rPr>
      </w:pPr>
      <w:r w:rsidRPr="00A331A4">
        <w:rPr>
          <w:lang w:eastAsia="zh-CN"/>
        </w:rPr>
        <w:t>e)</w:t>
      </w:r>
      <w:r w:rsidRPr="00A331A4">
        <w:rPr>
          <w:lang w:eastAsia="ja-JP"/>
        </w:rPr>
        <w:tab/>
      </w:r>
      <w:r>
        <w:rPr>
          <w:rFonts w:hint="eastAsia"/>
          <w:lang w:eastAsia="zh-CN"/>
        </w:rPr>
        <w:t>显示技术的进步将允许在家庭观看中采用大屏幕和特高清晰度电视显示；</w:t>
      </w:r>
    </w:p>
    <w:p w:rsidR="00E949EB" w:rsidRPr="00A331A4" w:rsidRDefault="00E949EB" w:rsidP="00E949EB">
      <w:pPr>
        <w:rPr>
          <w:lang w:eastAsia="zh-CN"/>
        </w:rPr>
      </w:pPr>
      <w:r w:rsidRPr="00A331A4">
        <w:rPr>
          <w:lang w:eastAsia="ja-JP"/>
        </w:rPr>
        <w:t>f)</w:t>
      </w:r>
      <w:r w:rsidRPr="00A331A4">
        <w:rPr>
          <w:lang w:eastAsia="ja-JP"/>
        </w:rPr>
        <w:tab/>
      </w:r>
      <w:r>
        <w:rPr>
          <w:rFonts w:hint="eastAsia"/>
          <w:lang w:eastAsia="zh-CN"/>
        </w:rPr>
        <w:t>通过显示更高清晰度的图像可提供超越</w:t>
      </w:r>
      <w:r>
        <w:rPr>
          <w:lang w:eastAsia="zh-CN"/>
        </w:rPr>
        <w:t>HDTV</w:t>
      </w:r>
      <w:r>
        <w:rPr>
          <w:rFonts w:hint="eastAsia"/>
          <w:lang w:eastAsia="zh-CN"/>
        </w:rPr>
        <w:t>的额外视觉体验，使观众获得更强烈的现实感受；</w:t>
      </w:r>
    </w:p>
    <w:p w:rsidR="00E949EB" w:rsidRPr="00A331A4" w:rsidRDefault="00E949EB" w:rsidP="00E949EB">
      <w:pPr>
        <w:rPr>
          <w:lang w:eastAsia="ja-JP"/>
        </w:rPr>
      </w:pPr>
      <w:r w:rsidRPr="00A331A4">
        <w:rPr>
          <w:lang w:eastAsia="ja-JP"/>
        </w:rPr>
        <w:t>g)</w:t>
      </w:r>
      <w:r w:rsidRPr="00A331A4">
        <w:rPr>
          <w:lang w:eastAsia="ja-JP"/>
        </w:rPr>
        <w:tab/>
      </w:r>
      <w:r>
        <w:rPr>
          <w:rFonts w:hint="eastAsia"/>
          <w:lang w:eastAsia="zh-CN"/>
        </w:rPr>
        <w:t>具有此类特征的广播应用称为“</w:t>
      </w:r>
      <w:r w:rsidRPr="000C3A90">
        <w:rPr>
          <w:rFonts w:hint="eastAsia"/>
          <w:lang w:eastAsia="zh-CN"/>
        </w:rPr>
        <w:t>超高清电视</w:t>
      </w:r>
      <w:r>
        <w:rPr>
          <w:rFonts w:hint="eastAsia"/>
          <w:lang w:eastAsia="zh-CN"/>
        </w:rPr>
        <w:t>”（</w:t>
      </w:r>
      <w:r w:rsidRPr="00A331A4">
        <w:rPr>
          <w:lang w:eastAsia="ja-JP"/>
        </w:rPr>
        <w:t>UHDTV</w:t>
      </w:r>
      <w:r>
        <w:rPr>
          <w:rFonts w:hint="eastAsia"/>
          <w:lang w:eastAsia="zh-CN"/>
        </w:rPr>
        <w:t>），可视为特高清晰度图像的一种；</w:t>
      </w:r>
    </w:p>
    <w:p w:rsidR="00E949EB" w:rsidRPr="00A331A4" w:rsidRDefault="00E949EB" w:rsidP="00E949EB">
      <w:pPr>
        <w:rPr>
          <w:lang w:eastAsia="zh-CN"/>
        </w:rPr>
      </w:pPr>
      <w:r w:rsidRPr="00A331A4">
        <w:rPr>
          <w:lang w:eastAsia="ja-JP"/>
        </w:rPr>
        <w:t>h)</w:t>
      </w:r>
      <w:r w:rsidRPr="00A331A4">
        <w:rPr>
          <w:lang w:eastAsia="ja-JP"/>
        </w:rPr>
        <w:tab/>
      </w:r>
      <w:r>
        <w:rPr>
          <w:rFonts w:hint="eastAsia"/>
          <w:lang w:eastAsia="zh-CN"/>
        </w:rPr>
        <w:t>一些主管部门正考虑在家庭引入</w:t>
      </w:r>
      <w:r>
        <w:rPr>
          <w:lang w:eastAsia="ja-JP"/>
        </w:rPr>
        <w:t>UHDTV</w:t>
      </w:r>
      <w:r>
        <w:rPr>
          <w:rFonts w:hint="eastAsia"/>
          <w:lang w:eastAsia="zh-CN"/>
        </w:rPr>
        <w:t>广播及改进的高效编码和发射技术；</w:t>
      </w:r>
    </w:p>
    <w:p w:rsidR="00E949EB" w:rsidRDefault="00E949EB" w:rsidP="00E949EB">
      <w:pPr>
        <w:rPr>
          <w:lang w:eastAsia="zh-CN"/>
        </w:rPr>
      </w:pPr>
      <w:r>
        <w:rPr>
          <w:lang w:eastAsia="zh-CN"/>
        </w:rPr>
        <w:t>j)</w:t>
      </w:r>
      <w:r>
        <w:rPr>
          <w:lang w:eastAsia="zh-CN"/>
        </w:rPr>
        <w:tab/>
      </w:r>
      <w:r>
        <w:rPr>
          <w:rFonts w:hint="eastAsia"/>
          <w:lang w:eastAsia="zh-CN"/>
        </w:rPr>
        <w:t>某些广播相关应用（如计算机图形、打印、电影、数字多媒体视频信息系统）可望具有特高的清晰度；</w:t>
      </w:r>
    </w:p>
    <w:p w:rsidR="00E949EB" w:rsidRDefault="00E949EB" w:rsidP="00E949EB">
      <w:pPr>
        <w:rPr>
          <w:lang w:eastAsia="zh-CN"/>
        </w:rPr>
      </w:pPr>
      <w:r>
        <w:rPr>
          <w:lang w:eastAsia="zh-CN"/>
        </w:rPr>
        <w:t>k)</w:t>
      </w:r>
      <w:r>
        <w:rPr>
          <w:lang w:eastAsia="zh-CN"/>
        </w:rPr>
        <w:tab/>
      </w:r>
      <w:r>
        <w:rPr>
          <w:rFonts w:hint="eastAsia"/>
          <w:lang w:eastAsia="zh-CN"/>
        </w:rPr>
        <w:t>某些机构正在进行更高清晰度数字图像架构的研究工作，</w:t>
      </w:r>
    </w:p>
    <w:p w:rsidR="0075439B" w:rsidRDefault="0075439B">
      <w:pPr>
        <w:tabs>
          <w:tab w:val="clear" w:pos="794"/>
          <w:tab w:val="clear" w:pos="1191"/>
          <w:tab w:val="clear" w:pos="1588"/>
          <w:tab w:val="clear" w:pos="1985"/>
        </w:tabs>
        <w:overflowPunct/>
        <w:autoSpaceDE/>
        <w:autoSpaceDN/>
        <w:adjustRightInd/>
        <w:spacing w:before="0"/>
        <w:textAlignment w:val="auto"/>
        <w:rPr>
          <w:rFonts w:ascii="STKaiti" w:eastAsia="STKaiti" w:hAnsi="STKaiti"/>
          <w:iCs/>
          <w:lang w:eastAsia="zh-CN"/>
        </w:rPr>
      </w:pPr>
      <w:r>
        <w:rPr>
          <w:rFonts w:ascii="STKaiti" w:eastAsia="STKaiti" w:hAnsi="STKaiti"/>
          <w:i/>
          <w:iCs/>
          <w:lang w:eastAsia="zh-CN"/>
        </w:rPr>
        <w:br w:type="page"/>
      </w:r>
    </w:p>
    <w:p w:rsidR="00E949EB" w:rsidRPr="002F7F10" w:rsidRDefault="00E949EB" w:rsidP="00E949EB">
      <w:pPr>
        <w:pStyle w:val="Call"/>
        <w:rPr>
          <w:rFonts w:ascii="STKaiti" w:eastAsia="STKaiti" w:hAnsi="STKaiti"/>
          <w:i w:val="0"/>
          <w:iCs/>
          <w:lang w:eastAsia="zh-CN"/>
        </w:rPr>
      </w:pPr>
      <w:r w:rsidRPr="002F7F10">
        <w:rPr>
          <w:rFonts w:ascii="STKaiti" w:eastAsia="STKaiti" w:hAnsi="STKaiti" w:hint="eastAsia"/>
          <w:i w:val="0"/>
          <w:iCs/>
          <w:lang w:eastAsia="zh-CN"/>
        </w:rPr>
        <w:lastRenderedPageBreak/>
        <w:t>做出决定</w:t>
      </w:r>
      <w:r w:rsidRPr="00555FF2">
        <w:rPr>
          <w:rFonts w:ascii="SimSun" w:hAnsi="SimSun" w:hint="eastAsia"/>
          <w:i w:val="0"/>
          <w:iCs/>
          <w:lang w:eastAsia="zh-CN"/>
        </w:rPr>
        <w:t>，应研究以下课题</w:t>
      </w:r>
    </w:p>
    <w:p w:rsidR="00E949EB" w:rsidRPr="002F7F10" w:rsidRDefault="00E949EB" w:rsidP="00E949EB">
      <w:pPr>
        <w:rPr>
          <w:lang w:eastAsia="zh-CN"/>
        </w:rPr>
      </w:pPr>
      <w:r>
        <w:rPr>
          <w:b/>
          <w:lang w:eastAsia="zh-CN"/>
        </w:rPr>
        <w:t>1</w:t>
      </w:r>
      <w:r>
        <w:rPr>
          <w:lang w:eastAsia="zh-CN"/>
        </w:rPr>
        <w:tab/>
      </w:r>
      <w:r>
        <w:rPr>
          <w:rFonts w:hint="eastAsia"/>
          <w:lang w:eastAsia="zh-CN"/>
        </w:rPr>
        <w:t>应采用什么方式才能研制出适用于广播和非广播应用的特高清晰度的图像系统？</w:t>
      </w:r>
    </w:p>
    <w:p w:rsidR="00E949EB" w:rsidRDefault="00E949EB" w:rsidP="00E949EB">
      <w:pPr>
        <w:rPr>
          <w:lang w:eastAsia="zh-CN"/>
        </w:rPr>
      </w:pPr>
      <w:r>
        <w:rPr>
          <w:b/>
          <w:lang w:eastAsia="zh-CN"/>
        </w:rPr>
        <w:t>2</w:t>
      </w:r>
      <w:r>
        <w:rPr>
          <w:lang w:eastAsia="zh-CN"/>
        </w:rPr>
        <w:tab/>
      </w:r>
      <w:r>
        <w:rPr>
          <w:rFonts w:hint="eastAsia"/>
          <w:lang w:eastAsia="zh-CN"/>
        </w:rPr>
        <w:t>为给广播应用留有余地并使不同应用（包括用于集体、室内和室外观看的数字多媒体视频信息系统）达到和谐同步，这种系统需要哪些特性？</w:t>
      </w:r>
    </w:p>
    <w:p w:rsidR="00E949EB" w:rsidRDefault="00E949EB" w:rsidP="00E949EB">
      <w:pPr>
        <w:rPr>
          <w:rFonts w:ascii="Arial" w:hAnsi="Arial" w:cs="Arial"/>
          <w:szCs w:val="24"/>
          <w:lang w:eastAsia="zh-CN"/>
        </w:rPr>
      </w:pPr>
      <w:r>
        <w:rPr>
          <w:b/>
          <w:lang w:eastAsia="zh-CN"/>
        </w:rPr>
        <w:t>3</w:t>
      </w:r>
      <w:r>
        <w:rPr>
          <w:lang w:eastAsia="zh-CN"/>
        </w:rPr>
        <w:tab/>
      </w:r>
      <w:r>
        <w:rPr>
          <w:rFonts w:hint="eastAsia"/>
          <w:lang w:eastAsia="zh-CN"/>
        </w:rPr>
        <w:t>应为这些</w:t>
      </w:r>
      <w:r>
        <w:rPr>
          <w:rFonts w:ascii="Arial" w:hAnsi="Arial" w:cs="Arial" w:hint="eastAsia"/>
          <w:szCs w:val="24"/>
          <w:lang w:eastAsia="zh-CN"/>
        </w:rPr>
        <w:t>系统的</w:t>
      </w:r>
      <w:r w:rsidRPr="00167ACE">
        <w:rPr>
          <w:rFonts w:ascii="Arial" w:hAnsi="Arial" w:cs="Arial" w:hint="eastAsia"/>
          <w:szCs w:val="24"/>
          <w:lang w:eastAsia="zh-CN"/>
        </w:rPr>
        <w:t>节目自制</w:t>
      </w:r>
      <w:r>
        <w:rPr>
          <w:rFonts w:ascii="Arial" w:hAnsi="Arial" w:cs="Arial" w:hint="eastAsia"/>
          <w:szCs w:val="24"/>
          <w:lang w:eastAsia="zh-CN"/>
        </w:rPr>
        <w:t>和交换确定哪类参数？</w:t>
      </w:r>
    </w:p>
    <w:p w:rsidR="00E949EB" w:rsidRDefault="00E949EB" w:rsidP="00E949EB">
      <w:pPr>
        <w:rPr>
          <w:rFonts w:ascii="Arial" w:hAnsi="Arial" w:cs="Arial"/>
          <w:szCs w:val="24"/>
          <w:lang w:eastAsia="zh-CN"/>
        </w:rPr>
      </w:pPr>
      <w:r w:rsidRPr="000C3A90">
        <w:rPr>
          <w:b/>
          <w:lang w:eastAsia="zh-CN"/>
        </w:rPr>
        <w:t>4</w:t>
      </w:r>
      <w:r>
        <w:rPr>
          <w:rFonts w:ascii="Arial" w:hAnsi="Arial" w:cs="Arial"/>
          <w:szCs w:val="24"/>
          <w:lang w:eastAsia="zh-CN"/>
        </w:rPr>
        <w:tab/>
      </w:r>
      <w:r>
        <w:rPr>
          <w:rFonts w:ascii="Arial" w:hAnsi="Arial" w:cs="Arial" w:hint="eastAsia"/>
          <w:szCs w:val="24"/>
          <w:lang w:eastAsia="zh-CN"/>
        </w:rPr>
        <w:t>在采用特高清晰度图像的各个电视广播链（即获取、录制、收集、分发、发射和显示）上，应建议那些特性？</w:t>
      </w:r>
    </w:p>
    <w:p w:rsidR="00E949EB" w:rsidRPr="00211357" w:rsidRDefault="00E949EB" w:rsidP="00E949EB">
      <w:pPr>
        <w:rPr>
          <w:lang w:eastAsia="zh-CN"/>
        </w:rPr>
      </w:pPr>
      <w:r w:rsidRPr="009F044E">
        <w:rPr>
          <w:rFonts w:hAnsi="Arial" w:hint="eastAsia"/>
          <w:szCs w:val="24"/>
          <w:lang w:eastAsia="zh-CN"/>
        </w:rPr>
        <w:t>注</w:t>
      </w:r>
      <w:r w:rsidRPr="009F044E">
        <w:rPr>
          <w:rFonts w:eastAsia="STKaiti"/>
          <w:szCs w:val="24"/>
          <w:lang w:eastAsia="zh-CN"/>
        </w:rPr>
        <w:t>1</w:t>
      </w:r>
      <w:r>
        <w:rPr>
          <w:rFonts w:ascii="Arial" w:hAnsi="Arial" w:cs="Arial"/>
          <w:szCs w:val="24"/>
          <w:lang w:eastAsia="zh-CN"/>
        </w:rPr>
        <w:t xml:space="preserve"> – </w:t>
      </w:r>
      <w:r>
        <w:rPr>
          <w:rFonts w:ascii="Arial" w:hAnsi="Arial" w:cs="Arial" w:hint="eastAsia"/>
          <w:szCs w:val="24"/>
          <w:lang w:eastAsia="zh-CN"/>
        </w:rPr>
        <w:t>参</w:t>
      </w:r>
      <w:r w:rsidRPr="00A74A92">
        <w:rPr>
          <w:rFonts w:hAnsi="Arial" w:hint="eastAsia"/>
          <w:szCs w:val="24"/>
          <w:lang w:eastAsia="zh-CN"/>
        </w:rPr>
        <w:t>见</w:t>
      </w:r>
      <w:r w:rsidRPr="00A74A92">
        <w:rPr>
          <w:szCs w:val="24"/>
          <w:lang w:eastAsia="zh-CN"/>
        </w:rPr>
        <w:t>ITU-R BT.2042-1</w:t>
      </w:r>
      <w:r w:rsidRPr="00A74A92">
        <w:rPr>
          <w:rFonts w:hAnsi="Arial" w:hint="eastAsia"/>
          <w:szCs w:val="24"/>
          <w:lang w:eastAsia="zh-CN"/>
        </w:rPr>
        <w:t>和</w:t>
      </w:r>
      <w:r w:rsidRPr="00A74A92">
        <w:rPr>
          <w:szCs w:val="24"/>
          <w:lang w:eastAsia="zh-CN"/>
        </w:rPr>
        <w:t>ITU-R BT.2053-1</w:t>
      </w:r>
      <w:r w:rsidRPr="00A74A92">
        <w:rPr>
          <w:rFonts w:hAnsi="Arial" w:hint="eastAsia"/>
          <w:szCs w:val="24"/>
          <w:lang w:eastAsia="zh-CN"/>
        </w:rPr>
        <w:t>报告，也参见</w:t>
      </w:r>
      <w:r w:rsidRPr="00A74A92">
        <w:rPr>
          <w:szCs w:val="24"/>
          <w:lang w:eastAsia="zh-CN"/>
        </w:rPr>
        <w:t>ITU-R</w:t>
      </w:r>
      <w:r w:rsidRPr="00A74A92">
        <w:rPr>
          <w:rFonts w:hAnsi="Arial" w:hint="eastAsia"/>
          <w:szCs w:val="24"/>
          <w:lang w:eastAsia="zh-CN"/>
        </w:rPr>
        <w:t>第</w:t>
      </w:r>
      <w:r w:rsidRPr="00A74A92">
        <w:rPr>
          <w:szCs w:val="24"/>
          <w:lang w:eastAsia="zh-CN"/>
        </w:rPr>
        <w:t>15-2/6</w:t>
      </w:r>
      <w:r>
        <w:rPr>
          <w:rFonts w:ascii="Arial" w:hAnsi="Arial" w:cs="Arial" w:hint="eastAsia"/>
          <w:szCs w:val="24"/>
          <w:lang w:eastAsia="zh-CN"/>
        </w:rPr>
        <w:t>号课题。</w:t>
      </w:r>
    </w:p>
    <w:p w:rsidR="00E949EB" w:rsidRDefault="00E949EB" w:rsidP="00E949EB">
      <w:pPr>
        <w:pStyle w:val="Callkaiti"/>
      </w:pPr>
      <w:r>
        <w:rPr>
          <w:rFonts w:hint="eastAsia"/>
        </w:rPr>
        <w:t>进一步做出决定</w:t>
      </w:r>
    </w:p>
    <w:p w:rsidR="00E949EB" w:rsidRDefault="00E949EB" w:rsidP="00E949EB">
      <w:pPr>
        <w:rPr>
          <w:lang w:eastAsia="zh-CN"/>
        </w:rPr>
      </w:pPr>
      <w:r>
        <w:rPr>
          <w:b/>
          <w:lang w:eastAsia="zh-CN"/>
        </w:rPr>
        <w:t>1</w:t>
      </w:r>
      <w:r>
        <w:rPr>
          <w:lang w:eastAsia="zh-CN"/>
        </w:rPr>
        <w:tab/>
      </w:r>
      <w:r>
        <w:rPr>
          <w:rFonts w:hint="eastAsia"/>
          <w:lang w:eastAsia="zh-CN"/>
        </w:rPr>
        <w:t>上述研究结果应纳入一份或多份报告和</w:t>
      </w:r>
      <w:r>
        <w:rPr>
          <w:lang w:eastAsia="zh-CN"/>
        </w:rPr>
        <w:t>/</w:t>
      </w:r>
      <w:r>
        <w:rPr>
          <w:rFonts w:hint="eastAsia"/>
          <w:lang w:eastAsia="zh-CN"/>
        </w:rPr>
        <w:t>或建议书；</w:t>
      </w:r>
    </w:p>
    <w:p w:rsidR="00E949EB" w:rsidRDefault="00E949EB" w:rsidP="00E949EB">
      <w:pPr>
        <w:rPr>
          <w:lang w:eastAsia="zh-CN"/>
        </w:rPr>
      </w:pPr>
      <w:r>
        <w:rPr>
          <w:b/>
          <w:lang w:eastAsia="zh-CN"/>
        </w:rPr>
        <w:t>2</w:t>
      </w:r>
      <w:r>
        <w:rPr>
          <w:lang w:eastAsia="zh-CN"/>
        </w:rPr>
        <w:tab/>
      </w:r>
      <w:r>
        <w:rPr>
          <w:rFonts w:hint="eastAsia"/>
          <w:lang w:eastAsia="zh-CN"/>
        </w:rPr>
        <w:t>上述研究应在</w:t>
      </w:r>
      <w:r>
        <w:rPr>
          <w:lang w:eastAsia="zh-CN"/>
        </w:rPr>
        <w:t>20</w:t>
      </w:r>
      <w:r>
        <w:rPr>
          <w:rFonts w:hint="eastAsia"/>
          <w:lang w:eastAsia="zh-CN"/>
        </w:rPr>
        <w:t>15</w:t>
      </w:r>
      <w:r>
        <w:rPr>
          <w:rFonts w:hint="eastAsia"/>
          <w:lang w:eastAsia="zh-CN"/>
        </w:rPr>
        <w:t>年前完成。</w:t>
      </w:r>
    </w:p>
    <w:p w:rsidR="00E949EB" w:rsidRDefault="00E949EB" w:rsidP="00E949EB">
      <w:pPr>
        <w:rPr>
          <w:lang w:eastAsia="zh-CN"/>
        </w:rPr>
      </w:pPr>
    </w:p>
    <w:p w:rsidR="00E949EB" w:rsidRDefault="00E949EB" w:rsidP="00E949EB">
      <w:pPr>
        <w:pStyle w:val="Index1"/>
        <w:rPr>
          <w:lang w:eastAsia="zh-CN"/>
        </w:rPr>
      </w:pPr>
      <w:r w:rsidRPr="005D3FCD">
        <w:rPr>
          <w:rFonts w:hAnsi="SimSun" w:hint="eastAsia"/>
          <w:lang w:eastAsia="ja-JP"/>
        </w:rPr>
        <w:t>类别：</w:t>
      </w:r>
      <w:r w:rsidRPr="005D3FCD">
        <w:rPr>
          <w:lang w:eastAsia="ja-JP"/>
        </w:rPr>
        <w:t>S</w:t>
      </w:r>
      <w:r w:rsidRPr="005D3FCD">
        <w:rPr>
          <w:lang w:eastAsia="zh-CN"/>
        </w:rPr>
        <w:t>2</w:t>
      </w:r>
    </w:p>
    <w:p w:rsidR="00DD252B" w:rsidRPr="00DD252B" w:rsidRDefault="00DD252B" w:rsidP="00DD252B">
      <w:pPr>
        <w:rPr>
          <w:lang w:eastAsia="zh-CN"/>
        </w:rPr>
      </w:pPr>
      <w:bookmarkStart w:id="0" w:name="_GoBack"/>
      <w:bookmarkEnd w:id="0"/>
    </w:p>
    <w:sectPr w:rsidR="00DD252B" w:rsidRPr="00DD252B" w:rsidSect="00AF3053">
      <w:footerReference w:type="first" r:id="rId9"/>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81C" w:rsidRDefault="0018481C">
      <w:r>
        <w:separator/>
      </w:r>
    </w:p>
  </w:endnote>
  <w:endnote w:type="continuationSeparator" w:id="0">
    <w:p w:rsidR="0018481C" w:rsidRDefault="0018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imSun"/>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81C" w:rsidRPr="009E1957" w:rsidRDefault="0018481C"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81C" w:rsidRDefault="0018481C">
      <w:r>
        <w:t>____________________</w:t>
      </w:r>
    </w:p>
  </w:footnote>
  <w:footnote w:type="continuationSeparator" w:id="0">
    <w:p w:rsidR="0018481C" w:rsidRDefault="0018481C">
      <w:r>
        <w:continuationSeparator/>
      </w:r>
    </w:p>
  </w:footnote>
  <w:footnote w:id="1">
    <w:p w:rsidR="0018481C" w:rsidRDefault="0018481C" w:rsidP="00E949EB">
      <w:pPr>
        <w:pStyle w:val="FootnoteText"/>
        <w:rPr>
          <w:lang w:eastAsia="zh-CN"/>
        </w:rPr>
      </w:pPr>
      <w:r>
        <w:rPr>
          <w:rStyle w:val="FootnoteReference"/>
          <w:lang w:val="en-US" w:eastAsia="zh-CN"/>
        </w:rPr>
        <w:t>*</w:t>
      </w:r>
      <w:r>
        <w:rPr>
          <w:lang w:val="en-US" w:eastAsia="zh-CN"/>
        </w:rPr>
        <w:t xml:space="preserve"> </w:t>
      </w:r>
      <w:r>
        <w:rPr>
          <w:lang w:val="en-US" w:eastAsia="zh-CN"/>
        </w:rPr>
        <w:tab/>
      </w:r>
      <w:r w:rsidRPr="00EF0D2D">
        <w:rPr>
          <w:rFonts w:hint="eastAsia"/>
          <w:szCs w:val="22"/>
          <w:lang w:eastAsia="zh-CN"/>
        </w:rPr>
        <w:t>应提请国际电工委员会（</w:t>
      </w:r>
      <w:r w:rsidRPr="00EF0D2D">
        <w:rPr>
          <w:szCs w:val="22"/>
          <w:lang w:val="en-US" w:eastAsia="zh-CN"/>
        </w:rPr>
        <w:t>IEC</w:t>
      </w:r>
      <w:r w:rsidRPr="00EF0D2D">
        <w:rPr>
          <w:rFonts w:hint="eastAsia"/>
          <w:szCs w:val="22"/>
          <w:lang w:eastAsia="zh-CN"/>
        </w:rPr>
        <w:t>）、国际标准化组织（</w:t>
      </w:r>
      <w:r w:rsidRPr="00EF0D2D">
        <w:rPr>
          <w:szCs w:val="22"/>
          <w:lang w:val="en-US" w:eastAsia="zh-CN"/>
        </w:rPr>
        <w:t>ISO</w:t>
      </w:r>
      <w:r w:rsidRPr="00EF0D2D">
        <w:rPr>
          <w:rFonts w:hint="eastAsia"/>
          <w:szCs w:val="22"/>
          <w:lang w:eastAsia="zh-CN"/>
        </w:rPr>
        <w:t>）</w:t>
      </w:r>
      <w:r>
        <w:rPr>
          <w:rFonts w:hint="eastAsia"/>
          <w:szCs w:val="22"/>
          <w:lang w:eastAsia="zh-CN"/>
        </w:rPr>
        <w:t>和</w:t>
      </w:r>
      <w:r w:rsidRPr="00EF0D2D">
        <w:rPr>
          <w:rFonts w:hint="eastAsia"/>
          <w:szCs w:val="22"/>
          <w:lang w:eastAsia="zh-CN"/>
        </w:rPr>
        <w:t>国际电联电信标准化部门注</w:t>
      </w:r>
      <w:r>
        <w:rPr>
          <w:rFonts w:hint="eastAsia"/>
          <w:szCs w:val="22"/>
          <w:lang w:eastAsia="zh-CN"/>
        </w:rPr>
        <w:t>意</w:t>
      </w:r>
      <w:r w:rsidRPr="00EF0D2D">
        <w:rPr>
          <w:rFonts w:hint="eastAsia"/>
          <w:szCs w:val="22"/>
          <w:lang w:eastAsia="zh-CN"/>
        </w:rPr>
        <w:t>本课题。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4">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0D"/>
    <w:rsid w:val="00016557"/>
    <w:rsid w:val="0003165D"/>
    <w:rsid w:val="00054506"/>
    <w:rsid w:val="000862B3"/>
    <w:rsid w:val="000A1C4A"/>
    <w:rsid w:val="000E15C1"/>
    <w:rsid w:val="000E64DA"/>
    <w:rsid w:val="000F527D"/>
    <w:rsid w:val="000F639C"/>
    <w:rsid w:val="000F63D8"/>
    <w:rsid w:val="0012790F"/>
    <w:rsid w:val="00147E21"/>
    <w:rsid w:val="00164F4C"/>
    <w:rsid w:val="0018481C"/>
    <w:rsid w:val="001C7B0D"/>
    <w:rsid w:val="001D4F74"/>
    <w:rsid w:val="001E15AA"/>
    <w:rsid w:val="001E66AA"/>
    <w:rsid w:val="00210B45"/>
    <w:rsid w:val="00213248"/>
    <w:rsid w:val="002231AD"/>
    <w:rsid w:val="00226AE2"/>
    <w:rsid w:val="00227F65"/>
    <w:rsid w:val="00241229"/>
    <w:rsid w:val="0025023C"/>
    <w:rsid w:val="002624F0"/>
    <w:rsid w:val="00291B1E"/>
    <w:rsid w:val="002A7482"/>
    <w:rsid w:val="003028FF"/>
    <w:rsid w:val="00326A1B"/>
    <w:rsid w:val="00327003"/>
    <w:rsid w:val="00335A37"/>
    <w:rsid w:val="00376558"/>
    <w:rsid w:val="003D3993"/>
    <w:rsid w:val="004018D2"/>
    <w:rsid w:val="00405637"/>
    <w:rsid w:val="00406DCC"/>
    <w:rsid w:val="00417BA7"/>
    <w:rsid w:val="0044634B"/>
    <w:rsid w:val="004657B4"/>
    <w:rsid w:val="00467ED3"/>
    <w:rsid w:val="004928F6"/>
    <w:rsid w:val="004A5AB1"/>
    <w:rsid w:val="004C1881"/>
    <w:rsid w:val="004C7EA1"/>
    <w:rsid w:val="004F26AE"/>
    <w:rsid w:val="0058518F"/>
    <w:rsid w:val="00595800"/>
    <w:rsid w:val="005B3B4C"/>
    <w:rsid w:val="005C2265"/>
    <w:rsid w:val="005D3FCD"/>
    <w:rsid w:val="005F130D"/>
    <w:rsid w:val="005F7F4C"/>
    <w:rsid w:val="006136BC"/>
    <w:rsid w:val="00672B5C"/>
    <w:rsid w:val="00693432"/>
    <w:rsid w:val="006A1E42"/>
    <w:rsid w:val="006B3F95"/>
    <w:rsid w:val="0071106C"/>
    <w:rsid w:val="00730555"/>
    <w:rsid w:val="00746900"/>
    <w:rsid w:val="00752BA2"/>
    <w:rsid w:val="0075439B"/>
    <w:rsid w:val="007D3C32"/>
    <w:rsid w:val="007E189A"/>
    <w:rsid w:val="00811467"/>
    <w:rsid w:val="0081261F"/>
    <w:rsid w:val="008407EB"/>
    <w:rsid w:val="00880573"/>
    <w:rsid w:val="00881D43"/>
    <w:rsid w:val="008A4701"/>
    <w:rsid w:val="008D4874"/>
    <w:rsid w:val="008F778A"/>
    <w:rsid w:val="009136BF"/>
    <w:rsid w:val="0093776F"/>
    <w:rsid w:val="00951AFA"/>
    <w:rsid w:val="009676DC"/>
    <w:rsid w:val="009746CA"/>
    <w:rsid w:val="009846D5"/>
    <w:rsid w:val="009966B9"/>
    <w:rsid w:val="009A7F59"/>
    <w:rsid w:val="009D15F9"/>
    <w:rsid w:val="009E14F3"/>
    <w:rsid w:val="009E1957"/>
    <w:rsid w:val="009F4579"/>
    <w:rsid w:val="009F7313"/>
    <w:rsid w:val="00A06093"/>
    <w:rsid w:val="00A22688"/>
    <w:rsid w:val="00A333B4"/>
    <w:rsid w:val="00A44355"/>
    <w:rsid w:val="00A45E0A"/>
    <w:rsid w:val="00A515F9"/>
    <w:rsid w:val="00A62FE2"/>
    <w:rsid w:val="00A7315E"/>
    <w:rsid w:val="00AB07C5"/>
    <w:rsid w:val="00AF3053"/>
    <w:rsid w:val="00B00693"/>
    <w:rsid w:val="00B2522B"/>
    <w:rsid w:val="00B50FC7"/>
    <w:rsid w:val="00B57344"/>
    <w:rsid w:val="00B77A36"/>
    <w:rsid w:val="00B8706A"/>
    <w:rsid w:val="00B87E04"/>
    <w:rsid w:val="00B93CF3"/>
    <w:rsid w:val="00BF0634"/>
    <w:rsid w:val="00BF4940"/>
    <w:rsid w:val="00C0712A"/>
    <w:rsid w:val="00C7350C"/>
    <w:rsid w:val="00C93673"/>
    <w:rsid w:val="00C961D6"/>
    <w:rsid w:val="00CD0CCF"/>
    <w:rsid w:val="00CE742F"/>
    <w:rsid w:val="00D021EC"/>
    <w:rsid w:val="00D22F77"/>
    <w:rsid w:val="00D32A57"/>
    <w:rsid w:val="00D35752"/>
    <w:rsid w:val="00D463D0"/>
    <w:rsid w:val="00D5217A"/>
    <w:rsid w:val="00D61395"/>
    <w:rsid w:val="00D744B4"/>
    <w:rsid w:val="00DC7F4D"/>
    <w:rsid w:val="00DD252B"/>
    <w:rsid w:val="00DD66A9"/>
    <w:rsid w:val="00E745A0"/>
    <w:rsid w:val="00E949EB"/>
    <w:rsid w:val="00EA7657"/>
    <w:rsid w:val="00EC710F"/>
    <w:rsid w:val="00EE2D3E"/>
    <w:rsid w:val="00F55631"/>
    <w:rsid w:val="00F817F1"/>
    <w:rsid w:val="00FA2D41"/>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uiPriority w:val="99"/>
    <w:rsid w:val="00AF3053"/>
    <w:pPr>
      <w:keepNext/>
      <w:keepLines/>
      <w:spacing w:before="160"/>
      <w:ind w:left="794"/>
    </w:pPr>
    <w:rPr>
      <w: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uiPriority w:val="99"/>
    <w:rsid w:val="001C7B0D"/>
    <w:rPr>
      <w:rFonts w:eastAsia="SimSun"/>
      <w:i/>
      <w:sz w:val="24"/>
      <w:lang w:val="en-GB" w:eastAsia="en-US" w:bidi="ar-SA"/>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uiPriority w:val="99"/>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rFonts w:eastAsia="STKaiti"/>
      <w:i w:val="0"/>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uiPriority w:val="99"/>
    <w:rsid w:val="00AF3053"/>
    <w:pPr>
      <w:keepNext/>
      <w:keepLines/>
      <w:spacing w:before="160"/>
      <w:ind w:left="794"/>
    </w:pPr>
    <w:rPr>
      <w: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uiPriority w:val="99"/>
    <w:rsid w:val="001C7B0D"/>
    <w:rPr>
      <w:rFonts w:eastAsia="SimSun"/>
      <w:i/>
      <w:sz w:val="24"/>
      <w:lang w:val="en-GB" w:eastAsia="en-US" w:bidi="ar-SA"/>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uiPriority w:val="99"/>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rFonts w:eastAsia="STKaiti"/>
      <w:i w:val="0"/>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9D600-92E7-40CE-B384-2748D18C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2</TotalTime>
  <Pages>2</Pages>
  <Words>656</Words>
  <Characters>184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839</CharactersWithSpaces>
  <SharedDoc>false</SharedDoc>
  <HLinks>
    <vt:vector size="138" baseType="variant">
      <vt:variant>
        <vt:i4>2162744</vt:i4>
      </vt:variant>
      <vt:variant>
        <vt:i4>63</vt:i4>
      </vt:variant>
      <vt:variant>
        <vt:i4>0</vt:i4>
      </vt:variant>
      <vt:variant>
        <vt:i4>5</vt:i4>
      </vt:variant>
      <vt:variant>
        <vt:lpwstr>http://www.itu.int/pub/R-QUE-SG06/              publications.aspx?lang=en&amp;parent=R-QUE-SG06.116</vt:lpwstr>
      </vt:variant>
      <vt:variant>
        <vt:lpwstr/>
      </vt:variant>
      <vt:variant>
        <vt:i4>2162744</vt:i4>
      </vt:variant>
      <vt:variant>
        <vt:i4>60</vt:i4>
      </vt:variant>
      <vt:variant>
        <vt:i4>0</vt:i4>
      </vt:variant>
      <vt:variant>
        <vt:i4>5</vt:i4>
      </vt:variant>
      <vt:variant>
        <vt:lpwstr>http://www.itu.int/pub/R-QUE-SG06/              publications.aspx?lang=en&amp;parent=R-QUE-SG06.115</vt:lpwstr>
      </vt:variant>
      <vt:variant>
        <vt:lpwstr/>
      </vt:variant>
      <vt:variant>
        <vt:i4>2162744</vt:i4>
      </vt:variant>
      <vt:variant>
        <vt:i4>57</vt:i4>
      </vt:variant>
      <vt:variant>
        <vt:i4>0</vt:i4>
      </vt:variant>
      <vt:variant>
        <vt:i4>5</vt:i4>
      </vt:variant>
      <vt:variant>
        <vt:lpwstr>http://www.itu.int/pub/R-QUE-SG06/              publications.aspx?lang=en&amp;parent=R-QUE-SG06.110</vt:lpwstr>
      </vt:variant>
      <vt:variant>
        <vt:lpwstr/>
      </vt:variant>
      <vt:variant>
        <vt:i4>2162744</vt:i4>
      </vt:variant>
      <vt:variant>
        <vt:i4>54</vt:i4>
      </vt:variant>
      <vt:variant>
        <vt:i4>0</vt:i4>
      </vt:variant>
      <vt:variant>
        <vt:i4>5</vt:i4>
      </vt:variant>
      <vt:variant>
        <vt:lpwstr>http://www.itu.int/pub/R-QUE-SG06/              publications.aspx?lang=en&amp;parent=R-QUE-SG06.116</vt:lpwstr>
      </vt:variant>
      <vt:variant>
        <vt:lpwstr/>
      </vt:variant>
      <vt:variant>
        <vt:i4>2162744</vt:i4>
      </vt:variant>
      <vt:variant>
        <vt:i4>51</vt:i4>
      </vt:variant>
      <vt:variant>
        <vt:i4>0</vt:i4>
      </vt:variant>
      <vt:variant>
        <vt:i4>5</vt:i4>
      </vt:variant>
      <vt:variant>
        <vt:lpwstr>http://www.itu.int/pub/R-QUE-SG06/              publications.aspx?lang=en&amp;parent=R-QUE-SG06.115</vt:lpwstr>
      </vt:variant>
      <vt:variant>
        <vt:lpwstr/>
      </vt:variant>
      <vt:variant>
        <vt:i4>2162744</vt:i4>
      </vt:variant>
      <vt:variant>
        <vt:i4>48</vt:i4>
      </vt:variant>
      <vt:variant>
        <vt:i4>0</vt:i4>
      </vt:variant>
      <vt:variant>
        <vt:i4>5</vt:i4>
      </vt:variant>
      <vt:variant>
        <vt:lpwstr>http://www.itu.int/pub/R-QUE-SG06/              publications.aspx?lang=en&amp;parent=R-QUE-SG06.110</vt:lpwstr>
      </vt:variant>
      <vt:variant>
        <vt:lpwstr/>
      </vt:variant>
      <vt:variant>
        <vt:i4>2097208</vt:i4>
      </vt:variant>
      <vt:variant>
        <vt:i4>45</vt:i4>
      </vt:variant>
      <vt:variant>
        <vt:i4>0</vt:i4>
      </vt:variant>
      <vt:variant>
        <vt:i4>5</vt:i4>
      </vt:variant>
      <vt:variant>
        <vt:lpwstr>http://www.itu.int/pub/R-QUE-SG06/              publications.aspx?lang=en&amp;parent=R-QUE-SG06.106</vt:lpwstr>
      </vt:variant>
      <vt:variant>
        <vt:lpwstr/>
      </vt:variant>
      <vt:variant>
        <vt:i4>2097200</vt:i4>
      </vt:variant>
      <vt:variant>
        <vt:i4>42</vt:i4>
      </vt:variant>
      <vt:variant>
        <vt:i4>0</vt:i4>
      </vt:variant>
      <vt:variant>
        <vt:i4>5</vt:i4>
      </vt:variant>
      <vt:variant>
        <vt:lpwstr>http://www.itu.int/pub/R-QUE-SG06/              publications.aspx?lang=en&amp;parent=R-QUE-SG06.90</vt:lpwstr>
      </vt:variant>
      <vt:variant>
        <vt:lpwstr/>
      </vt:variant>
      <vt:variant>
        <vt:i4>2490417</vt:i4>
      </vt:variant>
      <vt:variant>
        <vt:i4>39</vt:i4>
      </vt:variant>
      <vt:variant>
        <vt:i4>0</vt:i4>
      </vt:variant>
      <vt:variant>
        <vt:i4>5</vt:i4>
      </vt:variant>
      <vt:variant>
        <vt:lpwstr>http://www.itu.int/pub/R-QUE-SG06/              publications.aspx?lang=en&amp;parent=R-QUE-SG06.86</vt:lpwstr>
      </vt:variant>
      <vt:variant>
        <vt:lpwstr/>
      </vt:variant>
      <vt:variant>
        <vt:i4>2162737</vt:i4>
      </vt:variant>
      <vt:variant>
        <vt:i4>36</vt:i4>
      </vt:variant>
      <vt:variant>
        <vt:i4>0</vt:i4>
      </vt:variant>
      <vt:variant>
        <vt:i4>5</vt:i4>
      </vt:variant>
      <vt:variant>
        <vt:lpwstr>http://www.itu.int/pub/R-QUE-SG06/              publications.aspx?lang=en&amp;parent=R-QUE-SG06.81</vt:lpwstr>
      </vt:variant>
      <vt:variant>
        <vt:lpwstr/>
      </vt:variant>
      <vt:variant>
        <vt:i4>2687038</vt:i4>
      </vt:variant>
      <vt:variant>
        <vt:i4>33</vt:i4>
      </vt:variant>
      <vt:variant>
        <vt:i4>0</vt:i4>
      </vt:variant>
      <vt:variant>
        <vt:i4>5</vt:i4>
      </vt:variant>
      <vt:variant>
        <vt:lpwstr>http://www.itu.int/pub/R-QUE-SG06/              publications.aspx?lang=en&amp;parent=R-QUE-SG06.79</vt:lpwstr>
      </vt:variant>
      <vt:variant>
        <vt:lpwstr/>
      </vt:variant>
      <vt:variant>
        <vt:i4>2621502</vt:i4>
      </vt:variant>
      <vt:variant>
        <vt:i4>30</vt:i4>
      </vt:variant>
      <vt:variant>
        <vt:i4>0</vt:i4>
      </vt:variant>
      <vt:variant>
        <vt:i4>5</vt:i4>
      </vt:variant>
      <vt:variant>
        <vt:lpwstr>http://www.itu.int/pub/R-QUE-SG06/              publications.aspx?lang=en&amp;parent=R-QUE-SG06.78</vt:lpwstr>
      </vt:variant>
      <vt:variant>
        <vt:lpwstr/>
      </vt:variant>
      <vt:variant>
        <vt:i4>2555966</vt:i4>
      </vt:variant>
      <vt:variant>
        <vt:i4>27</vt:i4>
      </vt:variant>
      <vt:variant>
        <vt:i4>0</vt:i4>
      </vt:variant>
      <vt:variant>
        <vt:i4>5</vt:i4>
      </vt:variant>
      <vt:variant>
        <vt:lpwstr>http://www.itu.int/pub/R-QUE-SG06/              publications.aspx?lang=en&amp;parent=R-QUE-SG06.77</vt:lpwstr>
      </vt:variant>
      <vt:variant>
        <vt:lpwstr/>
      </vt:variant>
      <vt:variant>
        <vt:i4>2555967</vt:i4>
      </vt:variant>
      <vt:variant>
        <vt:i4>24</vt:i4>
      </vt:variant>
      <vt:variant>
        <vt:i4>0</vt:i4>
      </vt:variant>
      <vt:variant>
        <vt:i4>5</vt:i4>
      </vt:variant>
      <vt:variant>
        <vt:lpwstr>http://www.itu.int/pub/R-QUE-SG06/              publications.aspx?lang=en&amp;parent=R-QUE-SG06.67</vt:lpwstr>
      </vt:variant>
      <vt:variant>
        <vt:lpwstr/>
      </vt:variant>
      <vt:variant>
        <vt:i4>2293823</vt:i4>
      </vt:variant>
      <vt:variant>
        <vt:i4>21</vt:i4>
      </vt:variant>
      <vt:variant>
        <vt:i4>0</vt:i4>
      </vt:variant>
      <vt:variant>
        <vt:i4>5</vt:i4>
      </vt:variant>
      <vt:variant>
        <vt:lpwstr>http://www.itu.int/pub/R-QUE-SG06/              publications.aspx?lang=en&amp;parent=R-QUE-SG06.63</vt:lpwstr>
      </vt:variant>
      <vt:variant>
        <vt:lpwstr/>
      </vt:variant>
      <vt:variant>
        <vt:i4>2555965</vt:i4>
      </vt:variant>
      <vt:variant>
        <vt:i4>18</vt:i4>
      </vt:variant>
      <vt:variant>
        <vt:i4>0</vt:i4>
      </vt:variant>
      <vt:variant>
        <vt:i4>5</vt:i4>
      </vt:variant>
      <vt:variant>
        <vt:lpwstr>http://www.itu.int/pub/R-QUE-SG06/              publications.aspx?lang=en&amp;parent=R-QUE-SG06.47</vt:lpwstr>
      </vt:variant>
      <vt:variant>
        <vt:lpwstr/>
      </vt:variant>
      <vt:variant>
        <vt:i4>2490426</vt:i4>
      </vt:variant>
      <vt:variant>
        <vt:i4>15</vt:i4>
      </vt:variant>
      <vt:variant>
        <vt:i4>0</vt:i4>
      </vt:variant>
      <vt:variant>
        <vt:i4>5</vt:i4>
      </vt:variant>
      <vt:variant>
        <vt:lpwstr>http://www.itu.int/pub/R-QUE-SG06/              publications.aspx?lang=en&amp;parent=R-QUE-SG06.36</vt:lpwstr>
      </vt:variant>
      <vt:variant>
        <vt:lpwstr/>
      </vt:variant>
      <vt:variant>
        <vt:i4>1048585</vt:i4>
      </vt:variant>
      <vt:variant>
        <vt:i4>12</vt:i4>
      </vt:variant>
      <vt:variant>
        <vt:i4>0</vt:i4>
      </vt:variant>
      <vt:variant>
        <vt:i4>5</vt:i4>
      </vt:variant>
      <vt:variant>
        <vt:lpwstr>http://www.itu.int/pub/R-QUE-SG06/              publications.aspx?lang=en&amp;parent=R-QUE-SG06.8</vt:lpwstr>
      </vt:variant>
      <vt:variant>
        <vt:lpwstr/>
      </vt:variant>
      <vt:variant>
        <vt:i4>1048585</vt:i4>
      </vt:variant>
      <vt:variant>
        <vt:i4>9</vt:i4>
      </vt:variant>
      <vt:variant>
        <vt:i4>0</vt:i4>
      </vt:variant>
      <vt:variant>
        <vt:i4>5</vt:i4>
      </vt:variant>
      <vt:variant>
        <vt:lpwstr>http://www.itu.int/pub/R-QUE-SG06/              publications.aspx?lang=en&amp;parent=R-QUE-SG06.1</vt:lpwstr>
      </vt:variant>
      <vt:variant>
        <vt:lpwstr/>
      </vt:variant>
      <vt:variant>
        <vt:i4>393293</vt:i4>
      </vt:variant>
      <vt:variant>
        <vt:i4>4</vt:i4>
      </vt:variant>
      <vt:variant>
        <vt:i4>0</vt:i4>
      </vt:variant>
      <vt:variant>
        <vt:i4>5</vt:i4>
      </vt:variant>
      <vt:variant>
        <vt:lpwstr>http://www.itu.int/md/R07-SG06-C-0001/en</vt:lpwstr>
      </vt:variant>
      <vt:variant>
        <vt:lpwstr/>
      </vt:variant>
      <vt:variant>
        <vt:i4>393293</vt:i4>
      </vt:variant>
      <vt:variant>
        <vt:i4>2</vt:i4>
      </vt:variant>
      <vt:variant>
        <vt:i4>0</vt:i4>
      </vt:variant>
      <vt:variant>
        <vt:i4>5</vt:i4>
      </vt:variant>
      <vt:variant>
        <vt:lpwstr>http://www.itu.int/md/R07-SG06-C-0001/en</vt:lpwstr>
      </vt:variant>
      <vt:variant>
        <vt:lpwstr/>
      </vt:variant>
      <vt:variant>
        <vt:i4>1048671</vt:i4>
      </vt:variant>
      <vt:variant>
        <vt:i4>0</vt:i4>
      </vt:variant>
      <vt:variant>
        <vt:i4>0</vt:i4>
      </vt:variant>
      <vt:variant>
        <vt:i4>5</vt:i4>
      </vt:variant>
      <vt:variant>
        <vt:lpwstr>http://web.itu.int/md/R07-SG05-C-0001/en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detraz</cp:lastModifiedBy>
  <cp:revision>3</cp:revision>
  <cp:lastPrinted>2011-03-15T15:04:00Z</cp:lastPrinted>
  <dcterms:created xsi:type="dcterms:W3CDTF">2011-03-17T14:12:00Z</dcterms:created>
  <dcterms:modified xsi:type="dcterms:W3CDTF">2011-03-17T14:13:00Z</dcterms:modified>
</cp:coreProperties>
</file>