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0D57" w14:textId="2AC8974B" w:rsidR="0043472E" w:rsidRDefault="0043472E" w:rsidP="0043472E">
      <w:pPr>
        <w:pStyle w:val="QuestionNoBR"/>
        <w:spacing w:before="360"/>
        <w:rPr>
          <w:rFonts w:asciiTheme="majorBidi" w:hAnsiTheme="majorBidi" w:cstheme="majorBidi"/>
          <w:lang w:val="es-ES"/>
        </w:rPr>
      </w:pPr>
      <w:r w:rsidRPr="00BC367D">
        <w:rPr>
          <w:rFonts w:asciiTheme="majorBidi" w:hAnsiTheme="majorBidi" w:cstheme="majorBidi"/>
          <w:lang w:val="es-ES"/>
        </w:rPr>
        <w:t xml:space="preserve">cuestión UIT-R </w:t>
      </w:r>
      <w:r>
        <w:rPr>
          <w:rFonts w:asciiTheme="majorBidi" w:hAnsiTheme="majorBidi" w:cstheme="majorBidi"/>
          <w:lang w:val="es-ES"/>
        </w:rPr>
        <w:t>146</w:t>
      </w:r>
      <w:r w:rsidRPr="00BC367D">
        <w:rPr>
          <w:rFonts w:asciiTheme="majorBidi" w:hAnsiTheme="majorBidi" w:cstheme="majorBidi"/>
          <w:lang w:val="es-ES"/>
        </w:rPr>
        <w:t>/6</w:t>
      </w:r>
    </w:p>
    <w:p w14:paraId="121C9DF2" w14:textId="77777777" w:rsidR="0043472E" w:rsidRPr="00F17091" w:rsidRDefault="0043472E" w:rsidP="0043472E">
      <w:pPr>
        <w:pStyle w:val="Questiontitle"/>
        <w:rPr>
          <w:rFonts w:ascii="Times New Roman" w:hAnsi="Times New Roman"/>
          <w:lang w:val="es-ES"/>
        </w:rPr>
      </w:pPr>
      <w:r w:rsidRPr="00F17091">
        <w:rPr>
          <w:rFonts w:ascii="Times New Roman" w:hAnsi="Times New Roman"/>
          <w:lang w:val="es-ES"/>
        </w:rPr>
        <w:t>Requisitos de espectro para la radiodifusión terrenal</w:t>
      </w:r>
    </w:p>
    <w:p w14:paraId="6EE4107F" w14:textId="77777777" w:rsidR="0043472E" w:rsidRPr="00F17091" w:rsidRDefault="0043472E" w:rsidP="0043472E">
      <w:pPr>
        <w:pStyle w:val="Questiondate"/>
        <w:rPr>
          <w:i/>
          <w:iCs/>
          <w:lang w:val="es-ES"/>
        </w:rPr>
      </w:pPr>
      <w:r w:rsidRPr="00F17091">
        <w:rPr>
          <w:iCs/>
          <w:lang w:val="es-ES"/>
        </w:rPr>
        <w:t>(2019)</w:t>
      </w:r>
    </w:p>
    <w:p w14:paraId="3E59D232" w14:textId="77777777" w:rsidR="0043472E" w:rsidRPr="00AA05C1" w:rsidRDefault="0043472E" w:rsidP="0043472E">
      <w:pPr>
        <w:pStyle w:val="Normalaftertitle0"/>
        <w:spacing w:before="240"/>
        <w:rPr>
          <w:lang w:val="es-ES_tradnl"/>
        </w:rPr>
      </w:pPr>
      <w:r w:rsidRPr="00AA05C1">
        <w:rPr>
          <w:lang w:val="es-ES_tradnl"/>
        </w:rPr>
        <w:t>La Asamblea de Radiocomunicaciones de la UIT,</w:t>
      </w:r>
    </w:p>
    <w:p w14:paraId="16E19DF6" w14:textId="77777777" w:rsidR="0043472E" w:rsidRPr="00F17091" w:rsidRDefault="0043472E" w:rsidP="0043472E">
      <w:pPr>
        <w:pStyle w:val="Call"/>
        <w:rPr>
          <w:lang w:val="es-ES"/>
        </w:rPr>
      </w:pPr>
      <w:r w:rsidRPr="00F17091">
        <w:rPr>
          <w:lang w:val="es-ES"/>
        </w:rPr>
        <w:t>considerando</w:t>
      </w:r>
    </w:p>
    <w:p w14:paraId="68759904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a)</w:t>
      </w:r>
      <w:r w:rsidRPr="00F17091">
        <w:rPr>
          <w:lang w:val="es-ES"/>
        </w:rPr>
        <w:tab/>
        <w:t>que la radiodifusión terrenal se halla en proceso de transición de las emisiones analógicas a las emisiones digitales;</w:t>
      </w:r>
    </w:p>
    <w:p w14:paraId="027C2691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b)</w:t>
      </w:r>
      <w:r w:rsidRPr="00F17091">
        <w:rPr>
          <w:lang w:val="es-ES"/>
        </w:rPr>
        <w:tab/>
        <w:t>que la tecnología digital proporciona una capacidad de información total mayor que la tecnología analógica para una anchura de banda determinada;</w:t>
      </w:r>
    </w:p>
    <w:p w14:paraId="6FE042AB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c)</w:t>
      </w:r>
      <w:r w:rsidRPr="00F17091">
        <w:rPr>
          <w:lang w:val="es-ES"/>
        </w:rPr>
        <w:tab/>
        <w:t>que los formatos de emisión digital tienen requisitos de protección distintos de los establecidos para las emisiones analógicas;</w:t>
      </w:r>
    </w:p>
    <w:p w14:paraId="096A8A98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d)</w:t>
      </w:r>
      <w:r w:rsidRPr="00F17091">
        <w:rPr>
          <w:lang w:val="es-ES"/>
        </w:rPr>
        <w:tab/>
        <w:t>que las emisiones digitales ofrecen la oportunidad de introducir nuevas formas de radiodifusión, a saber:</w:t>
      </w:r>
    </w:p>
    <w:p w14:paraId="5753A5FC" w14:textId="77777777" w:rsidR="0043472E" w:rsidRPr="00F17091" w:rsidRDefault="0043472E" w:rsidP="007A3FBF">
      <w:pPr>
        <w:pStyle w:val="enumlev1"/>
        <w:spacing w:before="60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servicios de sonido e imagen de alta calidad;</w:t>
      </w:r>
    </w:p>
    <w:p w14:paraId="3F139A4D" w14:textId="77777777" w:rsidR="0043472E" w:rsidRPr="00F17091" w:rsidRDefault="0043472E" w:rsidP="007A3FBF">
      <w:pPr>
        <w:pStyle w:val="enumlev1"/>
        <w:spacing w:before="60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recepción portátil, móvil y fija;</w:t>
      </w:r>
    </w:p>
    <w:p w14:paraId="6E134912" w14:textId="77777777" w:rsidR="0043472E" w:rsidRPr="00F17091" w:rsidRDefault="0043472E" w:rsidP="007A3FBF">
      <w:pPr>
        <w:pStyle w:val="enumlev1"/>
        <w:spacing w:before="60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servicios de radiodifusión de datos;</w:t>
      </w:r>
    </w:p>
    <w:p w14:paraId="74E73438" w14:textId="77777777" w:rsidR="0043472E" w:rsidRPr="00F17091" w:rsidRDefault="0043472E" w:rsidP="007A3FBF">
      <w:pPr>
        <w:pStyle w:val="enumlev1"/>
        <w:spacing w:before="60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servicios de radiodifusión multimedios;</w:t>
      </w:r>
    </w:p>
    <w:p w14:paraId="64CB2BC6" w14:textId="77777777" w:rsidR="0043472E" w:rsidRPr="00F17091" w:rsidRDefault="0043472E" w:rsidP="007A3FBF">
      <w:pPr>
        <w:pStyle w:val="enumlev1"/>
        <w:spacing w:before="60"/>
        <w:jc w:val="both"/>
        <w:rPr>
          <w:lang w:val="es-ES"/>
        </w:rPr>
      </w:pPr>
      <w:r w:rsidRPr="00F17091">
        <w:rPr>
          <w:lang w:val="es-ES"/>
        </w:rPr>
        <w:t>–</w:t>
      </w:r>
      <w:r w:rsidRPr="00F17091">
        <w:rPr>
          <w:lang w:val="es-ES"/>
        </w:rPr>
        <w:tab/>
        <w:t>servicios de radiodifusión interactivos;</w:t>
      </w:r>
    </w:p>
    <w:p w14:paraId="615B2644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e)</w:t>
      </w:r>
      <w:r w:rsidRPr="00F17091">
        <w:rPr>
          <w:lang w:val="es-ES"/>
        </w:rPr>
        <w:tab/>
        <w:t>que hay un gran interés en maximizar la eficacia en la utilización del espectro de radiodifusión;</w:t>
      </w:r>
    </w:p>
    <w:p w14:paraId="00D7E8A8" w14:textId="77777777" w:rsidR="0043472E" w:rsidRPr="00F17091" w:rsidRDefault="0043472E" w:rsidP="007A3FBF">
      <w:pPr>
        <w:spacing w:before="140"/>
        <w:jc w:val="both"/>
        <w:rPr>
          <w:lang w:val="es-ES"/>
        </w:rPr>
      </w:pPr>
      <w:r w:rsidRPr="00F17091">
        <w:rPr>
          <w:i/>
          <w:iCs/>
          <w:lang w:val="es-ES"/>
        </w:rPr>
        <w:t>f)</w:t>
      </w:r>
      <w:r w:rsidRPr="00F17091">
        <w:rPr>
          <w:lang w:val="es-ES"/>
        </w:rPr>
        <w:tab/>
      </w:r>
      <w:proofErr w:type="gramStart"/>
      <w:r w:rsidRPr="00F17091">
        <w:rPr>
          <w:lang w:val="es-ES"/>
        </w:rPr>
        <w:t>que</w:t>
      </w:r>
      <w:proofErr w:type="gramEnd"/>
      <w:r w:rsidRPr="00F17091">
        <w:rPr>
          <w:lang w:val="es-ES"/>
        </w:rPr>
        <w:t xml:space="preserve"> durante el proceso de transición de la radiodifusión analógica a la digital y seguidamente de la radiodifusión digital a una nueva generación de radiodifusión, puede necesitarse una cantidad de espectro suficiente para ofrecer una duplicación completa de los servicios de radiodifusión establecidos,</w:t>
      </w:r>
    </w:p>
    <w:p w14:paraId="7605225C" w14:textId="77777777" w:rsidR="0043472E" w:rsidRPr="00F17091" w:rsidRDefault="0043472E" w:rsidP="0043472E">
      <w:pPr>
        <w:pStyle w:val="Call"/>
        <w:rPr>
          <w:lang w:val="es-ES"/>
        </w:rPr>
      </w:pPr>
      <w:r w:rsidRPr="00F17091">
        <w:rPr>
          <w:lang w:val="es-ES"/>
        </w:rPr>
        <w:t>decide</w:t>
      </w:r>
      <w:r w:rsidRPr="00F17091">
        <w:rPr>
          <w:i w:val="0"/>
          <w:iCs/>
          <w:lang w:val="es-ES"/>
        </w:rPr>
        <w:t xml:space="preserve"> poner a estudio las siguientes Cuestiones</w:t>
      </w:r>
    </w:p>
    <w:p w14:paraId="3E041F81" w14:textId="77777777" w:rsidR="0043472E" w:rsidRPr="00F52F27" w:rsidRDefault="0043472E" w:rsidP="007A3FBF">
      <w:pPr>
        <w:spacing w:before="140"/>
        <w:jc w:val="both"/>
        <w:rPr>
          <w:lang w:val="es-ES"/>
        </w:rPr>
      </w:pPr>
      <w:r w:rsidRPr="00F52F27">
        <w:rPr>
          <w:lang w:val="es-ES"/>
        </w:rPr>
        <w:t>1</w:t>
      </w:r>
      <w:r w:rsidRPr="00F52F27">
        <w:rPr>
          <w:lang w:val="es-ES"/>
        </w:rPr>
        <w:tab/>
        <w:t>¿Cuál es la demanda de espectro prevista para las aplicaciones de radiodifusión terrenal durante la fase de transición a la radiodifusión digital y de nueva generación y después de dicha fase de transición, teniendo en cuenta el servicio actual y los nuevos tipos de servicio?</w:t>
      </w:r>
    </w:p>
    <w:p w14:paraId="3F397573" w14:textId="77777777" w:rsidR="0043472E" w:rsidRPr="00F52F27" w:rsidRDefault="0043472E" w:rsidP="007A3FBF">
      <w:pPr>
        <w:spacing w:before="140"/>
        <w:jc w:val="both"/>
        <w:rPr>
          <w:lang w:val="es-ES"/>
        </w:rPr>
      </w:pPr>
      <w:r w:rsidRPr="00F52F27">
        <w:rPr>
          <w:lang w:val="es-ES"/>
        </w:rPr>
        <w:t>2</w:t>
      </w:r>
      <w:r w:rsidRPr="00F52F27">
        <w:rPr>
          <w:lang w:val="es-ES"/>
        </w:rPr>
        <w:tab/>
        <w:t>¿Qué criterios deben establecerse para proteger los servicios de radiodifusión terrenal frente a otros servicios de radiocomunicaciones que puedan considerarse para la utilización compartida de las bandas?</w:t>
      </w:r>
    </w:p>
    <w:p w14:paraId="1A5B9199" w14:textId="77777777" w:rsidR="0043472E" w:rsidRPr="00F17091" w:rsidRDefault="0043472E" w:rsidP="0043472E">
      <w:pPr>
        <w:pStyle w:val="Call"/>
        <w:rPr>
          <w:lang w:val="es-ES"/>
        </w:rPr>
      </w:pPr>
      <w:r w:rsidRPr="00F17091">
        <w:rPr>
          <w:lang w:val="es-ES"/>
        </w:rPr>
        <w:t>decide también</w:t>
      </w:r>
    </w:p>
    <w:p w14:paraId="45ED65BC" w14:textId="77777777" w:rsidR="0043472E" w:rsidRPr="00F52F27" w:rsidRDefault="0043472E" w:rsidP="007A3FBF">
      <w:pPr>
        <w:spacing w:before="140"/>
        <w:jc w:val="both"/>
        <w:rPr>
          <w:lang w:val="es-ES"/>
        </w:rPr>
      </w:pPr>
      <w:r w:rsidRPr="00F52F27">
        <w:rPr>
          <w:lang w:val="es-ES"/>
        </w:rPr>
        <w:t>1</w:t>
      </w:r>
      <w:r w:rsidRPr="00F52F27">
        <w:rPr>
          <w:lang w:val="es-ES"/>
        </w:rPr>
        <w:tab/>
        <w:t>que los resultados de los estudios mencionados se incluyan en una o varias Recomendaciones;</w:t>
      </w:r>
    </w:p>
    <w:p w14:paraId="3F64BE41" w14:textId="21E31922" w:rsidR="0043472E" w:rsidRPr="00F52F27" w:rsidRDefault="0043472E" w:rsidP="0043472E">
      <w:pPr>
        <w:spacing w:before="140"/>
        <w:rPr>
          <w:lang w:val="es-ES"/>
        </w:rPr>
      </w:pPr>
      <w:r w:rsidRPr="00F52F27">
        <w:rPr>
          <w:lang w:val="es-ES"/>
        </w:rPr>
        <w:t>2</w:t>
      </w:r>
      <w:r w:rsidRPr="00F52F27">
        <w:rPr>
          <w:lang w:val="es-ES"/>
        </w:rPr>
        <w:tab/>
        <w:t>que esos estudios se terminen en 202</w:t>
      </w:r>
      <w:r>
        <w:rPr>
          <w:lang w:val="es-ES"/>
        </w:rPr>
        <w:t>7</w:t>
      </w:r>
      <w:r w:rsidRPr="00F52F27">
        <w:rPr>
          <w:lang w:val="es-ES"/>
        </w:rPr>
        <w:t>.</w:t>
      </w:r>
    </w:p>
    <w:p w14:paraId="16E39F1B" w14:textId="77777777" w:rsidR="0043472E" w:rsidRPr="00F17091" w:rsidRDefault="0043472E" w:rsidP="0043472E">
      <w:pPr>
        <w:spacing w:before="360"/>
        <w:rPr>
          <w:lang w:val="es-ES"/>
        </w:rPr>
      </w:pPr>
      <w:r w:rsidRPr="00F17091">
        <w:rPr>
          <w:lang w:val="es-ES"/>
        </w:rPr>
        <w:t>Categoría:</w:t>
      </w:r>
      <w:r w:rsidRPr="00F17091">
        <w:rPr>
          <w:lang w:val="es-ES"/>
        </w:rPr>
        <w:tab/>
        <w:t>S1</w:t>
      </w:r>
    </w:p>
    <w:sectPr w:rsidR="0043472E" w:rsidRPr="00F17091" w:rsidSect="0043472E">
      <w:headerReference w:type="default" r:id="rId7"/>
      <w:pgSz w:w="11907" w:h="16834"/>
      <w:pgMar w:top="1134" w:right="1134" w:bottom="993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75D61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754A1"/>
    <w:rsid w:val="002845C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3472E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A3FBF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5776C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95B3A"/>
    <w:rsid w:val="00AD2345"/>
    <w:rsid w:val="00AF173A"/>
    <w:rsid w:val="00B024F4"/>
    <w:rsid w:val="00B066A4"/>
    <w:rsid w:val="00B07A13"/>
    <w:rsid w:val="00B4279B"/>
    <w:rsid w:val="00B43178"/>
    <w:rsid w:val="00B45FC9"/>
    <w:rsid w:val="00B47D1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80A65"/>
    <w:rsid w:val="00DB178B"/>
    <w:rsid w:val="00DC17D3"/>
    <w:rsid w:val="00DD14F4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0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character" w:customStyle="1" w:styleId="NormalaftertitleChar0">
    <w:name w:val="Normal after title Char"/>
    <w:basedOn w:val="DefaultParagraphFont"/>
    <w:link w:val="Normalaftertitle0"/>
    <w:rsid w:val="00DD14F4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3472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462B-841C-4ED4-883E-7B8571C4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290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Author</cp:lastModifiedBy>
  <cp:revision>6</cp:revision>
  <cp:lastPrinted>2008-02-21T14:04:00Z</cp:lastPrinted>
  <dcterms:created xsi:type="dcterms:W3CDTF">2024-01-09T14:06:00Z</dcterms:created>
  <dcterms:modified xsi:type="dcterms:W3CDTF">2024-01-26T13:07:00Z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