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99E3" w14:textId="30B87F4E" w:rsidR="00A35392" w:rsidRPr="00915979" w:rsidRDefault="00A35392" w:rsidP="00A35392">
      <w:pPr>
        <w:pStyle w:val="QuestionNoBR"/>
        <w:rPr>
          <w:rFonts w:asciiTheme="majorBidi" w:hAnsiTheme="majorBidi" w:cstheme="majorBidi"/>
          <w:szCs w:val="28"/>
          <w:lang w:val="es-ES"/>
        </w:rPr>
      </w:pPr>
      <w:r w:rsidRPr="00915979">
        <w:rPr>
          <w:rFonts w:asciiTheme="majorBidi" w:hAnsiTheme="majorBidi" w:cstheme="majorBidi"/>
          <w:szCs w:val="28"/>
          <w:lang w:val="es-ES"/>
        </w:rPr>
        <w:t>cuestión UIT-R 142-3/6</w:t>
      </w:r>
      <w:r w:rsidR="00A66866" w:rsidRPr="00A66866">
        <w:rPr>
          <w:rStyle w:val="FootnoteReference"/>
          <w:rFonts w:asciiTheme="majorBidi" w:hAnsiTheme="majorBidi" w:cstheme="majorBidi"/>
          <w:szCs w:val="28"/>
          <w:lang w:val="es-ES"/>
        </w:rPr>
        <w:footnoteReference w:customMarkFollows="1" w:id="1"/>
        <w:sym w:font="Symbol" w:char="F02A"/>
      </w:r>
    </w:p>
    <w:p w14:paraId="4E254C44" w14:textId="77777777" w:rsidR="00A35392" w:rsidRPr="00915979" w:rsidRDefault="00A35392" w:rsidP="00A35392">
      <w:pPr>
        <w:pStyle w:val="Questiontitle"/>
        <w:rPr>
          <w:rFonts w:asciiTheme="majorBidi" w:hAnsiTheme="majorBidi" w:cstheme="majorBidi"/>
          <w:szCs w:val="28"/>
          <w:lang w:val="es-ES"/>
        </w:rPr>
      </w:pPr>
      <w:r w:rsidRPr="00915979">
        <w:rPr>
          <w:rFonts w:asciiTheme="majorBidi" w:hAnsiTheme="majorBidi" w:cstheme="majorBidi"/>
          <w:szCs w:val="28"/>
          <w:lang w:val="es-ES"/>
        </w:rPr>
        <w:t>Televisión de elevada gama dinámica para radiodifusión</w:t>
      </w:r>
    </w:p>
    <w:p w14:paraId="07EBAC64" w14:textId="77777777" w:rsidR="00A35392" w:rsidRPr="00915979" w:rsidRDefault="00A35392" w:rsidP="00A35392">
      <w:pPr>
        <w:keepNext/>
        <w:keepLines/>
        <w:tabs>
          <w:tab w:val="clear" w:pos="794"/>
          <w:tab w:val="clear" w:pos="1191"/>
          <w:tab w:val="clear" w:pos="1588"/>
          <w:tab w:val="clear" w:pos="1985"/>
        </w:tabs>
        <w:spacing w:before="120"/>
        <w:jc w:val="right"/>
        <w:rPr>
          <w:rFonts w:asciiTheme="majorBidi" w:hAnsiTheme="majorBidi" w:cstheme="majorBidi"/>
          <w:iCs/>
          <w:sz w:val="24"/>
          <w:szCs w:val="28"/>
          <w:lang w:val="es-ES"/>
        </w:rPr>
      </w:pPr>
      <w:r w:rsidRPr="00915979">
        <w:rPr>
          <w:rFonts w:asciiTheme="majorBidi" w:hAnsiTheme="majorBidi" w:cstheme="majorBidi"/>
          <w:iCs/>
          <w:sz w:val="24"/>
          <w:szCs w:val="28"/>
          <w:lang w:val="es-ES"/>
        </w:rPr>
        <w:t>(2015-2016-2017-2019)</w:t>
      </w:r>
    </w:p>
    <w:p w14:paraId="77412A14" w14:textId="77777777" w:rsidR="00A35392" w:rsidRPr="00915979" w:rsidRDefault="00A35392" w:rsidP="00A35392">
      <w:pPr>
        <w:spacing w:before="360"/>
        <w:rPr>
          <w:rFonts w:asciiTheme="majorBidi" w:hAnsiTheme="majorBidi" w:cstheme="majorBidi"/>
          <w:sz w:val="24"/>
          <w:szCs w:val="28"/>
          <w:lang w:val="es-ES"/>
        </w:rPr>
      </w:pPr>
      <w:r w:rsidRPr="00915979">
        <w:rPr>
          <w:rFonts w:asciiTheme="majorBidi" w:hAnsiTheme="majorBidi" w:cstheme="majorBidi"/>
          <w:sz w:val="24"/>
          <w:szCs w:val="28"/>
          <w:lang w:val="es-ES"/>
        </w:rPr>
        <w:t>La Asamblea de Radiocomunicaciones de la UIT,</w:t>
      </w:r>
    </w:p>
    <w:p w14:paraId="19F8327C" w14:textId="77777777" w:rsidR="00A35392" w:rsidRPr="00915979" w:rsidRDefault="00A35392" w:rsidP="00A35392">
      <w:pPr>
        <w:keepNext/>
        <w:keepLines/>
        <w:ind w:left="794"/>
        <w:rPr>
          <w:rFonts w:asciiTheme="majorBidi" w:hAnsiTheme="majorBidi" w:cstheme="majorBidi"/>
          <w:i/>
          <w:sz w:val="24"/>
          <w:szCs w:val="28"/>
          <w:lang w:val="es-ES"/>
        </w:rPr>
      </w:pPr>
      <w:r w:rsidRPr="00915979">
        <w:rPr>
          <w:rFonts w:asciiTheme="majorBidi" w:hAnsiTheme="majorBidi" w:cstheme="majorBidi"/>
          <w:i/>
          <w:sz w:val="24"/>
          <w:szCs w:val="28"/>
          <w:lang w:val="es-ES"/>
        </w:rPr>
        <w:t>considerando</w:t>
      </w:r>
    </w:p>
    <w:p w14:paraId="61B58434" w14:textId="77777777" w:rsidR="00A35392" w:rsidRPr="00915979" w:rsidRDefault="00A35392" w:rsidP="00A35392">
      <w:pPr>
        <w:spacing w:before="120"/>
        <w:rPr>
          <w:rFonts w:asciiTheme="majorBidi" w:hAnsiTheme="majorBidi" w:cstheme="majorBidi"/>
          <w:sz w:val="24"/>
          <w:szCs w:val="28"/>
          <w:lang w:val="es-ES"/>
        </w:rPr>
      </w:pPr>
      <w:r w:rsidRPr="00915979">
        <w:rPr>
          <w:rFonts w:asciiTheme="majorBidi" w:hAnsiTheme="majorBidi" w:cstheme="majorBidi"/>
          <w:i/>
          <w:iCs/>
          <w:sz w:val="24"/>
          <w:szCs w:val="28"/>
          <w:lang w:val="es-ES"/>
        </w:rPr>
        <w:t>a)</w:t>
      </w:r>
      <w:r w:rsidRPr="00915979">
        <w:rPr>
          <w:rFonts w:asciiTheme="majorBidi" w:hAnsiTheme="majorBidi" w:cstheme="majorBidi"/>
          <w:i/>
          <w:iCs/>
          <w:sz w:val="24"/>
          <w:szCs w:val="28"/>
          <w:lang w:val="es-ES"/>
        </w:rPr>
        <w:tab/>
      </w:r>
      <w:r w:rsidRPr="00915979">
        <w:rPr>
          <w:rFonts w:asciiTheme="majorBidi" w:hAnsiTheme="majorBidi" w:cstheme="majorBidi"/>
          <w:sz w:val="24"/>
          <w:szCs w:val="28"/>
          <w:lang w:val="es-ES"/>
        </w:rPr>
        <w:t xml:space="preserve">que los formatos de imagen de la televisión de elevada gama dinámica </w:t>
      </w:r>
      <w:r w:rsidRPr="00915979">
        <w:rPr>
          <w:rFonts w:asciiTheme="majorBidi" w:hAnsiTheme="majorBidi" w:cstheme="majorBidi"/>
          <w:color w:val="000000"/>
          <w:sz w:val="24"/>
          <w:szCs w:val="28"/>
          <w:lang w:val="es-ES"/>
        </w:rPr>
        <w:t>(HDR-TV) se especifican en la Recomendación U</w:t>
      </w:r>
      <w:r w:rsidRPr="00915979">
        <w:rPr>
          <w:rFonts w:asciiTheme="majorBidi" w:hAnsiTheme="majorBidi" w:cstheme="majorBidi"/>
          <w:sz w:val="24"/>
          <w:szCs w:val="28"/>
          <w:lang w:val="es-ES" w:eastAsia="ja-JP"/>
        </w:rPr>
        <w:t>IT-R BT.2100;</w:t>
      </w:r>
    </w:p>
    <w:p w14:paraId="0B9DB1D6" w14:textId="77777777" w:rsidR="00A35392" w:rsidRPr="00915979" w:rsidRDefault="00A35392" w:rsidP="00A35392">
      <w:pPr>
        <w:spacing w:before="120"/>
        <w:rPr>
          <w:rFonts w:asciiTheme="majorBidi" w:hAnsiTheme="majorBidi" w:cstheme="majorBidi"/>
          <w:sz w:val="24"/>
          <w:szCs w:val="28"/>
          <w:lang w:val="es-ES"/>
        </w:rPr>
      </w:pPr>
      <w:r w:rsidRPr="00915979">
        <w:rPr>
          <w:rFonts w:asciiTheme="majorBidi" w:hAnsiTheme="majorBidi" w:cstheme="majorBidi"/>
          <w:i/>
          <w:iCs/>
          <w:sz w:val="24"/>
          <w:szCs w:val="28"/>
          <w:lang w:val="es-ES"/>
        </w:rPr>
        <w:t>b)</w:t>
      </w:r>
      <w:r w:rsidRPr="00915979">
        <w:rPr>
          <w:rFonts w:asciiTheme="majorBidi" w:hAnsiTheme="majorBidi" w:cstheme="majorBidi"/>
          <w:sz w:val="24"/>
          <w:szCs w:val="28"/>
          <w:lang w:val="es-ES"/>
        </w:rPr>
        <w:tab/>
        <w:t>que los formatos de imagen de televisión digital con gama dinámica convencional (SDR) para la televisión de definición normal (</w:t>
      </w:r>
      <w:r w:rsidRPr="00915979">
        <w:rPr>
          <w:rFonts w:asciiTheme="majorBidi" w:hAnsiTheme="majorBidi" w:cstheme="majorBidi"/>
          <w:sz w:val="24"/>
          <w:szCs w:val="28"/>
          <w:lang w:val="es-ES" w:eastAsia="ko-KR"/>
        </w:rPr>
        <w:t>TVDN), televisión de alta definición (TVAD) y televisión de ultra alta definición (TVUAD) se especifican en las Recomendaciones UIT-R BT.601, BT.709 y BT.2020</w:t>
      </w:r>
      <w:r w:rsidRPr="00915979">
        <w:rPr>
          <w:rFonts w:asciiTheme="majorBidi" w:hAnsiTheme="majorBidi" w:cstheme="majorBidi"/>
          <w:sz w:val="24"/>
          <w:szCs w:val="28"/>
          <w:lang w:val="es-ES"/>
        </w:rPr>
        <w:t>;</w:t>
      </w:r>
    </w:p>
    <w:p w14:paraId="3BBC0448" w14:textId="77777777" w:rsidR="00A35392" w:rsidRPr="00915979" w:rsidRDefault="00A35392" w:rsidP="00A35392">
      <w:pPr>
        <w:spacing w:before="120"/>
        <w:rPr>
          <w:rFonts w:asciiTheme="majorBidi" w:hAnsiTheme="majorBidi" w:cstheme="majorBidi"/>
          <w:sz w:val="24"/>
          <w:szCs w:val="28"/>
          <w:lang w:val="es-ES"/>
        </w:rPr>
      </w:pPr>
      <w:r w:rsidRPr="00915979">
        <w:rPr>
          <w:rFonts w:asciiTheme="majorBidi" w:hAnsiTheme="majorBidi" w:cstheme="majorBidi"/>
          <w:i/>
          <w:iCs/>
          <w:sz w:val="24"/>
          <w:szCs w:val="28"/>
          <w:lang w:val="es-ES"/>
        </w:rPr>
        <w:t>c)</w:t>
      </w:r>
      <w:r w:rsidRPr="00915979">
        <w:rPr>
          <w:rFonts w:asciiTheme="majorBidi" w:hAnsiTheme="majorBidi" w:cstheme="majorBidi"/>
          <w:sz w:val="24"/>
          <w:szCs w:val="28"/>
          <w:lang w:val="es-ES"/>
        </w:rPr>
        <w:tab/>
        <w:t>que, en la Parte 1 de la Recomendación UIT-R BT.500 se facilitan las condiciones generales de observación para la evaluación subjetiva de imágenes tanto en laboratorio como en entornos del hogar;</w:t>
      </w:r>
    </w:p>
    <w:p w14:paraId="36FD1812" w14:textId="77777777" w:rsidR="00A35392" w:rsidRPr="00915979" w:rsidRDefault="00A35392" w:rsidP="00A35392">
      <w:pPr>
        <w:spacing w:before="120"/>
        <w:rPr>
          <w:rFonts w:asciiTheme="majorBidi" w:eastAsia="MS Mincho" w:hAnsiTheme="majorBidi" w:cstheme="majorBidi"/>
          <w:sz w:val="24"/>
          <w:szCs w:val="28"/>
          <w:lang w:val="es-ES"/>
        </w:rPr>
      </w:pPr>
      <w:r w:rsidRPr="00915979">
        <w:rPr>
          <w:rFonts w:asciiTheme="majorBidi" w:hAnsiTheme="majorBidi" w:cstheme="majorBidi"/>
          <w:i/>
          <w:iCs/>
          <w:sz w:val="24"/>
          <w:szCs w:val="28"/>
          <w:lang w:val="es-ES" w:eastAsia="zh-CN"/>
        </w:rPr>
        <w:t>d)</w:t>
      </w:r>
      <w:r w:rsidRPr="00915979">
        <w:rPr>
          <w:rFonts w:asciiTheme="majorBidi" w:hAnsiTheme="majorBidi" w:cstheme="majorBidi"/>
          <w:i/>
          <w:iCs/>
          <w:sz w:val="24"/>
          <w:szCs w:val="28"/>
          <w:lang w:val="es-ES" w:eastAsia="zh-CN"/>
        </w:rPr>
        <w:tab/>
      </w:r>
      <w:r w:rsidRPr="00915979">
        <w:rPr>
          <w:rFonts w:asciiTheme="majorBidi" w:eastAsia="MS Mincho" w:hAnsiTheme="majorBidi" w:cstheme="majorBidi"/>
          <w:sz w:val="24"/>
          <w:szCs w:val="28"/>
          <w:lang w:val="es-ES"/>
        </w:rPr>
        <w:t>que las pantallas de televisión modernas son capaces de reproducir imágenes a mayores luminancias y mayor relación de contraste y una gama de colores más amplia (WCG) que los utilizados en la producción de programas convencional;</w:t>
      </w:r>
    </w:p>
    <w:p w14:paraId="2691432E" w14:textId="77777777" w:rsidR="00A35392" w:rsidRPr="00915979" w:rsidRDefault="00A35392" w:rsidP="00A35392">
      <w:pPr>
        <w:spacing w:before="120"/>
        <w:rPr>
          <w:rFonts w:asciiTheme="majorBidi" w:hAnsiTheme="majorBidi" w:cstheme="majorBidi"/>
          <w:sz w:val="24"/>
          <w:szCs w:val="28"/>
          <w:lang w:val="es-ES"/>
        </w:rPr>
      </w:pPr>
      <w:r w:rsidRPr="00915979">
        <w:rPr>
          <w:rFonts w:asciiTheme="majorBidi" w:hAnsiTheme="majorBidi" w:cstheme="majorBidi"/>
          <w:i/>
          <w:sz w:val="24"/>
          <w:szCs w:val="28"/>
          <w:lang w:val="es-ES" w:eastAsia="zh-CN"/>
        </w:rPr>
        <w:t>e)</w:t>
      </w:r>
      <w:r w:rsidRPr="00915979">
        <w:rPr>
          <w:rFonts w:asciiTheme="majorBidi" w:hAnsiTheme="majorBidi" w:cstheme="majorBidi"/>
          <w:i/>
          <w:sz w:val="24"/>
          <w:szCs w:val="28"/>
          <w:lang w:val="es-ES" w:eastAsia="zh-CN"/>
        </w:rPr>
        <w:tab/>
      </w:r>
      <w:r w:rsidRPr="00915979">
        <w:rPr>
          <w:rFonts w:asciiTheme="majorBidi" w:hAnsiTheme="majorBidi" w:cstheme="majorBidi"/>
          <w:sz w:val="24"/>
          <w:szCs w:val="28"/>
          <w:lang w:val="es-ES" w:eastAsia="zh-CN"/>
        </w:rPr>
        <w:t>que la HDR-TV se ha concebido para reproducir imágenes de luminancia considerablemente más grande y mayor relación de contraste;</w:t>
      </w:r>
    </w:p>
    <w:p w14:paraId="2DCB10FB" w14:textId="77777777" w:rsidR="00A35392" w:rsidRPr="00915979" w:rsidRDefault="00A35392" w:rsidP="00A35392">
      <w:pPr>
        <w:spacing w:before="120"/>
        <w:rPr>
          <w:rFonts w:asciiTheme="majorBidi" w:hAnsiTheme="majorBidi" w:cstheme="majorBidi"/>
          <w:sz w:val="24"/>
          <w:szCs w:val="28"/>
          <w:lang w:val="es-ES" w:eastAsia="zh-CN"/>
        </w:rPr>
      </w:pPr>
      <w:r w:rsidRPr="00915979">
        <w:rPr>
          <w:rFonts w:asciiTheme="majorBidi" w:hAnsiTheme="majorBidi" w:cstheme="majorBidi"/>
          <w:i/>
          <w:sz w:val="24"/>
          <w:szCs w:val="28"/>
          <w:lang w:val="es-ES" w:eastAsia="zh-CN"/>
        </w:rPr>
        <w:t>f)</w:t>
      </w:r>
      <w:r w:rsidRPr="00915979">
        <w:rPr>
          <w:rFonts w:asciiTheme="majorBidi" w:hAnsiTheme="majorBidi" w:cstheme="majorBidi"/>
          <w:i/>
          <w:sz w:val="24"/>
          <w:szCs w:val="28"/>
          <w:lang w:val="es-ES" w:eastAsia="zh-CN"/>
        </w:rPr>
        <w:tab/>
      </w:r>
      <w:r w:rsidRPr="00915979">
        <w:rPr>
          <w:rFonts w:asciiTheme="majorBidi" w:hAnsiTheme="majorBidi" w:cstheme="majorBidi"/>
          <w:sz w:val="24"/>
          <w:szCs w:val="28"/>
          <w:lang w:val="es-ES" w:eastAsia="zh-CN"/>
        </w:rPr>
        <w:t xml:space="preserve">que muchos programas de televisión se seguirán produciendo e intercambiando en la gama dinámica de imagen normal de TVDN, TVAD y TVUAD, mientras que el contenido SDR y HDR se intercalará en la producción de programas y en la </w:t>
      </w:r>
      <w:r w:rsidRPr="00915979">
        <w:rPr>
          <w:rFonts w:asciiTheme="majorBidi" w:hAnsiTheme="majorBidi" w:cstheme="majorBidi"/>
          <w:color w:val="000000"/>
          <w:sz w:val="24"/>
          <w:szCs w:val="28"/>
          <w:lang w:val="es-ES"/>
        </w:rPr>
        <w:t>reproducción de programas de radiodifusión</w:t>
      </w:r>
      <w:r w:rsidRPr="00915979">
        <w:rPr>
          <w:rFonts w:asciiTheme="majorBidi" w:hAnsiTheme="majorBidi" w:cstheme="majorBidi"/>
          <w:sz w:val="24"/>
          <w:szCs w:val="28"/>
          <w:lang w:val="es-ES" w:eastAsia="zh-CN"/>
        </w:rPr>
        <w:t>;</w:t>
      </w:r>
    </w:p>
    <w:p w14:paraId="62573BC8" w14:textId="77777777" w:rsidR="00A35392" w:rsidRPr="00915979" w:rsidRDefault="00A35392" w:rsidP="00A35392">
      <w:pPr>
        <w:spacing w:before="120"/>
        <w:rPr>
          <w:rFonts w:asciiTheme="majorBidi" w:hAnsiTheme="majorBidi" w:cstheme="majorBidi"/>
          <w:sz w:val="24"/>
          <w:szCs w:val="28"/>
          <w:lang w:val="es-ES" w:eastAsia="zh-CN"/>
        </w:rPr>
      </w:pPr>
      <w:r w:rsidRPr="00915979">
        <w:rPr>
          <w:rFonts w:asciiTheme="majorBidi" w:hAnsiTheme="majorBidi" w:cstheme="majorBidi"/>
          <w:i/>
          <w:iCs/>
          <w:sz w:val="24"/>
          <w:szCs w:val="28"/>
          <w:lang w:val="es-ES" w:eastAsia="zh-CN"/>
        </w:rPr>
        <w:t>g)</w:t>
      </w:r>
      <w:r w:rsidRPr="00915979">
        <w:rPr>
          <w:rFonts w:asciiTheme="majorBidi" w:hAnsiTheme="majorBidi" w:cstheme="majorBidi"/>
          <w:sz w:val="24"/>
          <w:szCs w:val="28"/>
          <w:lang w:val="es-ES" w:eastAsia="zh-CN"/>
        </w:rPr>
        <w:tab/>
        <w:t>que, durante algunos años, muchos programas de televisión difundidos en HDR-TV se visionarán en numerosas pantallas de televisión antiguas de los consumidores que sólo son capaces de</w:t>
      </w:r>
      <w:r w:rsidRPr="00915979">
        <w:rPr>
          <w:rFonts w:asciiTheme="majorBidi" w:hAnsiTheme="majorBidi" w:cstheme="majorBidi"/>
          <w:sz w:val="24"/>
          <w:szCs w:val="28"/>
          <w:lang w:val="es-ES"/>
        </w:rPr>
        <w:t xml:space="preserve"> </w:t>
      </w:r>
      <w:r w:rsidRPr="00915979">
        <w:rPr>
          <w:rFonts w:asciiTheme="majorBidi" w:hAnsiTheme="majorBidi" w:cstheme="majorBidi"/>
          <w:sz w:val="24"/>
          <w:szCs w:val="28"/>
          <w:lang w:val="es-ES" w:eastAsia="zh-CN"/>
        </w:rPr>
        <w:t>mostrar imágenes en SDR;</w:t>
      </w:r>
    </w:p>
    <w:p w14:paraId="479D5640" w14:textId="77777777" w:rsidR="00A35392" w:rsidRPr="00915979" w:rsidRDefault="00A35392" w:rsidP="00A35392">
      <w:pPr>
        <w:spacing w:before="120"/>
        <w:rPr>
          <w:rFonts w:asciiTheme="majorBidi" w:hAnsiTheme="majorBidi" w:cstheme="majorBidi"/>
          <w:sz w:val="24"/>
          <w:szCs w:val="28"/>
          <w:lang w:val="es-ES" w:eastAsia="zh-CN"/>
        </w:rPr>
      </w:pPr>
      <w:r w:rsidRPr="00915979">
        <w:rPr>
          <w:rFonts w:asciiTheme="majorBidi" w:hAnsiTheme="majorBidi" w:cstheme="majorBidi"/>
          <w:i/>
          <w:sz w:val="24"/>
          <w:szCs w:val="28"/>
          <w:lang w:val="es-ES" w:eastAsia="zh-CN"/>
        </w:rPr>
        <w:t>h)</w:t>
      </w:r>
      <w:r w:rsidRPr="00915979">
        <w:rPr>
          <w:rFonts w:asciiTheme="majorBidi" w:hAnsiTheme="majorBidi" w:cstheme="majorBidi"/>
          <w:sz w:val="24"/>
          <w:szCs w:val="28"/>
          <w:lang w:val="es-ES" w:eastAsia="zh-CN"/>
        </w:rPr>
        <w:tab/>
        <w:t>que conviene que la HDR-TV tenga, según proceda, mayor compatibilidad con los actuales flujos de trabajo existentes y la infraestructura del radiodifusor, así como con las pantallas SDR;</w:t>
      </w:r>
    </w:p>
    <w:p w14:paraId="7A02B2FB" w14:textId="77777777" w:rsidR="00A35392" w:rsidRPr="00915979" w:rsidRDefault="00A35392" w:rsidP="00A35392">
      <w:pPr>
        <w:spacing w:before="120"/>
        <w:rPr>
          <w:rFonts w:asciiTheme="majorBidi" w:hAnsiTheme="majorBidi" w:cstheme="majorBidi"/>
          <w:sz w:val="24"/>
          <w:szCs w:val="28"/>
          <w:lang w:val="es-ES" w:eastAsia="zh-CN"/>
        </w:rPr>
      </w:pPr>
      <w:r w:rsidRPr="00915979">
        <w:rPr>
          <w:rFonts w:asciiTheme="majorBidi" w:hAnsiTheme="majorBidi" w:cstheme="majorBidi"/>
          <w:i/>
          <w:iCs/>
          <w:sz w:val="24"/>
          <w:szCs w:val="28"/>
          <w:lang w:val="es-ES" w:eastAsia="zh-CN"/>
        </w:rPr>
        <w:t>i)</w:t>
      </w:r>
      <w:r w:rsidRPr="00915979">
        <w:rPr>
          <w:rFonts w:asciiTheme="majorBidi" w:hAnsiTheme="majorBidi" w:cstheme="majorBidi"/>
          <w:sz w:val="24"/>
          <w:szCs w:val="28"/>
          <w:lang w:val="es-ES" w:eastAsia="zh-CN"/>
        </w:rPr>
        <w:tab/>
        <w:t xml:space="preserve">que se han de prever prácticas creativas de producción de HDR-TV a fin de no producir efectos negativos, tales como la fatiga o incomodidad visual cuando se visualizan durante un periodo de tiempo prolongado, </w:t>
      </w:r>
    </w:p>
    <w:p w14:paraId="5499504D" w14:textId="77777777" w:rsidR="00A35392" w:rsidRPr="00915979" w:rsidRDefault="00A35392" w:rsidP="00A35392">
      <w:pPr>
        <w:tabs>
          <w:tab w:val="clear" w:pos="794"/>
          <w:tab w:val="clear" w:pos="1191"/>
          <w:tab w:val="clear" w:pos="1588"/>
          <w:tab w:val="clear" w:pos="1985"/>
        </w:tabs>
        <w:overflowPunct/>
        <w:autoSpaceDE/>
        <w:autoSpaceDN/>
        <w:adjustRightInd/>
        <w:spacing w:before="0" w:line="240" w:lineRule="auto"/>
        <w:jc w:val="left"/>
        <w:textAlignment w:val="auto"/>
        <w:rPr>
          <w:rFonts w:asciiTheme="majorBidi" w:hAnsiTheme="majorBidi" w:cstheme="majorBidi"/>
          <w:i/>
          <w:sz w:val="24"/>
          <w:szCs w:val="28"/>
          <w:lang w:val="es-ES"/>
        </w:rPr>
      </w:pPr>
      <w:r w:rsidRPr="00915979">
        <w:rPr>
          <w:rFonts w:asciiTheme="majorBidi" w:hAnsiTheme="majorBidi" w:cstheme="majorBidi"/>
          <w:i/>
          <w:sz w:val="24"/>
          <w:szCs w:val="28"/>
          <w:lang w:val="es-ES"/>
        </w:rPr>
        <w:br w:type="page"/>
      </w:r>
    </w:p>
    <w:p w14:paraId="18AA8366" w14:textId="77777777" w:rsidR="00A35392" w:rsidRPr="00915979" w:rsidRDefault="00A35392" w:rsidP="00A35392">
      <w:pPr>
        <w:keepNext/>
        <w:keepLines/>
        <w:ind w:left="794"/>
        <w:rPr>
          <w:rFonts w:asciiTheme="majorBidi" w:hAnsiTheme="majorBidi" w:cstheme="majorBidi"/>
          <w:i/>
          <w:sz w:val="24"/>
          <w:szCs w:val="28"/>
          <w:lang w:val="es-ES"/>
        </w:rPr>
      </w:pPr>
      <w:r w:rsidRPr="00915979">
        <w:rPr>
          <w:rFonts w:asciiTheme="majorBidi" w:hAnsiTheme="majorBidi" w:cstheme="majorBidi"/>
          <w:i/>
          <w:sz w:val="24"/>
          <w:szCs w:val="28"/>
          <w:lang w:val="es-ES"/>
        </w:rPr>
        <w:lastRenderedPageBreak/>
        <w:t xml:space="preserve">decide </w:t>
      </w:r>
      <w:r w:rsidRPr="00915979">
        <w:rPr>
          <w:rFonts w:asciiTheme="majorBidi" w:hAnsiTheme="majorBidi" w:cstheme="majorBidi"/>
          <w:iCs/>
          <w:sz w:val="24"/>
          <w:szCs w:val="28"/>
          <w:lang w:val="es-ES"/>
        </w:rPr>
        <w:t>que se estudien las siguientes cuestiones</w:t>
      </w:r>
    </w:p>
    <w:p w14:paraId="607FA955" w14:textId="77777777" w:rsidR="00A35392" w:rsidRPr="00915979" w:rsidRDefault="00A35392" w:rsidP="00A35392">
      <w:pPr>
        <w:spacing w:before="120"/>
        <w:rPr>
          <w:rFonts w:asciiTheme="majorBidi" w:hAnsiTheme="majorBidi" w:cstheme="majorBidi"/>
          <w:sz w:val="24"/>
          <w:szCs w:val="28"/>
          <w:lang w:val="es-ES" w:eastAsia="zh-CN"/>
        </w:rPr>
      </w:pPr>
      <w:r w:rsidRPr="00915979">
        <w:rPr>
          <w:rFonts w:asciiTheme="majorBidi" w:hAnsiTheme="majorBidi" w:cstheme="majorBidi"/>
          <w:bCs/>
          <w:sz w:val="24"/>
          <w:szCs w:val="28"/>
          <w:lang w:val="es-ES" w:eastAsia="zh-CN"/>
        </w:rPr>
        <w:t>1</w:t>
      </w:r>
      <w:r w:rsidRPr="00915979">
        <w:rPr>
          <w:rFonts w:asciiTheme="majorBidi" w:hAnsiTheme="majorBidi" w:cstheme="majorBidi"/>
          <w:sz w:val="24"/>
          <w:szCs w:val="28"/>
          <w:lang w:val="es-ES" w:eastAsia="zh-CN"/>
        </w:rPr>
        <w:tab/>
        <w:t>¿Qué método de producción y formatos para la distribución al consumidor, incluidos los requisitos para metadatos, permitiría obtener mayor compatibilidad con la mayoría de los aparatos de televisión disponibles actualmente en los hogares de los televidentes?</w:t>
      </w:r>
    </w:p>
    <w:p w14:paraId="1C901472" w14:textId="77777777" w:rsidR="00A35392" w:rsidRPr="00915979" w:rsidRDefault="00A35392" w:rsidP="00A35392">
      <w:pPr>
        <w:rPr>
          <w:rFonts w:asciiTheme="majorBidi" w:hAnsiTheme="majorBidi" w:cstheme="majorBidi"/>
          <w:bCs/>
          <w:iCs/>
          <w:sz w:val="24"/>
          <w:szCs w:val="28"/>
          <w:lang w:val="es-ES" w:eastAsia="zh-CN"/>
        </w:rPr>
      </w:pPr>
      <w:r w:rsidRPr="00915979">
        <w:rPr>
          <w:rFonts w:asciiTheme="majorBidi" w:hAnsiTheme="majorBidi" w:cstheme="majorBidi"/>
          <w:bCs/>
          <w:sz w:val="24"/>
          <w:szCs w:val="28"/>
          <w:lang w:val="es-ES" w:eastAsia="zh-CN"/>
        </w:rPr>
        <w:t>2</w:t>
      </w:r>
      <w:r w:rsidRPr="00915979">
        <w:rPr>
          <w:rFonts w:asciiTheme="majorBidi" w:hAnsiTheme="majorBidi" w:cstheme="majorBidi"/>
          <w:bCs/>
          <w:iCs/>
          <w:sz w:val="24"/>
          <w:szCs w:val="28"/>
          <w:lang w:val="es-ES" w:eastAsia="zh-CN"/>
        </w:rPr>
        <w:tab/>
        <w:t>¿Qué métodos de correspondencia tonal</w:t>
      </w:r>
      <w:r w:rsidRPr="00915979">
        <w:rPr>
          <w:sz w:val="24"/>
          <w:szCs w:val="24"/>
          <w:vertAlign w:val="superscript"/>
          <w:lang w:val="es-ES"/>
        </w:rPr>
        <w:footnoteReference w:id="2"/>
      </w:r>
      <w:r w:rsidRPr="00915979">
        <w:rPr>
          <w:rFonts w:asciiTheme="majorBidi" w:hAnsiTheme="majorBidi" w:cstheme="majorBidi"/>
          <w:bCs/>
          <w:iCs/>
          <w:sz w:val="24"/>
          <w:szCs w:val="28"/>
          <w:lang w:val="es-ES" w:eastAsia="zh-CN"/>
        </w:rPr>
        <w:t xml:space="preserve"> deben recomendarse para obtener versiones SDR de programas producidos en HDR-TV </w:t>
      </w:r>
      <w:r w:rsidRPr="00915979">
        <w:rPr>
          <w:rFonts w:asciiTheme="majorBidi" w:hAnsiTheme="majorBidi" w:cstheme="majorBidi"/>
          <w:bCs/>
          <w:iCs/>
          <w:sz w:val="24"/>
          <w:szCs w:val="28"/>
          <w:lang w:val="es-ES" w:eastAsia="ja-JP"/>
        </w:rPr>
        <w:t>y para insertar material de programas SDR en programas HDR</w:t>
      </w:r>
      <w:r w:rsidRPr="00915979">
        <w:rPr>
          <w:rFonts w:asciiTheme="majorBidi" w:hAnsiTheme="majorBidi" w:cstheme="majorBidi"/>
          <w:bCs/>
          <w:iCs/>
          <w:sz w:val="24"/>
          <w:szCs w:val="28"/>
          <w:lang w:val="es-ES" w:eastAsia="zh-CN"/>
        </w:rPr>
        <w:t>?</w:t>
      </w:r>
    </w:p>
    <w:p w14:paraId="5E6D28D6" w14:textId="77777777" w:rsidR="00A35392" w:rsidRPr="00915979" w:rsidRDefault="00A35392" w:rsidP="00A35392">
      <w:pPr>
        <w:rPr>
          <w:rFonts w:asciiTheme="majorBidi" w:hAnsiTheme="majorBidi" w:cstheme="majorBidi"/>
          <w:sz w:val="24"/>
          <w:lang w:val="es-ES" w:eastAsia="zh-CN"/>
        </w:rPr>
      </w:pPr>
      <w:r w:rsidRPr="00915979">
        <w:rPr>
          <w:rFonts w:asciiTheme="majorBidi" w:hAnsiTheme="majorBidi" w:cstheme="majorBidi"/>
          <w:bCs/>
          <w:sz w:val="24"/>
          <w:lang w:val="es-ES" w:eastAsia="zh-CN"/>
        </w:rPr>
        <w:t>3</w:t>
      </w:r>
      <w:r w:rsidRPr="00915979">
        <w:rPr>
          <w:rFonts w:asciiTheme="majorBidi" w:hAnsiTheme="majorBidi" w:cstheme="majorBidi"/>
          <w:sz w:val="24"/>
          <w:lang w:val="es-ES" w:eastAsia="zh-CN"/>
        </w:rPr>
        <w:tab/>
        <w:t>¿Qué orientaciones en materia de prácticas operativas y flujos de trabajo cabría proporcionar para contribuir a la optimización y la coherencia en el uso de los contenidos de elevada gama dinámica?</w:t>
      </w:r>
    </w:p>
    <w:p w14:paraId="1CC48844" w14:textId="77777777" w:rsidR="00A35392" w:rsidRPr="00915979" w:rsidRDefault="00A35392" w:rsidP="00A35392">
      <w:pPr>
        <w:rPr>
          <w:rFonts w:asciiTheme="majorBidi" w:hAnsiTheme="majorBidi" w:cstheme="majorBidi"/>
          <w:sz w:val="24"/>
          <w:lang w:val="es-ES" w:eastAsia="zh-CN"/>
        </w:rPr>
      </w:pPr>
      <w:r w:rsidRPr="00915979">
        <w:rPr>
          <w:rFonts w:asciiTheme="majorBidi" w:hAnsiTheme="majorBidi" w:cstheme="majorBidi"/>
          <w:sz w:val="24"/>
          <w:lang w:val="es-ES" w:eastAsia="zh-CN"/>
        </w:rPr>
        <w:t>4</w:t>
      </w:r>
      <w:r w:rsidRPr="00915979">
        <w:rPr>
          <w:rFonts w:asciiTheme="majorBidi" w:hAnsiTheme="majorBidi" w:cstheme="majorBidi"/>
          <w:sz w:val="24"/>
          <w:lang w:val="es-ES" w:eastAsia="zh-CN"/>
        </w:rPr>
        <w:tab/>
        <w:t>¿Qué señales de medición y métodos de prueba deben recomendarse para ayudar a mantener la calidad de los contenidos de elevada gama dinámica en la producción de televisión?</w:t>
      </w:r>
    </w:p>
    <w:p w14:paraId="3AAC491C" w14:textId="77777777" w:rsidR="00A35392" w:rsidRPr="00915979" w:rsidRDefault="00A35392" w:rsidP="00A35392">
      <w:pPr>
        <w:rPr>
          <w:rFonts w:asciiTheme="majorBidi" w:hAnsiTheme="majorBidi" w:cstheme="majorBidi"/>
          <w:sz w:val="24"/>
          <w:lang w:val="es-ES" w:eastAsia="zh-CN"/>
        </w:rPr>
      </w:pPr>
      <w:r w:rsidRPr="00915979">
        <w:rPr>
          <w:rFonts w:asciiTheme="majorBidi" w:hAnsiTheme="majorBidi" w:cstheme="majorBidi"/>
          <w:bCs/>
          <w:sz w:val="24"/>
          <w:lang w:val="es-ES" w:eastAsia="zh-CN"/>
        </w:rPr>
        <w:t>5</w:t>
      </w:r>
      <w:r w:rsidRPr="00915979">
        <w:rPr>
          <w:rFonts w:asciiTheme="majorBidi" w:hAnsiTheme="majorBidi" w:cstheme="majorBidi"/>
          <w:sz w:val="24"/>
          <w:lang w:val="es-ES" w:eastAsia="zh-CN"/>
        </w:rPr>
        <w:tab/>
        <w:t>¿Qué prácticas deben recomendarse a fin de que los televidentes en el hogar no perciban molestas diferencias de calidad de la imagen de televisión en las transiciones entre programas HDR</w:t>
      </w:r>
      <w:r w:rsidRPr="00915979">
        <w:rPr>
          <w:rFonts w:asciiTheme="majorBidi" w:hAnsiTheme="majorBidi" w:cstheme="majorBidi"/>
          <w:sz w:val="24"/>
          <w:lang w:val="es-ES" w:eastAsia="zh-CN"/>
        </w:rPr>
        <w:noBreakHyphen/>
        <w:t>TV y programas de televisión de gama dinámica convencional?</w:t>
      </w:r>
    </w:p>
    <w:p w14:paraId="7E7D77AF" w14:textId="77777777" w:rsidR="00A35392" w:rsidRPr="00915979" w:rsidRDefault="00A35392" w:rsidP="00A35392">
      <w:pPr>
        <w:keepNext/>
        <w:keepLines/>
        <w:spacing w:before="240"/>
        <w:ind w:left="794"/>
        <w:rPr>
          <w:rFonts w:asciiTheme="majorBidi" w:hAnsiTheme="majorBidi" w:cstheme="majorBidi"/>
          <w:i/>
          <w:sz w:val="24"/>
          <w:lang w:val="es-ES"/>
        </w:rPr>
      </w:pPr>
      <w:r w:rsidRPr="00915979">
        <w:rPr>
          <w:rFonts w:asciiTheme="majorBidi" w:hAnsiTheme="majorBidi" w:cstheme="majorBidi"/>
          <w:i/>
          <w:sz w:val="24"/>
          <w:lang w:val="es-ES"/>
        </w:rPr>
        <w:t>decide además</w:t>
      </w:r>
    </w:p>
    <w:p w14:paraId="2E655D7A" w14:textId="77777777" w:rsidR="00A35392" w:rsidRPr="00915979" w:rsidRDefault="00A35392" w:rsidP="00A35392">
      <w:pPr>
        <w:rPr>
          <w:rFonts w:asciiTheme="majorBidi" w:hAnsiTheme="majorBidi" w:cstheme="majorBidi"/>
          <w:sz w:val="24"/>
          <w:lang w:val="es-ES" w:eastAsia="zh-CN"/>
        </w:rPr>
      </w:pPr>
      <w:r w:rsidRPr="00915979">
        <w:rPr>
          <w:rFonts w:asciiTheme="majorBidi" w:hAnsiTheme="majorBidi" w:cstheme="majorBidi"/>
          <w:sz w:val="24"/>
          <w:lang w:val="es-ES" w:eastAsia="zh-CN"/>
        </w:rPr>
        <w:t>1</w:t>
      </w:r>
      <w:r w:rsidRPr="00915979">
        <w:rPr>
          <w:rFonts w:asciiTheme="majorBidi" w:hAnsiTheme="majorBidi" w:cstheme="majorBidi"/>
          <w:sz w:val="24"/>
          <w:lang w:val="es-ES" w:eastAsia="zh-CN"/>
        </w:rPr>
        <w:tab/>
        <w:t>que los resultados de los mencionados estudios se incluyan en una o varias Recomendaciones o Informes;</w:t>
      </w:r>
    </w:p>
    <w:p w14:paraId="01BFD030" w14:textId="77777777" w:rsidR="00A35392" w:rsidRPr="00915979" w:rsidRDefault="00A35392" w:rsidP="00A35392">
      <w:pPr>
        <w:rPr>
          <w:rFonts w:asciiTheme="majorBidi" w:hAnsiTheme="majorBidi" w:cstheme="majorBidi"/>
          <w:sz w:val="24"/>
          <w:lang w:val="es-ES" w:eastAsia="zh-CN"/>
        </w:rPr>
      </w:pPr>
      <w:r w:rsidRPr="00915979">
        <w:rPr>
          <w:rFonts w:asciiTheme="majorBidi" w:hAnsiTheme="majorBidi" w:cstheme="majorBidi"/>
          <w:sz w:val="24"/>
          <w:lang w:val="es-ES" w:eastAsia="zh-CN"/>
        </w:rPr>
        <w:t>2</w:t>
      </w:r>
      <w:r w:rsidRPr="00915979">
        <w:rPr>
          <w:rFonts w:asciiTheme="majorBidi" w:hAnsiTheme="majorBidi" w:cstheme="majorBidi"/>
          <w:sz w:val="24"/>
          <w:lang w:val="es-ES" w:eastAsia="zh-CN"/>
        </w:rPr>
        <w:tab/>
        <w:t xml:space="preserve">que los anteriores estudios se </w:t>
      </w:r>
      <w:r w:rsidRPr="00915979">
        <w:rPr>
          <w:rFonts w:asciiTheme="majorBidi" w:hAnsiTheme="majorBidi" w:cstheme="majorBidi"/>
          <w:sz w:val="24"/>
          <w:lang w:val="es-ES"/>
        </w:rPr>
        <w:t xml:space="preserve">terminen </w:t>
      </w:r>
      <w:r w:rsidRPr="00915979">
        <w:rPr>
          <w:rFonts w:asciiTheme="majorBidi" w:hAnsiTheme="majorBidi" w:cstheme="majorBidi"/>
          <w:sz w:val="24"/>
          <w:lang w:val="es-ES" w:eastAsia="zh-CN"/>
        </w:rPr>
        <w:t>antes de 2027</w:t>
      </w:r>
      <w:r w:rsidRPr="00915979">
        <w:rPr>
          <w:rStyle w:val="FootnoteReference"/>
          <w:rFonts w:asciiTheme="majorBidi" w:hAnsiTheme="majorBidi"/>
          <w:lang w:val="es-ES" w:eastAsia="zh-CN"/>
        </w:rPr>
        <w:footnoteReference w:id="3"/>
      </w:r>
      <w:r w:rsidRPr="00915979">
        <w:rPr>
          <w:rFonts w:asciiTheme="majorBidi" w:hAnsiTheme="majorBidi" w:cstheme="majorBidi"/>
          <w:sz w:val="24"/>
          <w:lang w:val="es-ES" w:eastAsia="zh-CN"/>
        </w:rPr>
        <w:t>.</w:t>
      </w:r>
    </w:p>
    <w:p w14:paraId="321CCC22" w14:textId="18A09559" w:rsidR="001D503E" w:rsidRDefault="00A35392" w:rsidP="00A35392">
      <w:pPr>
        <w:spacing w:before="480" w:line="240" w:lineRule="auto"/>
        <w:jc w:val="left"/>
        <w:rPr>
          <w:rFonts w:asciiTheme="majorBidi" w:hAnsiTheme="majorBidi" w:cstheme="majorBidi"/>
          <w:sz w:val="24"/>
          <w:lang w:val="es-ES"/>
        </w:rPr>
      </w:pPr>
      <w:r w:rsidRPr="00915979">
        <w:rPr>
          <w:rFonts w:asciiTheme="majorBidi" w:hAnsiTheme="majorBidi" w:cstheme="majorBidi"/>
          <w:sz w:val="24"/>
          <w:lang w:val="es-ES"/>
        </w:rPr>
        <w:t>Categoría: S2</w:t>
      </w:r>
    </w:p>
    <w:p w14:paraId="649C245D" w14:textId="77777777" w:rsidR="00A35392" w:rsidRDefault="00A35392" w:rsidP="00411C49">
      <w:pPr>
        <w:pStyle w:val="Reasons"/>
      </w:pPr>
    </w:p>
    <w:p w14:paraId="638E493A" w14:textId="1109FBF8" w:rsidR="00A35392" w:rsidRPr="00A35392" w:rsidRDefault="00A35392" w:rsidP="00A35392">
      <w:pPr>
        <w:jc w:val="center"/>
      </w:pPr>
      <w:r>
        <w:t>______________</w:t>
      </w:r>
    </w:p>
    <w:sectPr w:rsidR="00A35392" w:rsidRPr="00A35392" w:rsidSect="00F07D2A">
      <w:headerReference w:type="even" r:id="rId6"/>
      <w:headerReference w:type="default" r:id="rId7"/>
      <w:footerReference w:type="even" r:id="rId8"/>
      <w:footerReference w:type="default" r:id="rId9"/>
      <w:headerReference w:type="first" r:id="rId10"/>
      <w:footerReference w:type="first" r:id="rId11"/>
      <w:pgSz w:w="11907" w:h="16840" w:code="9"/>
      <w:pgMar w:top="1418" w:right="1134" w:bottom="1418" w:left="1134"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497F" w14:textId="77777777" w:rsidR="00A35392" w:rsidRDefault="00A35392">
      <w:r>
        <w:separator/>
      </w:r>
    </w:p>
  </w:endnote>
  <w:endnote w:type="continuationSeparator" w:id="0">
    <w:p w14:paraId="422092CD" w14:textId="77777777" w:rsidR="00A35392" w:rsidRDefault="00A3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717D" w14:textId="77777777" w:rsidR="005A322D" w:rsidRDefault="005A3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229F" w14:textId="7F6ECF47" w:rsidR="001D503E" w:rsidRPr="005A322D" w:rsidRDefault="001D503E" w:rsidP="005A3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CAA" w14:textId="42A64340" w:rsidR="001D503E" w:rsidRPr="005A322D" w:rsidRDefault="001D503E" w:rsidP="005A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A4FA" w14:textId="77777777" w:rsidR="00A35392" w:rsidRDefault="00A35392">
      <w:r>
        <w:t>____________________</w:t>
      </w:r>
    </w:p>
  </w:footnote>
  <w:footnote w:type="continuationSeparator" w:id="0">
    <w:p w14:paraId="1043EFC2" w14:textId="77777777" w:rsidR="00A35392" w:rsidRDefault="00A35392">
      <w:r>
        <w:continuationSeparator/>
      </w:r>
    </w:p>
  </w:footnote>
  <w:footnote w:id="1">
    <w:p w14:paraId="30F8B0EC" w14:textId="299593C2" w:rsidR="00A66866" w:rsidRPr="00A66866" w:rsidRDefault="00A66866">
      <w:pPr>
        <w:pStyle w:val="FootnoteText"/>
        <w:rPr>
          <w:lang w:val="es-ES"/>
        </w:rPr>
      </w:pPr>
      <w:r w:rsidRPr="00A66866">
        <w:rPr>
          <w:rStyle w:val="FootnoteReference"/>
        </w:rPr>
        <w:sym w:font="Symbol" w:char="F02A"/>
      </w:r>
      <w:r>
        <w:tab/>
      </w:r>
      <w:r w:rsidRPr="005B2053">
        <w:rPr>
          <w:rFonts w:ascii="Times New Roman" w:hAnsi="Times New Roman" w:cs="Times New Roman"/>
          <w:lang w:val="es-ES"/>
        </w:rPr>
        <w:t>La Comisión de Estudio 6 de Radiocomunicaciones introdujo cambios de edición en esta Cuestión el año 2023, de conformidad con la Resolución UIT-R 1</w:t>
      </w:r>
    </w:p>
  </w:footnote>
  <w:footnote w:id="2">
    <w:p w14:paraId="488465A1" w14:textId="77777777" w:rsidR="00A35392" w:rsidRPr="002E1BFC" w:rsidRDefault="00A35392" w:rsidP="00A35392">
      <w:pPr>
        <w:pStyle w:val="FootnoteText"/>
        <w:rPr>
          <w:rFonts w:asciiTheme="majorBidi" w:hAnsiTheme="majorBidi" w:cstheme="majorBidi"/>
          <w:sz w:val="24"/>
          <w:szCs w:val="24"/>
        </w:rPr>
      </w:pPr>
      <w:r w:rsidRPr="002E1BFC">
        <w:rPr>
          <w:rStyle w:val="FootnoteReference"/>
          <w:rFonts w:asciiTheme="majorBidi" w:hAnsiTheme="majorBidi" w:cstheme="majorBidi"/>
          <w:sz w:val="24"/>
          <w:szCs w:val="24"/>
          <w:vertAlign w:val="superscript"/>
        </w:rPr>
        <w:footnoteRef/>
      </w:r>
      <w:r w:rsidRPr="002E1BFC">
        <w:rPr>
          <w:rFonts w:asciiTheme="majorBidi" w:hAnsiTheme="majorBidi" w:cstheme="majorBidi"/>
          <w:sz w:val="24"/>
          <w:szCs w:val="24"/>
        </w:rPr>
        <w:tab/>
        <w:t xml:space="preserve">La correspondencia tonal es una técnica de tratamiento de imágenes utilizada para hacer corresponder un conjunto de parámetros de imagen con otro conjunto, por ejemplo: cuando se modifica un programa de </w:t>
      </w:r>
      <w:r w:rsidRPr="00B10723">
        <w:rPr>
          <w:rFonts w:asciiTheme="majorBidi" w:hAnsiTheme="majorBidi" w:cstheme="majorBidi"/>
          <w:sz w:val="24"/>
          <w:szCs w:val="24"/>
        </w:rPr>
        <w:t>televisión</w:t>
      </w:r>
      <w:r w:rsidRPr="002E1BFC">
        <w:rPr>
          <w:rFonts w:asciiTheme="majorBidi" w:hAnsiTheme="majorBidi" w:cstheme="majorBidi"/>
          <w:sz w:val="24"/>
          <w:szCs w:val="24"/>
        </w:rPr>
        <w:t xml:space="preserve"> de elevada gama dinámica para su distribución por un medio de gama dinámica convencional.</w:t>
      </w:r>
    </w:p>
  </w:footnote>
  <w:footnote w:id="3">
    <w:p w14:paraId="1A3BAC14" w14:textId="77777777" w:rsidR="00A35392" w:rsidRPr="00FA4F70" w:rsidRDefault="00A35392" w:rsidP="00A35392">
      <w:pPr>
        <w:pStyle w:val="FootnoteText"/>
        <w:rPr>
          <w:lang w:val="es-ES"/>
        </w:rPr>
      </w:pPr>
      <w:r w:rsidRPr="00E32396">
        <w:rPr>
          <w:rStyle w:val="FootnoteReference"/>
          <w:rFonts w:asciiTheme="majorBidi" w:hAnsiTheme="majorBidi" w:cstheme="majorBidi"/>
        </w:rPr>
        <w:footnoteRef/>
      </w:r>
      <w:r>
        <w:t xml:space="preserve"> </w:t>
      </w:r>
      <w:r w:rsidRPr="00FA4F70">
        <w:rPr>
          <w:lang w:val="es-ES"/>
        </w:rPr>
        <w:tab/>
      </w:r>
      <w:r w:rsidRPr="00F959A8">
        <w:rPr>
          <w:rFonts w:asciiTheme="majorBidi" w:hAnsiTheme="majorBidi" w:cstheme="majorBidi"/>
          <w:sz w:val="24"/>
          <w:szCs w:val="24"/>
          <w:lang w:val="es-ES"/>
        </w:rPr>
        <w:t>Los resultados correspondientes de los estudios deberán someterse en su momento a la atención de la CEI,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7326" w14:textId="77777777" w:rsidR="005A322D" w:rsidRDefault="005A3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9720"/>
      <w:docPartObj>
        <w:docPartGallery w:val="Page Numbers (Top of Page)"/>
        <w:docPartUnique/>
      </w:docPartObj>
    </w:sdtPr>
    <w:sdtEndPr>
      <w:rPr>
        <w:noProof/>
      </w:rPr>
    </w:sdtEndPr>
    <w:sdtContent>
      <w:p w14:paraId="763AEB5F" w14:textId="62FAD34C" w:rsidR="00F07D2A" w:rsidRDefault="00F07D2A">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B317" w14:textId="77777777" w:rsidR="005A322D" w:rsidRDefault="005A3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92"/>
    <w:rsid w:val="001D503E"/>
    <w:rsid w:val="005A322D"/>
    <w:rsid w:val="00A35392"/>
    <w:rsid w:val="00A66866"/>
    <w:rsid w:val="00B85204"/>
    <w:rsid w:val="00F039A1"/>
    <w:rsid w:val="00F07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FD592"/>
  <w15:docId w15:val="{4F4E5765-C85B-4A52-8C90-F6E3329B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39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2"/>
      <w:szCs w:val="22"/>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uiPriority w:val="99"/>
    <w:rPr>
      <w:position w:val="6"/>
      <w:sz w:val="18"/>
    </w:rPr>
  </w:style>
  <w:style w:type="paragraph" w:customStyle="1" w:styleId="Note">
    <w:name w:val="Note"/>
    <w:basedOn w:val="Normal"/>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te"/>
    <w:link w:val="FootnoteTextChar"/>
    <w:uiPriority w:val="99"/>
    <w:pPr>
      <w:keepLines/>
      <w:tabs>
        <w:tab w:val="left" w:pos="255"/>
      </w:tabs>
      <w:ind w:left="255" w:hanging="255"/>
    </w:pPr>
  </w:style>
  <w:style w:type="paragraph" w:customStyle="1" w:styleId="Formal">
    <w:name w:val="Formal"/>
    <w:basedOn w:val="ASN1"/>
    <w:rPr>
      <w:b w:val="0"/>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pPr>
    <w:rPr>
      <w:b/>
    </w:rPr>
  </w:style>
  <w:style w:type="paragraph" w:customStyle="1" w:styleId="Headingi">
    <w:name w:val="Heading_i"/>
    <w:basedOn w:val="Normal"/>
    <w:next w:val="Normal"/>
    <w:pPr>
      <w:keepNext/>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cNoBR">
    <w:name w:val="Rec_No_BR"/>
    <w:basedOn w:val="Normal"/>
    <w:next w:val="Rectitle"/>
    <w:pPr>
      <w:keepNext/>
      <w:keepLines/>
      <w:spacing w:before="480"/>
      <w:jc w:val="center"/>
    </w:pPr>
    <w:rPr>
      <w:caps/>
      <w:sz w:val="28"/>
    </w:rPr>
  </w:style>
  <w:style w:type="paragraph" w:customStyle="1" w:styleId="QuestionNoBR">
    <w:name w:val="Question_No_BR"/>
    <w:basedOn w:val="RecNoBR"/>
    <w:next w:val="Questiontitl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NoBR">
    <w:name w:val="Rep_No_BR"/>
    <w:basedOn w:val="RecNoBR"/>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ResNoBR">
    <w:name w:val="Res_No_BR"/>
    <w:basedOn w:val="RecNoBR"/>
    <w:next w:val="Restitle"/>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
    <w:pPr>
      <w:keepNext/>
      <w:keepLines/>
      <w:spacing w:before="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uiPriority w:val="99"/>
    <w:rsid w:val="00A35392"/>
    <w:rPr>
      <w:rFonts w:asciiTheme="minorHAnsi" w:hAnsiTheme="minorHAnsi"/>
      <w:sz w:val="24"/>
      <w:lang w:val="es-ES_tradnl" w:eastAsia="en-US"/>
    </w:rPr>
  </w:style>
  <w:style w:type="paragraph" w:customStyle="1" w:styleId="Reasons">
    <w:name w:val="Reasons"/>
    <w:basedOn w:val="Normal"/>
    <w:qFormat/>
    <w:rsid w:val="00A3539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customStyle="1" w:styleId="HeaderChar">
    <w:name w:val="Header Char"/>
    <w:basedOn w:val="DefaultParagraphFont"/>
    <w:link w:val="Header"/>
    <w:uiPriority w:val="99"/>
    <w:rsid w:val="00F07D2A"/>
    <w:rPr>
      <w:rFonts w:ascii="Calibri" w:hAnsi="Calibri" w:cs="Calibri"/>
      <w:sz w:val="18"/>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PS_POOL.dotm</Template>
  <TotalTime>2</TotalTime>
  <Pages>2</Pages>
  <Words>517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dc:creator>
  <cp:keywords/>
  <dc:description/>
  <cp:lastModifiedBy>Limousin, Catherine</cp:lastModifiedBy>
  <cp:revision>4</cp:revision>
  <cp:lastPrinted>2009-11-11T18:20:00Z</cp:lastPrinted>
  <dcterms:created xsi:type="dcterms:W3CDTF">2023-03-24T15:46:00Z</dcterms:created>
  <dcterms:modified xsi:type="dcterms:W3CDTF">2023-05-24T13:02:00Z</dcterms:modified>
</cp:coreProperties>
</file>