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0F6A7" w14:textId="0965CD2E" w:rsidR="00A2240B" w:rsidRPr="00A2240B" w:rsidRDefault="00A2240B" w:rsidP="00A2240B">
      <w:pPr>
        <w:keepNext/>
        <w:keepLines/>
        <w:tabs>
          <w:tab w:val="left" w:pos="794"/>
          <w:tab w:val="left" w:pos="1191"/>
          <w:tab w:val="left" w:pos="1588"/>
          <w:tab w:val="left" w:pos="1985"/>
        </w:tabs>
        <w:spacing w:before="480"/>
        <w:jc w:val="center"/>
        <w:rPr>
          <w:sz w:val="28"/>
          <w:szCs w:val="28"/>
          <w:lang w:val="ru-RU" w:eastAsia="zh-CN"/>
        </w:rPr>
      </w:pPr>
      <w:r w:rsidRPr="00A2240B">
        <w:rPr>
          <w:sz w:val="28"/>
          <w:szCs w:val="28"/>
          <w:lang w:val="ru-RU" w:eastAsia="zh-CN"/>
        </w:rPr>
        <w:t xml:space="preserve">ITU-R </w:t>
      </w:r>
      <w:proofErr w:type="gramStart"/>
      <w:r w:rsidRPr="00A2240B">
        <w:rPr>
          <w:sz w:val="28"/>
          <w:szCs w:val="28"/>
          <w:lang w:val="ru-RU" w:eastAsia="zh-CN"/>
        </w:rPr>
        <w:t>142-3</w:t>
      </w:r>
      <w:proofErr w:type="gramEnd"/>
      <w:r w:rsidRPr="00A2240B">
        <w:rPr>
          <w:sz w:val="28"/>
          <w:szCs w:val="28"/>
          <w:lang w:val="ru-RU" w:eastAsia="zh-CN"/>
        </w:rPr>
        <w:t>/6</w:t>
      </w:r>
      <w:r w:rsidRPr="00A2240B">
        <w:rPr>
          <w:sz w:val="28"/>
          <w:szCs w:val="28"/>
          <w:lang w:val="ru-RU" w:eastAsia="zh-CN"/>
        </w:rPr>
        <w:t>号课题</w:t>
      </w:r>
      <w:r w:rsidR="00C552C3" w:rsidRPr="00C214A6">
        <w:rPr>
          <w:rStyle w:val="FootnoteReference"/>
          <w:sz w:val="24"/>
          <w:szCs w:val="24"/>
          <w:vertAlign w:val="superscript"/>
          <w:lang w:val="ru-RU" w:eastAsia="zh-CN"/>
        </w:rPr>
        <w:footnoteReference w:customMarkFollows="1" w:id="1"/>
        <w:sym w:font="Symbol" w:char="F02A"/>
      </w:r>
    </w:p>
    <w:p w14:paraId="6C135249" w14:textId="77777777" w:rsidR="00A2240B" w:rsidRPr="00C552C3" w:rsidRDefault="00A2240B" w:rsidP="00A2240B">
      <w:pPr>
        <w:keepNext/>
        <w:keepLines/>
        <w:tabs>
          <w:tab w:val="left" w:pos="794"/>
          <w:tab w:val="left" w:pos="1191"/>
          <w:tab w:val="left" w:pos="1588"/>
          <w:tab w:val="left" w:pos="1985"/>
        </w:tabs>
        <w:spacing w:before="360"/>
        <w:jc w:val="center"/>
        <w:rPr>
          <w:b/>
          <w:sz w:val="28"/>
          <w:lang w:val="ru-RU" w:eastAsia="zh-CN"/>
        </w:rPr>
      </w:pPr>
      <w:r w:rsidRPr="00A2240B">
        <w:rPr>
          <w:b/>
          <w:sz w:val="28"/>
          <w:lang w:val="en-US" w:eastAsia="zh-CN"/>
        </w:rPr>
        <w:t>用于广播的高动态范围电视</w:t>
      </w:r>
    </w:p>
    <w:p w14:paraId="3C48B0D5" w14:textId="77777777" w:rsidR="00A2240B" w:rsidRPr="00C552C3" w:rsidRDefault="00A2240B" w:rsidP="00A2240B">
      <w:pPr>
        <w:keepNext/>
        <w:keepLines/>
        <w:spacing w:before="160" w:line="280" w:lineRule="exact"/>
        <w:jc w:val="right"/>
        <w:rPr>
          <w:iCs/>
          <w:lang w:val="ru-RU" w:eastAsia="zh-CN"/>
        </w:rPr>
      </w:pPr>
      <w:r w:rsidRPr="00C552C3">
        <w:rPr>
          <w:iCs/>
          <w:lang w:val="ru-RU" w:eastAsia="zh-CN"/>
        </w:rPr>
        <w:t>（</w:t>
      </w:r>
      <w:r w:rsidRPr="00C552C3">
        <w:rPr>
          <w:iCs/>
          <w:lang w:val="ru-RU" w:eastAsia="zh-CN"/>
        </w:rPr>
        <w:t>2015-2016-2017-2019</w:t>
      </w:r>
      <w:r w:rsidRPr="00A2240B">
        <w:rPr>
          <w:iCs/>
          <w:lang w:val="en-US" w:eastAsia="zh-CN"/>
        </w:rPr>
        <w:t>年</w:t>
      </w:r>
      <w:r w:rsidRPr="00C552C3">
        <w:rPr>
          <w:iCs/>
          <w:lang w:val="ru-RU" w:eastAsia="zh-CN"/>
        </w:rPr>
        <w:t>）</w:t>
      </w:r>
    </w:p>
    <w:p w14:paraId="4BB4AE06" w14:textId="77777777" w:rsidR="00A2240B" w:rsidRPr="00C552C3" w:rsidRDefault="00A2240B" w:rsidP="00A2240B">
      <w:pPr>
        <w:tabs>
          <w:tab w:val="left" w:pos="794"/>
          <w:tab w:val="left" w:pos="1191"/>
          <w:tab w:val="left" w:pos="1588"/>
          <w:tab w:val="left" w:pos="1985"/>
        </w:tabs>
        <w:spacing w:before="360" w:after="120" w:line="280" w:lineRule="exact"/>
        <w:jc w:val="both"/>
        <w:rPr>
          <w:lang w:val="ru-RU" w:eastAsia="zh-CN"/>
        </w:rPr>
      </w:pPr>
      <w:r w:rsidRPr="00A2240B">
        <w:rPr>
          <w:lang w:val="en-US" w:eastAsia="zh-CN"/>
        </w:rPr>
        <w:t>国际电联无线电通信全会</w:t>
      </w:r>
      <w:r w:rsidRPr="00C552C3">
        <w:rPr>
          <w:lang w:val="ru-RU" w:eastAsia="zh-CN"/>
        </w:rPr>
        <w:t>，</w:t>
      </w:r>
    </w:p>
    <w:p w14:paraId="6D85036E" w14:textId="77777777" w:rsidR="00A2240B" w:rsidRPr="00A2240B" w:rsidRDefault="00A2240B" w:rsidP="00A2240B">
      <w:pPr>
        <w:keepNext/>
        <w:keepLines/>
        <w:tabs>
          <w:tab w:val="left" w:pos="794"/>
          <w:tab w:val="left" w:pos="1191"/>
          <w:tab w:val="left" w:pos="1588"/>
          <w:tab w:val="left" w:pos="1985"/>
        </w:tabs>
        <w:spacing w:before="240" w:line="280" w:lineRule="exact"/>
        <w:ind w:left="794"/>
        <w:rPr>
          <w:iCs/>
          <w:lang w:val="en-US" w:eastAsia="zh-CN"/>
        </w:rPr>
      </w:pPr>
      <w:r w:rsidRPr="00A2240B">
        <w:rPr>
          <w:rFonts w:eastAsia="STKaiti"/>
          <w:bCs/>
          <w:iCs/>
          <w:lang w:val="en-US" w:eastAsia="zh-CN"/>
        </w:rPr>
        <w:t>考虑到</w:t>
      </w:r>
    </w:p>
    <w:p w14:paraId="22E17857" w14:textId="77777777" w:rsidR="00A2240B" w:rsidRPr="00A2240B" w:rsidRDefault="00A2240B" w:rsidP="00A2240B">
      <w:pPr>
        <w:tabs>
          <w:tab w:val="left" w:pos="794"/>
          <w:tab w:val="left" w:pos="1191"/>
          <w:tab w:val="left" w:pos="1588"/>
          <w:tab w:val="left" w:pos="1985"/>
        </w:tabs>
        <w:spacing w:before="160" w:after="120" w:line="280" w:lineRule="exact"/>
        <w:jc w:val="both"/>
        <w:rPr>
          <w:lang w:val="en-US" w:eastAsia="zh-CN"/>
        </w:rPr>
      </w:pPr>
      <w:r w:rsidRPr="00A2240B">
        <w:rPr>
          <w:i/>
          <w:lang w:val="en-US" w:eastAsia="zh-CN"/>
        </w:rPr>
        <w:t>a)</w:t>
      </w:r>
      <w:r w:rsidRPr="00A2240B">
        <w:rPr>
          <w:i/>
          <w:lang w:val="en-US" w:eastAsia="zh-CN"/>
        </w:rPr>
        <w:tab/>
      </w:r>
      <w:r w:rsidRPr="00A2240B">
        <w:rPr>
          <w:lang w:val="en-US" w:eastAsia="ja-JP"/>
        </w:rPr>
        <w:t>ITU-R BT.2100</w:t>
      </w:r>
      <w:r w:rsidRPr="00A2240B">
        <w:rPr>
          <w:lang w:val="en-US" w:eastAsia="zh-CN"/>
        </w:rPr>
        <w:t>建议书规定了高动态范围电视（</w:t>
      </w:r>
      <w:r w:rsidRPr="00A2240B">
        <w:rPr>
          <w:lang w:val="en-US" w:eastAsia="ja-JP"/>
        </w:rPr>
        <w:t>HDR-TV</w:t>
      </w:r>
      <w:r w:rsidRPr="00A2240B">
        <w:rPr>
          <w:lang w:val="en-US" w:eastAsia="zh-CN"/>
        </w:rPr>
        <w:t>）</w:t>
      </w:r>
      <w:proofErr w:type="gramStart"/>
      <w:r w:rsidRPr="00A2240B">
        <w:rPr>
          <w:lang w:val="en-US" w:eastAsia="zh-CN"/>
        </w:rPr>
        <w:t>的图像格式；</w:t>
      </w:r>
      <w:proofErr w:type="gramEnd"/>
    </w:p>
    <w:p w14:paraId="3ED2724E" w14:textId="77777777" w:rsidR="00A2240B" w:rsidRPr="00A2240B" w:rsidRDefault="00A2240B" w:rsidP="00A2240B">
      <w:pPr>
        <w:tabs>
          <w:tab w:val="left" w:pos="794"/>
          <w:tab w:val="left" w:pos="1191"/>
          <w:tab w:val="left" w:pos="1588"/>
          <w:tab w:val="left" w:pos="1985"/>
        </w:tabs>
        <w:spacing w:before="160" w:after="120" w:line="280" w:lineRule="exact"/>
        <w:jc w:val="both"/>
        <w:rPr>
          <w:lang w:val="en-US" w:eastAsia="zh-CN"/>
        </w:rPr>
      </w:pPr>
      <w:r w:rsidRPr="00A2240B">
        <w:rPr>
          <w:i/>
          <w:iCs/>
          <w:lang w:val="en-US" w:eastAsia="zh-CN"/>
        </w:rPr>
        <w:t>b)</w:t>
      </w:r>
      <w:r w:rsidRPr="00A2240B">
        <w:rPr>
          <w:lang w:val="en-US" w:eastAsia="zh-CN"/>
        </w:rPr>
        <w:tab/>
        <w:t>ITU-R BT.601</w:t>
      </w:r>
      <w:r w:rsidRPr="00A2240B">
        <w:rPr>
          <w:lang w:val="en-US" w:eastAsia="zh-CN"/>
        </w:rPr>
        <w:t>、</w:t>
      </w:r>
      <w:r w:rsidRPr="00A2240B">
        <w:rPr>
          <w:lang w:val="en-US" w:eastAsia="zh-CN"/>
        </w:rPr>
        <w:t>BT.709</w:t>
      </w:r>
      <w:r w:rsidRPr="00A2240B">
        <w:rPr>
          <w:lang w:val="en-US" w:eastAsia="zh-CN"/>
        </w:rPr>
        <w:t>和</w:t>
      </w:r>
      <w:r w:rsidRPr="00A2240B">
        <w:rPr>
          <w:lang w:val="en-US" w:eastAsia="zh-CN"/>
        </w:rPr>
        <w:t>BT.2020</w:t>
      </w:r>
      <w:r w:rsidRPr="00A2240B">
        <w:rPr>
          <w:lang w:val="en-US" w:eastAsia="zh-CN"/>
        </w:rPr>
        <w:t>建议书对用于标准动态范围（</w:t>
      </w:r>
      <w:r w:rsidRPr="00A2240B">
        <w:rPr>
          <w:lang w:val="en-US" w:eastAsia="zh-CN"/>
        </w:rPr>
        <w:t>SDR</w:t>
      </w:r>
      <w:r w:rsidRPr="00A2240B">
        <w:rPr>
          <w:lang w:val="en-US" w:eastAsia="zh-CN"/>
        </w:rPr>
        <w:t>）的标清电视（</w:t>
      </w:r>
      <w:r w:rsidRPr="00A2240B">
        <w:rPr>
          <w:lang w:val="en-US" w:eastAsia="zh-CN"/>
        </w:rPr>
        <w:t>SDTV</w:t>
      </w:r>
      <w:r w:rsidRPr="00A2240B">
        <w:rPr>
          <w:lang w:val="en-US" w:eastAsia="zh-CN"/>
        </w:rPr>
        <w:t>）、高清电视（</w:t>
      </w:r>
      <w:r w:rsidRPr="00A2240B">
        <w:rPr>
          <w:lang w:val="en-US" w:eastAsia="zh-CN"/>
        </w:rPr>
        <w:t>HDTV</w:t>
      </w:r>
      <w:r w:rsidRPr="00A2240B">
        <w:rPr>
          <w:lang w:val="en-US" w:eastAsia="zh-CN"/>
        </w:rPr>
        <w:t>）和超高清电视（</w:t>
      </w:r>
      <w:r w:rsidRPr="00A2240B">
        <w:rPr>
          <w:lang w:val="en-US" w:eastAsia="zh-CN"/>
        </w:rPr>
        <w:t>UHDTV</w:t>
      </w:r>
      <w:r w:rsidRPr="00A2240B">
        <w:rPr>
          <w:lang w:val="en-US" w:eastAsia="zh-CN"/>
        </w:rPr>
        <w:t>）</w:t>
      </w:r>
      <w:proofErr w:type="gramStart"/>
      <w:r w:rsidRPr="00A2240B">
        <w:rPr>
          <w:lang w:val="en-US" w:eastAsia="zh-CN"/>
        </w:rPr>
        <w:t>的数字电视图像格式做了详细说明；</w:t>
      </w:r>
      <w:proofErr w:type="gramEnd"/>
    </w:p>
    <w:p w14:paraId="2A77E5DE" w14:textId="77777777" w:rsidR="00A2240B" w:rsidRPr="00A2240B" w:rsidRDefault="00A2240B" w:rsidP="00A2240B">
      <w:pPr>
        <w:tabs>
          <w:tab w:val="left" w:pos="794"/>
          <w:tab w:val="left" w:pos="1191"/>
          <w:tab w:val="left" w:pos="1588"/>
          <w:tab w:val="left" w:pos="1985"/>
        </w:tabs>
        <w:spacing w:before="160" w:after="120" w:line="280" w:lineRule="exact"/>
        <w:jc w:val="both"/>
        <w:rPr>
          <w:lang w:val="en-US" w:eastAsia="zh-CN"/>
        </w:rPr>
      </w:pPr>
      <w:r w:rsidRPr="00A2240B">
        <w:rPr>
          <w:i/>
          <w:iCs/>
          <w:lang w:val="en-US" w:eastAsia="zh-CN"/>
        </w:rPr>
        <w:t>c)</w:t>
      </w:r>
      <w:r w:rsidRPr="00A2240B">
        <w:rPr>
          <w:lang w:val="en-US" w:eastAsia="zh-CN"/>
        </w:rPr>
        <w:tab/>
        <w:t>ITU-R BT.</w:t>
      </w:r>
      <w:proofErr w:type="gramStart"/>
      <w:r w:rsidRPr="00A2240B">
        <w:rPr>
          <w:lang w:val="en-US" w:eastAsia="zh-CN"/>
        </w:rPr>
        <w:t>500</w:t>
      </w:r>
      <w:r w:rsidRPr="00A2240B">
        <w:rPr>
          <w:lang w:val="en-US" w:eastAsia="zh-CN"/>
        </w:rPr>
        <w:t>建议书第</w:t>
      </w:r>
      <w:r w:rsidRPr="00A2240B">
        <w:rPr>
          <w:lang w:val="en-US" w:eastAsia="zh-CN"/>
        </w:rPr>
        <w:t>1</w:t>
      </w:r>
      <w:r w:rsidRPr="00A2240B">
        <w:rPr>
          <w:lang w:val="en-US" w:eastAsia="zh-CN"/>
        </w:rPr>
        <w:t>部分规定了主观评价在实验室和家庭环境中图像的一般观看条件；</w:t>
      </w:r>
      <w:proofErr w:type="gramEnd"/>
    </w:p>
    <w:p w14:paraId="54BA2CB8" w14:textId="77777777" w:rsidR="00A2240B" w:rsidRPr="00A2240B" w:rsidRDefault="00A2240B" w:rsidP="00A2240B">
      <w:pPr>
        <w:tabs>
          <w:tab w:val="left" w:pos="794"/>
          <w:tab w:val="left" w:pos="1191"/>
          <w:tab w:val="left" w:pos="1588"/>
          <w:tab w:val="left" w:pos="1985"/>
        </w:tabs>
        <w:spacing w:before="160" w:after="120" w:line="280" w:lineRule="exact"/>
        <w:jc w:val="both"/>
        <w:rPr>
          <w:lang w:val="en-US" w:eastAsia="zh-CN"/>
        </w:rPr>
      </w:pPr>
      <w:r w:rsidRPr="00A2240B">
        <w:rPr>
          <w:i/>
          <w:iCs/>
          <w:lang w:val="en-US" w:eastAsia="zh-CN"/>
        </w:rPr>
        <w:t>d)</w:t>
      </w:r>
      <w:r w:rsidRPr="00A2240B">
        <w:rPr>
          <w:lang w:val="en-US" w:eastAsia="zh-CN"/>
        </w:rPr>
        <w:tab/>
      </w:r>
      <w:r w:rsidRPr="00A2240B">
        <w:rPr>
          <w:lang w:val="en-US" w:eastAsia="zh-CN"/>
        </w:rPr>
        <w:t>现代电视显示器能够再现更高亮度的图像，并提供比常规节目制作更高的对比度和更广泛的色域（</w:t>
      </w:r>
      <w:r w:rsidRPr="00A2240B">
        <w:rPr>
          <w:lang w:val="en-US" w:eastAsia="zh-CN"/>
        </w:rPr>
        <w:t>WCG</w:t>
      </w:r>
      <w:proofErr w:type="gramStart"/>
      <w:r w:rsidRPr="00A2240B">
        <w:rPr>
          <w:lang w:val="en-US" w:eastAsia="zh-CN"/>
        </w:rPr>
        <w:t>）；</w:t>
      </w:r>
      <w:proofErr w:type="gramEnd"/>
    </w:p>
    <w:p w14:paraId="05527C18" w14:textId="77777777" w:rsidR="00A2240B" w:rsidRPr="00A2240B" w:rsidRDefault="00A2240B" w:rsidP="00A2240B">
      <w:pPr>
        <w:tabs>
          <w:tab w:val="left" w:pos="794"/>
          <w:tab w:val="left" w:pos="1191"/>
          <w:tab w:val="left" w:pos="1588"/>
          <w:tab w:val="left" w:pos="1985"/>
        </w:tabs>
        <w:spacing w:before="160" w:after="120" w:line="280" w:lineRule="exact"/>
        <w:jc w:val="both"/>
        <w:rPr>
          <w:lang w:val="en-US" w:eastAsia="zh-CN"/>
        </w:rPr>
      </w:pPr>
      <w:r w:rsidRPr="00A2240B">
        <w:rPr>
          <w:i/>
          <w:iCs/>
          <w:lang w:val="en-US" w:eastAsia="zh-CN"/>
        </w:rPr>
        <w:t>e)</w:t>
      </w:r>
      <w:r w:rsidRPr="00A2240B">
        <w:rPr>
          <w:lang w:val="en-US" w:eastAsia="zh-CN"/>
        </w:rPr>
        <w:tab/>
        <w:t>HDR-</w:t>
      </w:r>
      <w:proofErr w:type="gramStart"/>
      <w:r w:rsidRPr="00A2240B">
        <w:rPr>
          <w:lang w:val="en-US" w:eastAsia="zh-CN"/>
        </w:rPr>
        <w:t>TV</w:t>
      </w:r>
      <w:r w:rsidRPr="00A2240B">
        <w:rPr>
          <w:lang w:val="en-US" w:eastAsia="zh-CN"/>
        </w:rPr>
        <w:t>可以高得多的亮度和对比度再现图像；</w:t>
      </w:r>
      <w:proofErr w:type="gramEnd"/>
    </w:p>
    <w:p w14:paraId="486F51C0" w14:textId="77777777" w:rsidR="00A2240B" w:rsidRPr="00A2240B" w:rsidRDefault="00A2240B" w:rsidP="00A2240B">
      <w:pPr>
        <w:tabs>
          <w:tab w:val="left" w:pos="794"/>
          <w:tab w:val="left" w:pos="1191"/>
          <w:tab w:val="left" w:pos="1588"/>
          <w:tab w:val="left" w:pos="1985"/>
        </w:tabs>
        <w:spacing w:before="160" w:after="120" w:line="280" w:lineRule="exact"/>
        <w:jc w:val="both"/>
        <w:rPr>
          <w:lang w:val="en-US" w:eastAsia="zh-CN"/>
        </w:rPr>
      </w:pPr>
      <w:r w:rsidRPr="00A2240B">
        <w:rPr>
          <w:i/>
          <w:iCs/>
          <w:lang w:val="en-US" w:eastAsia="zh-CN"/>
        </w:rPr>
        <w:t>f)</w:t>
      </w:r>
      <w:r w:rsidRPr="00A2240B">
        <w:rPr>
          <w:lang w:val="en-US" w:eastAsia="zh-CN"/>
        </w:rPr>
        <w:tab/>
      </w:r>
      <w:r w:rsidRPr="00A2240B">
        <w:rPr>
          <w:lang w:val="en-US" w:eastAsia="zh-CN"/>
        </w:rPr>
        <w:t>仍有许多电视节目将以</w:t>
      </w:r>
      <w:r w:rsidRPr="00A2240B">
        <w:rPr>
          <w:lang w:val="en-US" w:eastAsia="zh-CN"/>
        </w:rPr>
        <w:t>SDTV</w:t>
      </w:r>
      <w:r w:rsidRPr="00A2240B">
        <w:rPr>
          <w:lang w:val="en-US" w:eastAsia="zh-CN"/>
        </w:rPr>
        <w:t>、</w:t>
      </w:r>
      <w:proofErr w:type="gramStart"/>
      <w:r w:rsidRPr="00A2240B">
        <w:rPr>
          <w:lang w:val="en-US" w:eastAsia="zh-CN"/>
        </w:rPr>
        <w:t>HDTV</w:t>
      </w:r>
      <w:r w:rsidRPr="00A2240B">
        <w:rPr>
          <w:lang w:val="en-US" w:eastAsia="zh-CN"/>
        </w:rPr>
        <w:t>和</w:t>
      </w:r>
      <w:r w:rsidRPr="00A2240B">
        <w:rPr>
          <w:lang w:val="en-US" w:eastAsia="zh-CN"/>
        </w:rPr>
        <w:t>UHDTV</w:t>
      </w:r>
      <w:r w:rsidRPr="00A2240B">
        <w:rPr>
          <w:lang w:val="en-US" w:eastAsia="zh-CN"/>
        </w:rPr>
        <w:t>的标准图像动态范围进行制作和交换且</w:t>
      </w:r>
      <w:r w:rsidRPr="00A2240B">
        <w:rPr>
          <w:lang w:val="en-US" w:eastAsia="zh-CN"/>
        </w:rPr>
        <w:t>SDR</w:t>
      </w:r>
      <w:r w:rsidRPr="00A2240B">
        <w:rPr>
          <w:lang w:val="en-US" w:eastAsia="zh-CN"/>
        </w:rPr>
        <w:t>和</w:t>
      </w:r>
      <w:r w:rsidRPr="00A2240B">
        <w:rPr>
          <w:lang w:val="en-US" w:eastAsia="zh-CN"/>
        </w:rPr>
        <w:t>HDR</w:t>
      </w:r>
      <w:r w:rsidRPr="00A2240B">
        <w:rPr>
          <w:lang w:val="en-US" w:eastAsia="zh-CN"/>
        </w:rPr>
        <w:t>内容将在节目制作和广播播出中混合使用；</w:t>
      </w:r>
      <w:proofErr w:type="gramEnd"/>
    </w:p>
    <w:p w14:paraId="71A012F5" w14:textId="77777777" w:rsidR="00A2240B" w:rsidRPr="00A2240B" w:rsidRDefault="00A2240B" w:rsidP="00A2240B">
      <w:pPr>
        <w:tabs>
          <w:tab w:val="left" w:pos="794"/>
          <w:tab w:val="left" w:pos="1191"/>
          <w:tab w:val="left" w:pos="1588"/>
          <w:tab w:val="left" w:pos="1985"/>
        </w:tabs>
        <w:spacing w:before="160" w:after="120" w:line="280" w:lineRule="exact"/>
        <w:jc w:val="both"/>
        <w:rPr>
          <w:lang w:val="en-US" w:eastAsia="zh-CN"/>
        </w:rPr>
      </w:pPr>
      <w:r w:rsidRPr="00A2240B">
        <w:rPr>
          <w:i/>
          <w:iCs/>
          <w:lang w:val="en-US" w:eastAsia="zh-CN"/>
        </w:rPr>
        <w:t>g)</w:t>
      </w:r>
      <w:r w:rsidRPr="00A2240B">
        <w:rPr>
          <w:lang w:val="en-US" w:eastAsia="zh-CN"/>
        </w:rPr>
        <w:tab/>
      </w:r>
      <w:r w:rsidRPr="00A2240B">
        <w:rPr>
          <w:lang w:val="en-US" w:eastAsia="zh-CN"/>
        </w:rPr>
        <w:t>未来若干年内，诸多通过</w:t>
      </w:r>
      <w:r w:rsidRPr="00A2240B">
        <w:rPr>
          <w:lang w:val="en-US" w:eastAsia="zh-CN"/>
        </w:rPr>
        <w:t>HDR-</w:t>
      </w:r>
      <w:proofErr w:type="gramStart"/>
      <w:r w:rsidRPr="00A2240B">
        <w:rPr>
          <w:lang w:val="en-US" w:eastAsia="zh-CN"/>
        </w:rPr>
        <w:t>TV</w:t>
      </w:r>
      <w:r w:rsidRPr="00A2240B">
        <w:rPr>
          <w:lang w:val="en-US" w:eastAsia="zh-CN"/>
        </w:rPr>
        <w:t>广播的电视节目将通过仅可显示标准动态范围图像的大量传统电视机收看；</w:t>
      </w:r>
      <w:proofErr w:type="gramEnd"/>
    </w:p>
    <w:p w14:paraId="25042389" w14:textId="77777777" w:rsidR="00A2240B" w:rsidRPr="00A2240B" w:rsidRDefault="00A2240B" w:rsidP="00A2240B">
      <w:pPr>
        <w:tabs>
          <w:tab w:val="left" w:pos="794"/>
          <w:tab w:val="left" w:pos="1191"/>
          <w:tab w:val="left" w:pos="1588"/>
          <w:tab w:val="left" w:pos="1985"/>
        </w:tabs>
        <w:spacing w:before="160" w:after="120" w:line="280" w:lineRule="exact"/>
        <w:jc w:val="both"/>
        <w:rPr>
          <w:lang w:val="en-US" w:eastAsia="zh-CN"/>
        </w:rPr>
      </w:pPr>
      <w:r w:rsidRPr="00A2240B">
        <w:rPr>
          <w:i/>
          <w:iCs/>
          <w:lang w:val="en-US" w:eastAsia="zh-CN"/>
        </w:rPr>
        <w:t>h)</w:t>
      </w:r>
      <w:r w:rsidRPr="00A2240B">
        <w:rPr>
          <w:lang w:val="en-US" w:eastAsia="zh-CN"/>
        </w:rPr>
        <w:tab/>
        <w:t>HDR-</w:t>
      </w:r>
      <w:proofErr w:type="gramStart"/>
      <w:r w:rsidRPr="00A2240B">
        <w:rPr>
          <w:lang w:val="en-US" w:eastAsia="zh-CN"/>
        </w:rPr>
        <w:t>TV</w:t>
      </w:r>
      <w:r w:rsidRPr="00A2240B">
        <w:rPr>
          <w:lang w:val="en-US" w:eastAsia="zh-CN"/>
        </w:rPr>
        <w:t>应酌情在一定程度上与现有工作流程和广播商基础设施以及</w:t>
      </w:r>
      <w:r w:rsidRPr="00A2240B">
        <w:rPr>
          <w:lang w:val="en-US" w:eastAsia="zh-CN"/>
        </w:rPr>
        <w:t>SDR</w:t>
      </w:r>
      <w:r w:rsidRPr="00A2240B">
        <w:rPr>
          <w:lang w:val="en-US" w:eastAsia="zh-CN"/>
        </w:rPr>
        <w:t>显示兼容；</w:t>
      </w:r>
      <w:proofErr w:type="gramEnd"/>
    </w:p>
    <w:p w14:paraId="2AD41337" w14:textId="77777777" w:rsidR="00A2240B" w:rsidRPr="00A2240B" w:rsidRDefault="00A2240B" w:rsidP="00A2240B">
      <w:pPr>
        <w:tabs>
          <w:tab w:val="left" w:pos="794"/>
          <w:tab w:val="left" w:pos="1191"/>
          <w:tab w:val="left" w:pos="1588"/>
          <w:tab w:val="left" w:pos="1985"/>
        </w:tabs>
        <w:spacing w:before="160" w:after="120" w:line="280" w:lineRule="exact"/>
        <w:jc w:val="both"/>
        <w:rPr>
          <w:lang w:val="en-US" w:eastAsia="zh-CN"/>
        </w:rPr>
      </w:pPr>
      <w:proofErr w:type="spellStart"/>
      <w:r w:rsidRPr="00A2240B">
        <w:rPr>
          <w:bCs/>
          <w:i/>
          <w:szCs w:val="24"/>
          <w:lang w:val="en-US" w:eastAsia="ja-JP"/>
        </w:rPr>
        <w:t>i</w:t>
      </w:r>
      <w:proofErr w:type="spellEnd"/>
      <w:r w:rsidRPr="00A2240B">
        <w:rPr>
          <w:bCs/>
          <w:i/>
          <w:szCs w:val="24"/>
          <w:lang w:val="en-US" w:eastAsia="ja-JP"/>
        </w:rPr>
        <w:t>)</w:t>
      </w:r>
      <w:r w:rsidRPr="00A2240B">
        <w:rPr>
          <w:bCs/>
          <w:iCs/>
          <w:szCs w:val="24"/>
          <w:lang w:val="en-US" w:eastAsia="ja-JP"/>
        </w:rPr>
        <w:tab/>
      </w:r>
      <w:r w:rsidRPr="00A2240B">
        <w:rPr>
          <w:bCs/>
          <w:iCs/>
          <w:szCs w:val="24"/>
          <w:lang w:val="en-US" w:eastAsia="zh-CN"/>
        </w:rPr>
        <w:t>应在</w:t>
      </w:r>
      <w:proofErr w:type="spellStart"/>
      <w:r w:rsidRPr="00A2240B">
        <w:rPr>
          <w:bCs/>
          <w:iCs/>
          <w:szCs w:val="24"/>
          <w:lang w:val="en-US" w:eastAsia="ja-JP"/>
        </w:rPr>
        <w:t>HDR</w:t>
      </w:r>
      <w:proofErr w:type="spellEnd"/>
      <w:r w:rsidRPr="00A2240B">
        <w:rPr>
          <w:bCs/>
          <w:iCs/>
          <w:szCs w:val="24"/>
          <w:lang w:val="en-US" w:eastAsia="ja-JP"/>
        </w:rPr>
        <w:t>-TV</w:t>
      </w:r>
      <w:r w:rsidRPr="00A2240B">
        <w:rPr>
          <w:bCs/>
          <w:iCs/>
          <w:szCs w:val="24"/>
          <w:lang w:val="en-US" w:eastAsia="zh-CN"/>
        </w:rPr>
        <w:t>制作中开展创新的实践，以便长时间观看时不会产生</w:t>
      </w:r>
      <w:r w:rsidRPr="00A2240B">
        <w:rPr>
          <w:color w:val="000000"/>
          <w:lang w:val="en-US" w:eastAsia="zh-CN"/>
        </w:rPr>
        <w:t>视觉不适或视觉疲劳等不利影响，</w:t>
      </w:r>
    </w:p>
    <w:p w14:paraId="24F1F3A8" w14:textId="77777777" w:rsidR="00A2240B" w:rsidRPr="00A2240B" w:rsidRDefault="00A2240B" w:rsidP="00A2240B">
      <w:pPr>
        <w:keepNext/>
        <w:keepLines/>
        <w:tabs>
          <w:tab w:val="left" w:pos="794"/>
          <w:tab w:val="left" w:pos="1191"/>
          <w:tab w:val="left" w:pos="1588"/>
          <w:tab w:val="left" w:pos="1985"/>
        </w:tabs>
        <w:spacing w:before="360" w:line="280" w:lineRule="exact"/>
        <w:ind w:left="794"/>
        <w:rPr>
          <w:iCs/>
          <w:lang w:val="en-US" w:eastAsia="zh-CN"/>
        </w:rPr>
      </w:pPr>
      <w:r w:rsidRPr="00A2240B">
        <w:rPr>
          <w:rFonts w:eastAsia="STKaiti"/>
          <w:bCs/>
          <w:iCs/>
          <w:lang w:val="en-US" w:eastAsia="zh-CN"/>
        </w:rPr>
        <w:t>做出决定</w:t>
      </w:r>
      <w:r w:rsidRPr="00A2240B">
        <w:rPr>
          <w:iCs/>
          <w:lang w:val="en-US" w:eastAsia="zh-CN"/>
        </w:rPr>
        <w:t>，应研究以下课题</w:t>
      </w:r>
    </w:p>
    <w:p w14:paraId="711D433A" w14:textId="77777777" w:rsidR="00A2240B" w:rsidRPr="00A2240B" w:rsidRDefault="00A2240B" w:rsidP="00A2240B">
      <w:pPr>
        <w:tabs>
          <w:tab w:val="left" w:pos="794"/>
          <w:tab w:val="left" w:pos="1191"/>
          <w:tab w:val="left" w:pos="1588"/>
          <w:tab w:val="left" w:pos="1985"/>
        </w:tabs>
        <w:spacing w:before="160" w:after="120" w:line="280" w:lineRule="exact"/>
        <w:jc w:val="both"/>
        <w:rPr>
          <w:lang w:val="en-US" w:eastAsia="zh-CN"/>
        </w:rPr>
      </w:pPr>
      <w:r w:rsidRPr="00A2240B">
        <w:rPr>
          <w:lang w:val="en-US" w:eastAsia="zh-CN"/>
        </w:rPr>
        <w:t>1</w:t>
      </w:r>
      <w:r w:rsidRPr="00A2240B">
        <w:rPr>
          <w:lang w:val="en-US" w:eastAsia="zh-CN"/>
        </w:rPr>
        <w:tab/>
      </w:r>
      <w:r w:rsidRPr="00A2240B">
        <w:rPr>
          <w:lang w:val="en-US" w:eastAsia="zh-CN"/>
        </w:rPr>
        <w:t>哪些制作方法和消费者传送格式，包括任何元数据要求，能够在一定程度上实现与电视收视者家中现用多数电视机的收视兼容性？</w:t>
      </w:r>
    </w:p>
    <w:p w14:paraId="0AA9080D" w14:textId="77777777" w:rsidR="00A2240B" w:rsidRPr="00A2240B" w:rsidRDefault="00A2240B" w:rsidP="00A2240B">
      <w:pPr>
        <w:tabs>
          <w:tab w:val="left" w:pos="794"/>
          <w:tab w:val="left" w:pos="1191"/>
          <w:tab w:val="left" w:pos="1588"/>
          <w:tab w:val="left" w:pos="1985"/>
        </w:tabs>
        <w:spacing w:before="160" w:line="280" w:lineRule="exact"/>
        <w:jc w:val="both"/>
        <w:rPr>
          <w:bCs/>
          <w:iCs/>
          <w:szCs w:val="24"/>
          <w:lang w:val="en-US" w:eastAsia="zh-CN"/>
        </w:rPr>
      </w:pPr>
      <w:r w:rsidRPr="00A2240B">
        <w:rPr>
          <w:bCs/>
          <w:szCs w:val="24"/>
          <w:lang w:val="en-US" w:eastAsia="zh-CN"/>
        </w:rPr>
        <w:t>2</w:t>
      </w:r>
      <w:r w:rsidRPr="00A2240B">
        <w:rPr>
          <w:bCs/>
          <w:iCs/>
          <w:szCs w:val="24"/>
          <w:lang w:val="en-US" w:eastAsia="zh-CN"/>
        </w:rPr>
        <w:tab/>
      </w:r>
      <w:r w:rsidRPr="00A2240B">
        <w:rPr>
          <w:bCs/>
          <w:iCs/>
          <w:szCs w:val="24"/>
          <w:lang w:val="en-US" w:eastAsia="zh-CN"/>
        </w:rPr>
        <w:t>为从</w:t>
      </w:r>
      <w:r w:rsidRPr="00A2240B">
        <w:rPr>
          <w:bCs/>
          <w:iCs/>
          <w:szCs w:val="24"/>
          <w:lang w:val="en-US" w:eastAsia="zh-CN"/>
        </w:rPr>
        <w:t>HDR-TV</w:t>
      </w:r>
      <w:r w:rsidRPr="00A2240B">
        <w:rPr>
          <w:bCs/>
          <w:iCs/>
          <w:szCs w:val="24"/>
          <w:lang w:val="en-US" w:eastAsia="zh-CN"/>
        </w:rPr>
        <w:t>制作的节目中获得</w:t>
      </w:r>
      <w:r w:rsidRPr="00A2240B">
        <w:rPr>
          <w:bCs/>
          <w:iCs/>
          <w:szCs w:val="24"/>
          <w:lang w:val="en-US" w:eastAsia="zh-CN"/>
        </w:rPr>
        <w:t>SDR</w:t>
      </w:r>
      <w:r w:rsidRPr="00A2240B">
        <w:rPr>
          <w:bCs/>
          <w:iCs/>
          <w:szCs w:val="24"/>
          <w:lang w:val="en-US" w:eastAsia="zh-CN"/>
        </w:rPr>
        <w:t>版本以及将</w:t>
      </w:r>
      <w:r w:rsidRPr="00A2240B">
        <w:rPr>
          <w:bCs/>
          <w:iCs/>
          <w:szCs w:val="24"/>
          <w:lang w:val="en-US" w:eastAsia="zh-CN"/>
        </w:rPr>
        <w:t>SDR</w:t>
      </w:r>
      <w:r w:rsidRPr="00A2240B">
        <w:rPr>
          <w:bCs/>
          <w:iCs/>
          <w:szCs w:val="24"/>
          <w:lang w:val="en-US" w:eastAsia="zh-CN"/>
        </w:rPr>
        <w:t>节目素材插入到</w:t>
      </w:r>
      <w:r w:rsidRPr="00A2240B">
        <w:rPr>
          <w:bCs/>
          <w:iCs/>
          <w:szCs w:val="24"/>
          <w:lang w:val="en-US" w:eastAsia="zh-CN"/>
        </w:rPr>
        <w:t>HDR</w:t>
      </w:r>
      <w:r w:rsidRPr="00A2240B">
        <w:rPr>
          <w:bCs/>
          <w:iCs/>
          <w:szCs w:val="24"/>
          <w:lang w:val="en-US" w:eastAsia="zh-CN"/>
        </w:rPr>
        <w:t>节目中时应建议采用哪种色调映射</w:t>
      </w:r>
      <w:r w:rsidRPr="00A2240B">
        <w:rPr>
          <w:bCs/>
          <w:iCs/>
          <w:position w:val="6"/>
          <w:sz w:val="18"/>
          <w:szCs w:val="24"/>
        </w:rPr>
        <w:footnoteReference w:id="2"/>
      </w:r>
      <w:r w:rsidRPr="00A2240B">
        <w:rPr>
          <w:bCs/>
          <w:iCs/>
          <w:szCs w:val="24"/>
          <w:lang w:val="en-US" w:eastAsia="zh-CN"/>
        </w:rPr>
        <w:t>方法？</w:t>
      </w:r>
    </w:p>
    <w:p w14:paraId="11A6977E" w14:textId="77777777" w:rsidR="00A2240B" w:rsidRPr="00A2240B" w:rsidRDefault="00A2240B" w:rsidP="00A2240B">
      <w:pPr>
        <w:tabs>
          <w:tab w:val="left" w:pos="794"/>
          <w:tab w:val="left" w:pos="1191"/>
          <w:tab w:val="left" w:pos="1588"/>
          <w:tab w:val="left" w:pos="1985"/>
        </w:tabs>
        <w:spacing w:before="160" w:after="120" w:line="280" w:lineRule="exact"/>
        <w:jc w:val="both"/>
        <w:rPr>
          <w:lang w:val="en-US" w:eastAsia="zh-CN"/>
        </w:rPr>
      </w:pPr>
      <w:r w:rsidRPr="00A2240B">
        <w:rPr>
          <w:lang w:val="en-US" w:eastAsia="zh-CN"/>
        </w:rPr>
        <w:t>3</w:t>
      </w:r>
      <w:r w:rsidRPr="00A2240B">
        <w:rPr>
          <w:lang w:val="en-US" w:eastAsia="zh-CN"/>
        </w:rPr>
        <w:tab/>
      </w:r>
      <w:r w:rsidRPr="00A2240B">
        <w:rPr>
          <w:lang w:val="en-US" w:eastAsia="zh-CN"/>
        </w:rPr>
        <w:t>应提供哪些操作做法和流程的指南，以帮助确保对高动态范围的优化和持续使用？</w:t>
      </w:r>
    </w:p>
    <w:p w14:paraId="3F0E7C2A" w14:textId="77777777" w:rsidR="00A2240B" w:rsidRPr="00A2240B" w:rsidRDefault="00A2240B" w:rsidP="00A2240B">
      <w:pPr>
        <w:tabs>
          <w:tab w:val="left" w:pos="794"/>
          <w:tab w:val="left" w:pos="1191"/>
          <w:tab w:val="left" w:pos="1588"/>
          <w:tab w:val="left" w:pos="1985"/>
        </w:tabs>
        <w:spacing w:before="160" w:after="120" w:line="280" w:lineRule="exact"/>
        <w:jc w:val="both"/>
        <w:rPr>
          <w:lang w:val="en-US" w:eastAsia="zh-CN"/>
        </w:rPr>
      </w:pPr>
      <w:r w:rsidRPr="00A2240B">
        <w:rPr>
          <w:lang w:val="en-US" w:eastAsia="zh-CN"/>
        </w:rPr>
        <w:lastRenderedPageBreak/>
        <w:t>4</w:t>
      </w:r>
      <w:r w:rsidRPr="00A2240B">
        <w:rPr>
          <w:lang w:val="en-US" w:eastAsia="zh-CN"/>
        </w:rPr>
        <w:tab/>
      </w:r>
      <w:r w:rsidRPr="00A2240B">
        <w:rPr>
          <w:lang w:val="en-US" w:eastAsia="zh-CN"/>
        </w:rPr>
        <w:t>为帮助保持电视制作中高动态范围内容的质量，应建议测量哪些信号以及采用什么测试方法？</w:t>
      </w:r>
    </w:p>
    <w:p w14:paraId="29BE245C" w14:textId="77777777" w:rsidR="00A2240B" w:rsidRPr="00A2240B" w:rsidRDefault="00A2240B" w:rsidP="00A2240B">
      <w:pPr>
        <w:tabs>
          <w:tab w:val="left" w:pos="794"/>
          <w:tab w:val="left" w:pos="1191"/>
          <w:tab w:val="left" w:pos="1588"/>
          <w:tab w:val="left" w:pos="1985"/>
        </w:tabs>
        <w:spacing w:before="160" w:after="120" w:line="280" w:lineRule="exact"/>
        <w:jc w:val="both"/>
        <w:rPr>
          <w:lang w:val="en-US" w:eastAsia="zh-CN"/>
        </w:rPr>
      </w:pPr>
      <w:r w:rsidRPr="00A2240B">
        <w:rPr>
          <w:lang w:val="en-US" w:eastAsia="zh-CN"/>
        </w:rPr>
        <w:t>5</w:t>
      </w:r>
      <w:r w:rsidRPr="00A2240B">
        <w:rPr>
          <w:lang w:val="en-US" w:eastAsia="zh-CN"/>
        </w:rPr>
        <w:tab/>
      </w:r>
      <w:r w:rsidRPr="00A2240B">
        <w:rPr>
          <w:lang w:val="en-US" w:eastAsia="zh-CN"/>
        </w:rPr>
        <w:t>为使家庭电视观众不会在</w:t>
      </w:r>
      <w:r w:rsidRPr="00A2240B">
        <w:rPr>
          <w:lang w:val="en-US" w:eastAsia="zh-CN"/>
        </w:rPr>
        <w:t>HDR-TV</w:t>
      </w:r>
      <w:r w:rsidRPr="00A2240B">
        <w:rPr>
          <w:lang w:val="en-US" w:eastAsia="zh-CN"/>
        </w:rPr>
        <w:t>节目和标准动态范围电视节目之间的过渡期内，在电视图像显示中察觉到烦人的跳动现象，应就做法提出哪些建议？</w:t>
      </w:r>
    </w:p>
    <w:p w14:paraId="7E85B3BC" w14:textId="77777777" w:rsidR="00A2240B" w:rsidRPr="00A2240B" w:rsidRDefault="00A2240B" w:rsidP="00A2240B">
      <w:pPr>
        <w:keepNext/>
        <w:keepLines/>
        <w:tabs>
          <w:tab w:val="left" w:pos="794"/>
          <w:tab w:val="left" w:pos="1191"/>
          <w:tab w:val="left" w:pos="1588"/>
          <w:tab w:val="left" w:pos="1985"/>
        </w:tabs>
        <w:spacing w:before="240" w:line="280" w:lineRule="exact"/>
        <w:ind w:left="794"/>
        <w:rPr>
          <w:rFonts w:eastAsia="STKaiti"/>
          <w:bCs/>
          <w:i/>
          <w:lang w:val="en-US" w:eastAsia="zh-CN"/>
        </w:rPr>
      </w:pPr>
      <w:r w:rsidRPr="00A2240B">
        <w:rPr>
          <w:rFonts w:eastAsia="STKaiti"/>
          <w:bCs/>
          <w:iCs/>
          <w:lang w:val="en-US" w:eastAsia="zh-CN"/>
        </w:rPr>
        <w:t>进一步做出决定</w:t>
      </w:r>
    </w:p>
    <w:p w14:paraId="6A4D3D16" w14:textId="77777777" w:rsidR="00A2240B" w:rsidRPr="00A2240B" w:rsidRDefault="00A2240B" w:rsidP="00A2240B">
      <w:pPr>
        <w:tabs>
          <w:tab w:val="left" w:pos="794"/>
          <w:tab w:val="left" w:pos="1191"/>
          <w:tab w:val="left" w:pos="1588"/>
          <w:tab w:val="left" w:pos="1985"/>
        </w:tabs>
        <w:spacing w:before="160" w:after="120" w:line="280" w:lineRule="exact"/>
        <w:jc w:val="both"/>
        <w:rPr>
          <w:lang w:val="en-US" w:eastAsia="zh-CN"/>
        </w:rPr>
      </w:pPr>
      <w:r w:rsidRPr="00A2240B">
        <w:rPr>
          <w:lang w:val="en-US" w:eastAsia="zh-CN"/>
        </w:rPr>
        <w:t>1</w:t>
      </w:r>
      <w:r w:rsidRPr="00A2240B">
        <w:rPr>
          <w:lang w:val="en-US" w:eastAsia="zh-CN"/>
        </w:rPr>
        <w:tab/>
      </w:r>
      <w:r w:rsidRPr="00A2240B">
        <w:rPr>
          <w:lang w:val="en-US" w:eastAsia="zh-CN"/>
        </w:rPr>
        <w:t>以上研究结果应被纳入一份或多份报告和</w:t>
      </w:r>
      <w:r w:rsidRPr="00A2240B">
        <w:rPr>
          <w:lang w:val="en-US" w:eastAsia="zh-CN"/>
        </w:rPr>
        <w:t>/</w:t>
      </w:r>
      <w:proofErr w:type="gramStart"/>
      <w:r w:rsidRPr="00A2240B">
        <w:rPr>
          <w:lang w:val="en-US" w:eastAsia="zh-CN"/>
        </w:rPr>
        <w:t>或建议；</w:t>
      </w:r>
      <w:proofErr w:type="gramEnd"/>
    </w:p>
    <w:p w14:paraId="302D76B2" w14:textId="77777777" w:rsidR="00A2240B" w:rsidRPr="00A2240B" w:rsidRDefault="00A2240B" w:rsidP="00A2240B">
      <w:pPr>
        <w:tabs>
          <w:tab w:val="left" w:pos="794"/>
          <w:tab w:val="left" w:pos="1191"/>
          <w:tab w:val="left" w:pos="1588"/>
          <w:tab w:val="left" w:pos="1985"/>
        </w:tabs>
        <w:spacing w:before="160" w:after="120" w:line="280" w:lineRule="exact"/>
        <w:jc w:val="both"/>
        <w:rPr>
          <w:lang w:val="en-US" w:eastAsia="zh-CN"/>
        </w:rPr>
      </w:pPr>
      <w:r w:rsidRPr="00A2240B">
        <w:rPr>
          <w:lang w:val="en-US" w:eastAsia="zh-CN"/>
        </w:rPr>
        <w:t>2</w:t>
      </w:r>
      <w:r w:rsidRPr="00A2240B">
        <w:rPr>
          <w:lang w:val="en-US" w:eastAsia="zh-CN"/>
        </w:rPr>
        <w:tab/>
      </w:r>
      <w:r w:rsidRPr="00A2240B">
        <w:rPr>
          <w:lang w:val="en-US" w:eastAsia="zh-CN"/>
        </w:rPr>
        <w:t>上述研究应于</w:t>
      </w:r>
      <w:r w:rsidRPr="00A2240B">
        <w:rPr>
          <w:lang w:val="en-US" w:eastAsia="zh-CN"/>
        </w:rPr>
        <w:t>2027</w:t>
      </w:r>
      <w:r w:rsidRPr="00A2240B">
        <w:rPr>
          <w:lang w:val="en-US" w:eastAsia="zh-CN"/>
        </w:rPr>
        <w:t>年之前完成</w:t>
      </w:r>
      <w:r w:rsidRPr="00A2240B">
        <w:rPr>
          <w:vertAlign w:val="superscript"/>
          <w:lang w:val="en-US" w:eastAsia="zh-CN"/>
        </w:rPr>
        <w:t>2</w:t>
      </w:r>
      <w:r w:rsidRPr="00A2240B">
        <w:rPr>
          <w:lang w:val="en-US" w:eastAsia="zh-CN"/>
        </w:rPr>
        <w:t>。</w:t>
      </w:r>
      <w:r w:rsidRPr="00A2240B">
        <w:rPr>
          <w:color w:val="FFFFFF"/>
          <w:position w:val="6"/>
          <w:sz w:val="18"/>
          <w:szCs w:val="18"/>
          <w:lang w:val="en-US"/>
        </w:rPr>
        <w:footnoteReference w:id="3"/>
      </w:r>
    </w:p>
    <w:p w14:paraId="5B2F4E40" w14:textId="77777777" w:rsidR="00A2240B" w:rsidRPr="00A2240B" w:rsidRDefault="00A2240B" w:rsidP="00A2240B">
      <w:pPr>
        <w:tabs>
          <w:tab w:val="left" w:pos="794"/>
          <w:tab w:val="left" w:pos="1191"/>
          <w:tab w:val="left" w:pos="1588"/>
          <w:tab w:val="left" w:pos="1985"/>
        </w:tabs>
        <w:spacing w:before="400" w:line="280" w:lineRule="exact"/>
        <w:jc w:val="both"/>
        <w:rPr>
          <w:lang w:val="en-US"/>
        </w:rPr>
      </w:pPr>
      <w:r w:rsidRPr="00A2240B">
        <w:rPr>
          <w:lang w:val="en-US"/>
        </w:rPr>
        <w:t>类别：</w:t>
      </w:r>
      <w:r w:rsidRPr="00A2240B">
        <w:rPr>
          <w:lang w:val="en-US"/>
        </w:rPr>
        <w:t>S2</w:t>
      </w:r>
    </w:p>
    <w:p w14:paraId="40D9C0F2" w14:textId="77777777" w:rsidR="00A2240B" w:rsidRPr="00A2240B" w:rsidRDefault="00A2240B" w:rsidP="00A2240B"/>
    <w:p w14:paraId="7515C654" w14:textId="4377FB94" w:rsidR="00557650" w:rsidRPr="00A2240B" w:rsidRDefault="00557650" w:rsidP="00A2240B"/>
    <w:sectPr w:rsidR="00557650" w:rsidRPr="00A2240B">
      <w:headerReference w:type="even" r:id="rId12"/>
      <w:headerReference w:type="default" r:id="rId13"/>
      <w:footerReference w:type="even" r:id="rId14"/>
      <w:footerReference w:type="default" r:id="rId15"/>
      <w:headerReference w:type="firs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A2308" w14:textId="77777777" w:rsidR="00626539" w:rsidRDefault="00626539">
      <w:r>
        <w:separator/>
      </w:r>
    </w:p>
  </w:endnote>
  <w:endnote w:type="continuationSeparator" w:id="0">
    <w:p w14:paraId="021F4D2E" w14:textId="77777777" w:rsidR="00626539" w:rsidRDefault="00626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1C8AE" w14:textId="77777777" w:rsidR="005F2B3E" w:rsidRDefault="005F2B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6305" w14:textId="5DF829CA" w:rsidR="00B851D4" w:rsidRPr="005F2B3E" w:rsidRDefault="00B851D4" w:rsidP="005F2B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00A41" w14:textId="14ECDD72" w:rsidR="00B851D4" w:rsidRPr="005F2B3E" w:rsidRDefault="00B851D4" w:rsidP="005F2B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3FE39" w14:textId="77777777" w:rsidR="00626539" w:rsidRDefault="00626539">
      <w:r>
        <w:t>____________________</w:t>
      </w:r>
    </w:p>
  </w:footnote>
  <w:footnote w:type="continuationSeparator" w:id="0">
    <w:p w14:paraId="65FBE7F0" w14:textId="77777777" w:rsidR="00626539" w:rsidRDefault="00626539">
      <w:r>
        <w:continuationSeparator/>
      </w:r>
    </w:p>
  </w:footnote>
  <w:footnote w:id="1">
    <w:p w14:paraId="217D06A0" w14:textId="60C307EE" w:rsidR="00C552C3" w:rsidRPr="006575D2" w:rsidRDefault="00C552C3">
      <w:pPr>
        <w:pStyle w:val="FootnoteText"/>
        <w:rPr>
          <w:rFonts w:ascii="SimSun" w:hAnsi="SimSun"/>
          <w:sz w:val="24"/>
          <w:szCs w:val="24"/>
          <w:lang w:eastAsia="zh-CN"/>
        </w:rPr>
      </w:pPr>
      <w:r w:rsidRPr="00C552C3">
        <w:rPr>
          <w:rStyle w:val="FootnoteReference"/>
        </w:rPr>
        <w:sym w:font="Symbol" w:char="F02A"/>
      </w:r>
      <w:r>
        <w:rPr>
          <w:lang w:eastAsia="zh-CN"/>
        </w:rPr>
        <w:t xml:space="preserve"> </w:t>
      </w:r>
      <w:r w:rsidRPr="006575D2">
        <w:rPr>
          <w:sz w:val="24"/>
          <w:szCs w:val="24"/>
          <w:lang w:eastAsia="zh-CN"/>
        </w:rPr>
        <w:t>2023</w:t>
      </w:r>
      <w:r w:rsidRPr="006575D2">
        <w:rPr>
          <w:rFonts w:ascii="SimSun" w:hAnsi="SimSun" w:hint="eastAsia"/>
          <w:sz w:val="24"/>
          <w:szCs w:val="24"/>
          <w:lang w:eastAsia="zh-CN"/>
        </w:rPr>
        <w:t>年，无线电通信第</w:t>
      </w:r>
      <w:r w:rsidRPr="005D4B4A">
        <w:rPr>
          <w:sz w:val="24"/>
          <w:szCs w:val="24"/>
          <w:lang w:eastAsia="zh-CN"/>
        </w:rPr>
        <w:t>6</w:t>
      </w:r>
      <w:r w:rsidRPr="006575D2">
        <w:rPr>
          <w:rFonts w:ascii="SimSun" w:hAnsi="SimSun" w:hint="eastAsia"/>
          <w:sz w:val="24"/>
          <w:szCs w:val="24"/>
          <w:lang w:eastAsia="zh-CN"/>
        </w:rPr>
        <w:t>研究组根据</w:t>
      </w:r>
      <w:r w:rsidRPr="006575D2">
        <w:rPr>
          <w:rFonts w:ascii="SimSun" w:hAnsi="SimSun"/>
          <w:sz w:val="24"/>
          <w:szCs w:val="24"/>
          <w:lang w:eastAsia="zh-CN"/>
        </w:rPr>
        <w:t>ITU-R</w:t>
      </w:r>
      <w:r w:rsidRPr="006575D2">
        <w:rPr>
          <w:rFonts w:ascii="SimSun" w:hAnsi="SimSun" w:hint="eastAsia"/>
          <w:sz w:val="24"/>
          <w:szCs w:val="24"/>
          <w:lang w:eastAsia="zh-CN"/>
        </w:rPr>
        <w:t>第</w:t>
      </w:r>
      <w:r w:rsidRPr="006575D2">
        <w:rPr>
          <w:sz w:val="24"/>
          <w:szCs w:val="24"/>
          <w:lang w:eastAsia="zh-CN"/>
        </w:rPr>
        <w:t>1</w:t>
      </w:r>
      <w:r w:rsidRPr="006575D2">
        <w:rPr>
          <w:rFonts w:ascii="SimSun" w:hAnsi="SimSun" w:hint="eastAsia"/>
          <w:sz w:val="24"/>
          <w:szCs w:val="24"/>
          <w:lang w:eastAsia="zh-CN"/>
        </w:rPr>
        <w:t>号决议对此课题进行了编辑性修正。</w:t>
      </w:r>
    </w:p>
  </w:footnote>
  <w:footnote w:id="2">
    <w:p w14:paraId="7CCBD9A1" w14:textId="77777777" w:rsidR="00A2240B" w:rsidRDefault="00A2240B" w:rsidP="00A2240B">
      <w:pPr>
        <w:pStyle w:val="FootnoteText"/>
        <w:rPr>
          <w:lang w:eastAsia="zh-CN"/>
        </w:rPr>
      </w:pPr>
      <w:r w:rsidRPr="00402CAC">
        <w:rPr>
          <w:rStyle w:val="FootnoteReference"/>
          <w:rFonts w:eastAsia="Times New Roman"/>
          <w:szCs w:val="18"/>
          <w:lang w:val="ru-RU"/>
        </w:rPr>
        <w:footnoteRef/>
      </w:r>
      <w:r w:rsidRPr="00402CAC">
        <w:rPr>
          <w:rStyle w:val="FootnoteReference"/>
          <w:rFonts w:eastAsia="Times New Roman"/>
          <w:szCs w:val="18"/>
          <w:lang w:val="ru-RU" w:eastAsia="zh-CN"/>
        </w:rPr>
        <w:tab/>
      </w:r>
      <w:r w:rsidRPr="00B61103">
        <w:rPr>
          <w:rFonts w:ascii="SimSun" w:hAnsi="SimSun" w:hint="eastAsia"/>
          <w:sz w:val="24"/>
          <w:szCs w:val="24"/>
          <w:lang w:eastAsia="zh-CN"/>
        </w:rPr>
        <w:t>色调映射是一种用来将一组图像参数映射到另一组图像参数，如将高动态范围电视节目处理为另一种版本，在标准动态范围媒体中分发的图像处理方法。</w:t>
      </w:r>
    </w:p>
  </w:footnote>
  <w:footnote w:id="3">
    <w:p w14:paraId="3368EDE6" w14:textId="77777777" w:rsidR="00A2240B" w:rsidRPr="00B61103" w:rsidRDefault="00A2240B" w:rsidP="00A2240B">
      <w:pPr>
        <w:pStyle w:val="FootnoteText"/>
        <w:rPr>
          <w:sz w:val="24"/>
          <w:szCs w:val="24"/>
          <w:lang w:eastAsia="zh-CN"/>
        </w:rPr>
      </w:pPr>
      <w:r w:rsidRPr="00402CAC">
        <w:rPr>
          <w:rStyle w:val="FootnoteReference"/>
          <w:rFonts w:eastAsia="Times New Roman"/>
          <w:szCs w:val="18"/>
          <w:lang w:val="ru-RU" w:eastAsia="zh-CN"/>
        </w:rPr>
        <w:t>2</w:t>
      </w:r>
      <w:r w:rsidRPr="00402CAC">
        <w:rPr>
          <w:rStyle w:val="FootnoteReference"/>
          <w:rFonts w:eastAsia="Times New Roman"/>
          <w:sz w:val="16"/>
          <w:lang w:val="ru-RU" w:eastAsia="zh-CN"/>
        </w:rPr>
        <w:tab/>
      </w:r>
      <w:r w:rsidRPr="00402CAC">
        <w:rPr>
          <w:rFonts w:hint="eastAsia"/>
          <w:sz w:val="24"/>
          <w:szCs w:val="24"/>
          <w:lang w:eastAsia="zh-CN"/>
        </w:rPr>
        <w:t>应酌情及时提请</w:t>
      </w:r>
      <w:r w:rsidRPr="00402CAC">
        <w:rPr>
          <w:sz w:val="24"/>
          <w:szCs w:val="24"/>
          <w:lang w:eastAsia="zh-CN"/>
        </w:rPr>
        <w:t>IEC</w:t>
      </w:r>
      <w:r w:rsidRPr="00402CAC">
        <w:rPr>
          <w:rFonts w:hint="eastAsia"/>
          <w:sz w:val="24"/>
          <w:szCs w:val="24"/>
          <w:lang w:eastAsia="zh-CN"/>
        </w:rPr>
        <w:t>注意相关研究结果。</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95262" w14:textId="77777777" w:rsidR="005F2B3E" w:rsidRDefault="005F2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F55C3" w14:textId="73F09E88" w:rsidR="00B851D4" w:rsidRPr="00A2240B" w:rsidRDefault="00A2240B" w:rsidP="00A2240B">
    <w:pPr>
      <w:pStyle w:val="Header"/>
      <w:rPr>
        <w:szCs w:val="18"/>
      </w:rPr>
    </w:pPr>
    <w:r w:rsidRPr="00513BB0">
      <w:rPr>
        <w:szCs w:val="18"/>
      </w:rPr>
      <w:t xml:space="preserve">- </w:t>
    </w:r>
    <w:sdt>
      <w:sdtPr>
        <w:rPr>
          <w:szCs w:val="18"/>
        </w:rPr>
        <w:id w:val="-1487083043"/>
        <w:docPartObj>
          <w:docPartGallery w:val="Page Numbers (Top of Page)"/>
          <w:docPartUnique/>
        </w:docPartObj>
      </w:sdtPr>
      <w:sdtEndPr>
        <w:rPr>
          <w:noProof/>
        </w:rPr>
      </w:sdtEndPr>
      <w:sdtContent>
        <w:r w:rsidRPr="00513BB0">
          <w:rPr>
            <w:szCs w:val="18"/>
          </w:rPr>
          <w:fldChar w:fldCharType="begin"/>
        </w:r>
        <w:r w:rsidRPr="00513BB0">
          <w:rPr>
            <w:szCs w:val="18"/>
          </w:rPr>
          <w:instrText xml:space="preserve"> PAGE   \* MERGEFORMAT </w:instrText>
        </w:r>
        <w:r w:rsidRPr="00513BB0">
          <w:rPr>
            <w:szCs w:val="18"/>
          </w:rPr>
          <w:fldChar w:fldCharType="separate"/>
        </w:r>
        <w:r>
          <w:rPr>
            <w:szCs w:val="18"/>
          </w:rPr>
          <w:t>2</w:t>
        </w:r>
        <w:r w:rsidRPr="00513BB0">
          <w:rPr>
            <w:noProof/>
            <w:szCs w:val="18"/>
          </w:rPr>
          <w:fldChar w:fldCharType="end"/>
        </w:r>
        <w:r w:rsidRPr="00513BB0">
          <w:rPr>
            <w:noProof/>
            <w:szCs w:val="18"/>
          </w:rP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F558C" w14:textId="77777777" w:rsidR="005F2B3E" w:rsidRDefault="005F2B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CA72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205D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7878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789B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2A02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F0E1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C2F2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766F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BAFF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7C9834"/>
    <w:lvl w:ilvl="0">
      <w:start w:val="1"/>
      <w:numFmt w:val="bullet"/>
      <w:lvlText w:val=""/>
      <w:lvlJc w:val="left"/>
      <w:pPr>
        <w:tabs>
          <w:tab w:val="num" w:pos="360"/>
        </w:tabs>
        <w:ind w:left="360" w:hanging="360"/>
      </w:pPr>
      <w:rPr>
        <w:rFonts w:ascii="Symbol" w:hAnsi="Symbol" w:hint="default"/>
      </w:rPr>
    </w:lvl>
  </w:abstractNum>
  <w:num w:numId="1" w16cid:durableId="1797872056">
    <w:abstractNumId w:val="9"/>
  </w:num>
  <w:num w:numId="2" w16cid:durableId="1432778500">
    <w:abstractNumId w:val="7"/>
  </w:num>
  <w:num w:numId="3" w16cid:durableId="1871145110">
    <w:abstractNumId w:val="6"/>
  </w:num>
  <w:num w:numId="4" w16cid:durableId="270207043">
    <w:abstractNumId w:val="5"/>
  </w:num>
  <w:num w:numId="5" w16cid:durableId="781848574">
    <w:abstractNumId w:val="4"/>
  </w:num>
  <w:num w:numId="6" w16cid:durableId="1567106046">
    <w:abstractNumId w:val="8"/>
  </w:num>
  <w:num w:numId="7" w16cid:durableId="429084881">
    <w:abstractNumId w:val="3"/>
  </w:num>
  <w:num w:numId="8" w16cid:durableId="908541866">
    <w:abstractNumId w:val="2"/>
  </w:num>
  <w:num w:numId="9" w16cid:durableId="1028869103">
    <w:abstractNumId w:val="1"/>
  </w:num>
  <w:num w:numId="10" w16cid:durableId="1375958951">
    <w:abstractNumId w:val="0"/>
  </w:num>
  <w:num w:numId="11" w16cid:durableId="501428970">
    <w:abstractNumId w:val="9"/>
  </w:num>
  <w:num w:numId="12" w16cid:durableId="763257994">
    <w:abstractNumId w:val="7"/>
  </w:num>
  <w:num w:numId="13" w16cid:durableId="1352105820">
    <w:abstractNumId w:val="6"/>
  </w:num>
  <w:num w:numId="14" w16cid:durableId="1495492131">
    <w:abstractNumId w:val="5"/>
  </w:num>
  <w:num w:numId="15" w16cid:durableId="188447951">
    <w:abstractNumId w:val="4"/>
  </w:num>
  <w:num w:numId="16" w16cid:durableId="1675834570">
    <w:abstractNumId w:val="8"/>
  </w:num>
  <w:num w:numId="17" w16cid:durableId="379474544">
    <w:abstractNumId w:val="3"/>
  </w:num>
  <w:num w:numId="18" w16cid:durableId="1594053191">
    <w:abstractNumId w:val="2"/>
  </w:num>
  <w:num w:numId="19" w16cid:durableId="981273316">
    <w:abstractNumId w:val="1"/>
  </w:num>
  <w:num w:numId="20" w16cid:durableId="1473600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ru-R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106535"/>
    <w:rsid w:val="00123C07"/>
    <w:rsid w:val="00166859"/>
    <w:rsid w:val="001765EC"/>
    <w:rsid w:val="001853E8"/>
    <w:rsid w:val="001A4E73"/>
    <w:rsid w:val="001B6360"/>
    <w:rsid w:val="001D2670"/>
    <w:rsid w:val="001F4EA6"/>
    <w:rsid w:val="00200FB9"/>
    <w:rsid w:val="00214959"/>
    <w:rsid w:val="0022272C"/>
    <w:rsid w:val="002260A6"/>
    <w:rsid w:val="00234F9A"/>
    <w:rsid w:val="0023592E"/>
    <w:rsid w:val="00267406"/>
    <w:rsid w:val="002742B3"/>
    <w:rsid w:val="00292C89"/>
    <w:rsid w:val="002A4C9C"/>
    <w:rsid w:val="002B509B"/>
    <w:rsid w:val="002E2A59"/>
    <w:rsid w:val="002E4507"/>
    <w:rsid w:val="00305254"/>
    <w:rsid w:val="003169D2"/>
    <w:rsid w:val="00330EEF"/>
    <w:rsid w:val="0035337F"/>
    <w:rsid w:val="003B4BEF"/>
    <w:rsid w:val="003B6399"/>
    <w:rsid w:val="003C6B45"/>
    <w:rsid w:val="003E48E2"/>
    <w:rsid w:val="003E5931"/>
    <w:rsid w:val="0041282E"/>
    <w:rsid w:val="00437869"/>
    <w:rsid w:val="00465A34"/>
    <w:rsid w:val="004B4C76"/>
    <w:rsid w:val="004C4554"/>
    <w:rsid w:val="004D2DEC"/>
    <w:rsid w:val="004F2BE6"/>
    <w:rsid w:val="00527E8A"/>
    <w:rsid w:val="00542E85"/>
    <w:rsid w:val="00557650"/>
    <w:rsid w:val="00562479"/>
    <w:rsid w:val="00576849"/>
    <w:rsid w:val="005A0ACB"/>
    <w:rsid w:val="005A30E1"/>
    <w:rsid w:val="005D065C"/>
    <w:rsid w:val="005D4B4A"/>
    <w:rsid w:val="005E08D2"/>
    <w:rsid w:val="005E7FD8"/>
    <w:rsid w:val="005F2B3E"/>
    <w:rsid w:val="00622560"/>
    <w:rsid w:val="00626539"/>
    <w:rsid w:val="00644391"/>
    <w:rsid w:val="00647712"/>
    <w:rsid w:val="006575D2"/>
    <w:rsid w:val="00662E12"/>
    <w:rsid w:val="00691142"/>
    <w:rsid w:val="006B67CE"/>
    <w:rsid w:val="006C38ED"/>
    <w:rsid w:val="006E6182"/>
    <w:rsid w:val="006E6997"/>
    <w:rsid w:val="006F3C60"/>
    <w:rsid w:val="00707B56"/>
    <w:rsid w:val="00736415"/>
    <w:rsid w:val="0075670D"/>
    <w:rsid w:val="00770D2A"/>
    <w:rsid w:val="007864F6"/>
    <w:rsid w:val="00795444"/>
    <w:rsid w:val="007A2545"/>
    <w:rsid w:val="007B7C4B"/>
    <w:rsid w:val="007F0FC5"/>
    <w:rsid w:val="007F5C36"/>
    <w:rsid w:val="008047DB"/>
    <w:rsid w:val="00810D7E"/>
    <w:rsid w:val="008129A9"/>
    <w:rsid w:val="008221A4"/>
    <w:rsid w:val="00824BD6"/>
    <w:rsid w:val="0083672D"/>
    <w:rsid w:val="00844734"/>
    <w:rsid w:val="00865DFB"/>
    <w:rsid w:val="00870A7D"/>
    <w:rsid w:val="00896A79"/>
    <w:rsid w:val="008A7416"/>
    <w:rsid w:val="008B6852"/>
    <w:rsid w:val="008C26FF"/>
    <w:rsid w:val="008D1D14"/>
    <w:rsid w:val="008D6D9C"/>
    <w:rsid w:val="008E1785"/>
    <w:rsid w:val="008E7127"/>
    <w:rsid w:val="008E7C8E"/>
    <w:rsid w:val="00912959"/>
    <w:rsid w:val="00940086"/>
    <w:rsid w:val="00963B6A"/>
    <w:rsid w:val="009657F9"/>
    <w:rsid w:val="00967696"/>
    <w:rsid w:val="0099525B"/>
    <w:rsid w:val="009C72B7"/>
    <w:rsid w:val="00A0052C"/>
    <w:rsid w:val="00A2240B"/>
    <w:rsid w:val="00A31B14"/>
    <w:rsid w:val="00A323DC"/>
    <w:rsid w:val="00A466E6"/>
    <w:rsid w:val="00A815BE"/>
    <w:rsid w:val="00A93295"/>
    <w:rsid w:val="00AA5DA1"/>
    <w:rsid w:val="00AC2C94"/>
    <w:rsid w:val="00AE369F"/>
    <w:rsid w:val="00B026CB"/>
    <w:rsid w:val="00B50377"/>
    <w:rsid w:val="00B6115E"/>
    <w:rsid w:val="00B711CC"/>
    <w:rsid w:val="00B851D4"/>
    <w:rsid w:val="00B868FC"/>
    <w:rsid w:val="00B95072"/>
    <w:rsid w:val="00BB26CD"/>
    <w:rsid w:val="00BE464F"/>
    <w:rsid w:val="00C07239"/>
    <w:rsid w:val="00C214A6"/>
    <w:rsid w:val="00C364B1"/>
    <w:rsid w:val="00C47D87"/>
    <w:rsid w:val="00C552C3"/>
    <w:rsid w:val="00C627F9"/>
    <w:rsid w:val="00C6584D"/>
    <w:rsid w:val="00C929E0"/>
    <w:rsid w:val="00CB4E5A"/>
    <w:rsid w:val="00CC73D7"/>
    <w:rsid w:val="00CF06C1"/>
    <w:rsid w:val="00CF0AD7"/>
    <w:rsid w:val="00CF0BE1"/>
    <w:rsid w:val="00CF7C2B"/>
    <w:rsid w:val="00D03699"/>
    <w:rsid w:val="00D25888"/>
    <w:rsid w:val="00D52A14"/>
    <w:rsid w:val="00D5451C"/>
    <w:rsid w:val="00D6206A"/>
    <w:rsid w:val="00D74599"/>
    <w:rsid w:val="00DA0469"/>
    <w:rsid w:val="00DA6B16"/>
    <w:rsid w:val="00DD13B7"/>
    <w:rsid w:val="00DF3B0C"/>
    <w:rsid w:val="00E12675"/>
    <w:rsid w:val="00E14984"/>
    <w:rsid w:val="00E22A25"/>
    <w:rsid w:val="00E2345A"/>
    <w:rsid w:val="00E560F1"/>
    <w:rsid w:val="00E83FF5"/>
    <w:rsid w:val="00E8717D"/>
    <w:rsid w:val="00E92319"/>
    <w:rsid w:val="00F837F4"/>
    <w:rsid w:val="00FC59C4"/>
    <w:rsid w:val="00FE54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B19577"/>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uiPriority w:val="99"/>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uiPriority w:val="99"/>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link w:val="QuestiontitleChar"/>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B02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link w:val="HeaderChar"/>
    <w:uiPriority w:val="99"/>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qFormat/>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qFormat/>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uiPriority w:val="99"/>
    <w:qFormat/>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paragraph" w:customStyle="1" w:styleId="CPMProposal">
    <w:name w:val="CPM_Proposal"/>
    <w:basedOn w:val="Proposal"/>
    <w:qFormat/>
    <w:rsid w:val="00E2345A"/>
  </w:style>
  <w:style w:type="paragraph" w:customStyle="1" w:styleId="CPMReasons">
    <w:name w:val="CPM_Reasons"/>
    <w:basedOn w:val="Reasons"/>
    <w:qFormat/>
    <w:rsid w:val="00E2345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963B6A"/>
    <w:rPr>
      <w:rFonts w:ascii="Times New Roman" w:hAnsi="Times New Roman"/>
      <w:sz w:val="24"/>
      <w:lang w:val="en-GB" w:eastAsia="en-US"/>
    </w:rPr>
  </w:style>
  <w:style w:type="character" w:customStyle="1" w:styleId="BalloonTextChar">
    <w:name w:val="Balloon Text Char"/>
    <w:basedOn w:val="DefaultParagraphFont"/>
    <w:link w:val="BalloonText"/>
    <w:semiHidden/>
    <w:rsid w:val="00200FB9"/>
    <w:rPr>
      <w:rFonts w:ascii="Tahoma" w:hAnsi="Tahoma" w:cs="Tahoma"/>
      <w:sz w:val="16"/>
      <w:szCs w:val="16"/>
      <w:lang w:val="en-GB" w:eastAsia="en-US"/>
    </w:rPr>
  </w:style>
  <w:style w:type="character" w:customStyle="1" w:styleId="RestitleChar">
    <w:name w:val="Res_title Char"/>
    <w:link w:val="Restitle"/>
    <w:qFormat/>
    <w:locked/>
    <w:rsid w:val="00200FB9"/>
    <w:rPr>
      <w:rFonts w:ascii="Times New Roman Bold" w:hAnsi="Times New Roman Bold"/>
      <w:b/>
      <w:sz w:val="28"/>
      <w:lang w:val="en-GB" w:eastAsia="en-US"/>
    </w:rPr>
  </w:style>
  <w:style w:type="character" w:customStyle="1" w:styleId="ResNoChar">
    <w:name w:val="Res_No Char"/>
    <w:basedOn w:val="DefaultParagraphFont"/>
    <w:link w:val="ResNo"/>
    <w:qFormat/>
    <w:rsid w:val="00200FB9"/>
    <w:rPr>
      <w:rFonts w:ascii="Times New Roman" w:hAnsi="Times New Roman"/>
      <w:caps/>
      <w:sz w:val="28"/>
      <w:lang w:val="en-GB" w:eastAsia="en-US"/>
    </w:rPr>
  </w:style>
  <w:style w:type="character" w:customStyle="1" w:styleId="href">
    <w:name w:val="href"/>
    <w:basedOn w:val="DefaultParagraphFont"/>
    <w:rsid w:val="00200FB9"/>
  </w:style>
  <w:style w:type="paragraph" w:customStyle="1" w:styleId="AnnexNotitle">
    <w:name w:val="Annex_No &amp; title"/>
    <w:basedOn w:val="Normal"/>
    <w:next w:val="Normalaftertitle"/>
    <w:link w:val="AnnexNotitleChar"/>
    <w:rsid w:val="0055765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 &amp; title Char"/>
    <w:link w:val="AnnexNotitle"/>
    <w:locked/>
    <w:rsid w:val="00557650"/>
    <w:rPr>
      <w:rFonts w:ascii="Times New Roman" w:hAnsi="Times New Roman"/>
      <w:b/>
      <w:sz w:val="28"/>
      <w:lang w:val="en-GB" w:eastAsia="en-US"/>
    </w:rPr>
  </w:style>
  <w:style w:type="paragraph" w:customStyle="1" w:styleId="QuestionNoBR">
    <w:name w:val="Question_No_BR"/>
    <w:basedOn w:val="QuestionNo"/>
    <w:rsid w:val="00557650"/>
    <w:pPr>
      <w:tabs>
        <w:tab w:val="clear" w:pos="1134"/>
        <w:tab w:val="clear" w:pos="1871"/>
        <w:tab w:val="clear" w:pos="2268"/>
        <w:tab w:val="left" w:pos="794"/>
        <w:tab w:val="left" w:pos="1191"/>
        <w:tab w:val="left" w:pos="1588"/>
        <w:tab w:val="left" w:pos="1985"/>
      </w:tabs>
      <w:spacing w:line="280" w:lineRule="exact"/>
    </w:pPr>
    <w:rPr>
      <w:rFonts w:ascii="Calibri" w:eastAsiaTheme="minorEastAsia" w:hAnsi="Calibri" w:cs="Calibri"/>
      <w:bCs/>
      <w:caps w:val="0"/>
      <w:szCs w:val="22"/>
      <w:lang w:val="en-US"/>
    </w:rPr>
  </w:style>
  <w:style w:type="character" w:customStyle="1" w:styleId="CallChar">
    <w:name w:val="Call Char"/>
    <w:basedOn w:val="DefaultParagraphFont"/>
    <w:link w:val="Call"/>
    <w:uiPriority w:val="99"/>
    <w:rsid w:val="00557650"/>
    <w:rPr>
      <w:rFonts w:ascii="STKaiti" w:eastAsia="STKaiti" w:hAnsi="STKaiti"/>
      <w:sz w:val="24"/>
      <w:lang w:val="en-GB" w:eastAsia="en-US"/>
    </w:rPr>
  </w:style>
  <w:style w:type="character" w:customStyle="1" w:styleId="NormalaftertitleChar">
    <w:name w:val="Normal after title Char"/>
    <w:basedOn w:val="DefaultParagraphFont"/>
    <w:link w:val="Normalaftertitle0"/>
    <w:uiPriority w:val="99"/>
    <w:rsid w:val="00557650"/>
    <w:rPr>
      <w:rFonts w:ascii="Times New Roman" w:hAnsi="Times New Roman"/>
      <w:sz w:val="24"/>
      <w:lang w:val="en-GB" w:eastAsia="en-US"/>
    </w:rPr>
  </w:style>
  <w:style w:type="character" w:customStyle="1" w:styleId="QuestiontitleChar">
    <w:name w:val="Question_title Char"/>
    <w:basedOn w:val="DefaultParagraphFont"/>
    <w:link w:val="Questiontitle"/>
    <w:rsid w:val="00557650"/>
    <w:rPr>
      <w:rFonts w:ascii="Times New Roman Bold" w:hAnsi="Times New Roman Bold"/>
      <w:b/>
      <w:sz w:val="28"/>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uiPriority w:val="99"/>
    <w:rsid w:val="00557650"/>
    <w:rPr>
      <w:rFonts w:ascii="Times New Roman" w:hAnsi="Times New Roman"/>
      <w:sz w:val="22"/>
      <w:lang w:val="en-GB" w:eastAsia="en-US"/>
    </w:rPr>
  </w:style>
  <w:style w:type="character" w:customStyle="1" w:styleId="enumlev1Char">
    <w:name w:val="enumlev1 Char"/>
    <w:basedOn w:val="DefaultParagraphFont"/>
    <w:link w:val="enumlev1"/>
    <w:uiPriority w:val="99"/>
    <w:locked/>
    <w:rsid w:val="00557650"/>
    <w:rPr>
      <w:rFonts w:ascii="Times New Roman" w:hAnsi="Times New Roman"/>
      <w:sz w:val="24"/>
      <w:lang w:val="en-GB" w:eastAsia="en-US"/>
    </w:rPr>
  </w:style>
  <w:style w:type="character" w:customStyle="1" w:styleId="HeaderChar">
    <w:name w:val="Header Char"/>
    <w:basedOn w:val="DefaultParagraphFont"/>
    <w:link w:val="Header"/>
    <w:uiPriority w:val="99"/>
    <w:rsid w:val="00A2240B"/>
    <w:rPr>
      <w:rFonts w:ascii="Times New Roman" w:hAnsi="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072855315">
      <w:bodyDiv w:val="1"/>
      <w:marLeft w:val="60"/>
      <w:marRight w:val="60"/>
      <w:marTop w:val="60"/>
      <w:marBottom w:val="60"/>
      <w:divBdr>
        <w:top w:val="none" w:sz="0" w:space="0" w:color="auto"/>
        <w:left w:val="none" w:sz="0" w:space="0" w:color="auto"/>
        <w:bottom w:val="none" w:sz="0" w:space="0" w:color="auto"/>
        <w:right w:val="none" w:sz="0" w:space="0" w:color="auto"/>
      </w:divBdr>
      <w:divsChild>
        <w:div w:id="1325277171">
          <w:marLeft w:val="0"/>
          <w:marRight w:val="0"/>
          <w:marTop w:val="0"/>
          <w:marBottom w:val="0"/>
          <w:divBdr>
            <w:top w:val="none" w:sz="0" w:space="0" w:color="auto"/>
            <w:left w:val="none" w:sz="0" w:space="0" w:color="auto"/>
            <w:bottom w:val="none" w:sz="0" w:space="0" w:color="auto"/>
            <w:right w:val="none" w:sz="0" w:space="0" w:color="auto"/>
          </w:divBdr>
        </w:div>
      </w:divsChild>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f310d1d-3f55-47d5-816e-beccf0c12d00" targetNamespace="http://schemas.microsoft.com/office/2006/metadata/properties" ma:root="true" ma:fieldsID="d41af5c836d734370eb92e7ee5f83852" ns2:_="" ns3:_="">
    <xsd:import namespace="996b2e75-67fd-4955-a3b0-5ab9934cb50b"/>
    <xsd:import namespace="df310d1d-3f55-47d5-816e-beccf0c12d0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f310d1d-3f55-47d5-816e-beccf0c12d0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df310d1d-3f55-47d5-816e-beccf0c12d00">DPM</DPM_x0020_Author>
    <DPM_x0020_File_x0020_name xmlns="df310d1d-3f55-47d5-816e-beccf0c12d00">R19-CPM23.2-C-0046!!MSW-C</DPM_x0020_File_x0020_name>
    <DPM_x0020_Version xmlns="df310d1d-3f55-47d5-816e-beccf0c12d00">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B42E41-8F68-4C01-8976-01D4B8148B0E}">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f310d1d-3f55-47d5-816e-beccf0c12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purl.org/dc/elements/1.1/"/>
    <ds:schemaRef ds:uri="http://www.w3.org/XML/1998/namespace"/>
    <ds:schemaRef ds:uri="df310d1d-3f55-47d5-816e-beccf0c12d00"/>
    <ds:schemaRef ds:uri="http://schemas.microsoft.com/office/infopath/2007/PartnerControls"/>
    <ds:schemaRef ds:uri="996b2e75-67fd-4955-a3b0-5ab9934cb50b"/>
    <ds:schemaRef ds:uri="http://purl.org/dc/dcmitype/"/>
  </ds:schemaRefs>
</ds:datastoreItem>
</file>

<file path=customXml/itemProps5.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713</Words>
  <Characters>199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R19-CPM23.2-C-0046!!MSW-C</vt:lpstr>
    </vt:vector>
  </TitlesOfParts>
  <Manager>General Secretariat - Pool</Manager>
  <Company>International Telecommunication Union (ITU)</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- 2019</dc:subject>
  <dc:creator>Documents Proposals Manager (DPM)</dc:creator>
  <cp:keywords/>
  <dc:description/>
  <cp:lastModifiedBy>Song, Xiaojing</cp:lastModifiedBy>
  <cp:revision>8</cp:revision>
  <cp:lastPrinted>2006-07-03T06:56:00Z</cp:lastPrinted>
  <dcterms:created xsi:type="dcterms:W3CDTF">2023-03-27T12:50:00Z</dcterms:created>
  <dcterms:modified xsi:type="dcterms:W3CDTF">2023-05-24T13:25:00Z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