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05" w:rsidRPr="00202397" w:rsidRDefault="00134E05" w:rsidP="00134E05">
      <w:pPr>
        <w:pStyle w:val="Normalaftertitle"/>
        <w:jc w:val="center"/>
        <w:rPr>
          <w:rFonts w:asciiTheme="majorBidi" w:hAnsiTheme="majorBidi" w:cstheme="majorBidi"/>
          <w:sz w:val="28"/>
          <w:szCs w:val="28"/>
        </w:rPr>
      </w:pPr>
      <w:r w:rsidRPr="00202397">
        <w:rPr>
          <w:rFonts w:asciiTheme="majorBidi" w:hAnsiTheme="majorBidi" w:cstheme="majorBidi"/>
          <w:sz w:val="28"/>
          <w:szCs w:val="28"/>
        </w:rPr>
        <w:t xml:space="preserve">QUESTION ITU-R </w:t>
      </w:r>
      <w:r>
        <w:rPr>
          <w:rFonts w:asciiTheme="majorBidi" w:hAnsiTheme="majorBidi" w:cstheme="majorBidi"/>
          <w:sz w:val="28"/>
          <w:szCs w:val="28"/>
        </w:rPr>
        <w:t>142/6</w:t>
      </w:r>
    </w:p>
    <w:p w:rsidR="00134E05" w:rsidRPr="00052905" w:rsidRDefault="00134E05" w:rsidP="00134E05">
      <w:pPr>
        <w:pStyle w:val="Questiontitle"/>
        <w:rPr>
          <w:rFonts w:asciiTheme="majorBidi" w:hAnsiTheme="majorBidi" w:cstheme="majorBidi"/>
          <w:szCs w:val="28"/>
          <w:lang w:eastAsia="zh-CN"/>
        </w:rPr>
      </w:pPr>
      <w:r w:rsidRPr="00052905">
        <w:rPr>
          <w:rFonts w:asciiTheme="majorBidi" w:hAnsiTheme="majorBidi" w:cstheme="majorBidi"/>
          <w:szCs w:val="28"/>
          <w:lang w:eastAsia="zh-CN"/>
        </w:rPr>
        <w:t>High dynamic range television systems for broadcasting</w:t>
      </w:r>
    </w:p>
    <w:p w:rsidR="00134E05" w:rsidRPr="0032517A" w:rsidRDefault="00134E05" w:rsidP="00134E05">
      <w:pPr>
        <w:pStyle w:val="Questiondate"/>
        <w:rPr>
          <w:rFonts w:asciiTheme="majorBidi" w:hAnsiTheme="majorBidi" w:cstheme="majorBidi"/>
          <w:i w:val="0"/>
          <w:iCs/>
        </w:rPr>
      </w:pPr>
      <w:r w:rsidRPr="0032517A">
        <w:rPr>
          <w:rFonts w:asciiTheme="majorBidi" w:hAnsiTheme="majorBidi" w:cstheme="majorBidi"/>
          <w:i w:val="0"/>
          <w:iCs/>
        </w:rPr>
        <w:t>(2015)</w:t>
      </w:r>
    </w:p>
    <w:p w:rsidR="00134E05" w:rsidRPr="00202397" w:rsidRDefault="00134E05" w:rsidP="00134E05">
      <w:pPr>
        <w:pStyle w:val="Normalaftertitle"/>
        <w:rPr>
          <w:rFonts w:asciiTheme="majorBidi" w:hAnsiTheme="majorBidi" w:cstheme="majorBidi"/>
          <w:szCs w:val="24"/>
          <w:lang w:eastAsia="zh-CN"/>
        </w:rPr>
      </w:pPr>
      <w:r w:rsidRPr="00202397">
        <w:rPr>
          <w:rFonts w:asciiTheme="majorBidi" w:hAnsiTheme="majorBidi" w:cstheme="majorBidi"/>
          <w:szCs w:val="24"/>
          <w:lang w:eastAsia="zh-CN"/>
        </w:rPr>
        <w:t xml:space="preserve">The ITU </w:t>
      </w:r>
      <w:r w:rsidRPr="00202397">
        <w:rPr>
          <w:rFonts w:asciiTheme="majorBidi" w:hAnsiTheme="majorBidi" w:cstheme="majorBidi"/>
          <w:szCs w:val="24"/>
        </w:rPr>
        <w:t>Radiocommunication</w:t>
      </w:r>
      <w:r w:rsidRPr="00202397">
        <w:rPr>
          <w:rFonts w:asciiTheme="majorBidi" w:hAnsiTheme="majorBidi" w:cstheme="majorBidi"/>
          <w:szCs w:val="24"/>
          <w:lang w:eastAsia="zh-CN"/>
        </w:rPr>
        <w:t xml:space="preserve"> Assembly</w:t>
      </w:r>
      <w:r>
        <w:rPr>
          <w:rFonts w:asciiTheme="majorBidi" w:hAnsiTheme="majorBidi" w:cstheme="majorBidi"/>
          <w:szCs w:val="24"/>
          <w:lang w:eastAsia="zh-CN"/>
        </w:rPr>
        <w:t>,</w:t>
      </w:r>
    </w:p>
    <w:p w:rsidR="00134E05" w:rsidRPr="00202397" w:rsidRDefault="00134E05" w:rsidP="00134E05">
      <w:pPr>
        <w:pStyle w:val="Call"/>
        <w:spacing w:before="120"/>
        <w:rPr>
          <w:rFonts w:asciiTheme="majorBidi" w:hAnsiTheme="majorBidi" w:cstheme="majorBidi"/>
          <w:szCs w:val="24"/>
          <w:lang w:eastAsia="zh-CN"/>
        </w:rPr>
      </w:pPr>
      <w:r w:rsidRPr="00202397">
        <w:rPr>
          <w:rFonts w:asciiTheme="majorBidi" w:hAnsiTheme="majorBidi" w:cstheme="majorBidi"/>
          <w:szCs w:val="24"/>
          <w:lang w:eastAsia="zh-CN"/>
        </w:rPr>
        <w:t>considering</w:t>
      </w:r>
    </w:p>
    <w:p w:rsidR="00134E05" w:rsidRPr="00202397" w:rsidRDefault="00134E05" w:rsidP="00134E05">
      <w:pPr>
        <w:spacing w:before="120"/>
        <w:rPr>
          <w:rFonts w:asciiTheme="majorBidi" w:hAnsiTheme="majorBidi" w:cstheme="majorBidi"/>
          <w:szCs w:val="24"/>
        </w:rPr>
      </w:pPr>
      <w:r w:rsidRPr="00202397">
        <w:rPr>
          <w:rFonts w:asciiTheme="majorBidi" w:hAnsiTheme="majorBidi" w:cstheme="majorBidi"/>
          <w:i/>
          <w:iCs/>
          <w:szCs w:val="24"/>
        </w:rPr>
        <w:t>a)</w:t>
      </w:r>
      <w:r w:rsidRPr="00202397">
        <w:rPr>
          <w:rFonts w:asciiTheme="majorBidi" w:hAnsiTheme="majorBidi" w:cstheme="majorBidi"/>
          <w:szCs w:val="24"/>
        </w:rPr>
        <w:tab/>
        <w:t xml:space="preserve">that television broadcasting </w:t>
      </w:r>
      <w:r w:rsidRPr="00202397">
        <w:rPr>
          <w:rFonts w:asciiTheme="majorBidi" w:hAnsiTheme="majorBidi" w:cstheme="majorBidi"/>
          <w:szCs w:val="24"/>
          <w:lang w:eastAsia="ko-KR"/>
        </w:rPr>
        <w:t>systems for SDTV, HDTV, and UHDTV have been specified by the ITU-R in Recommendations ITU-R BT.601, BT.709 and BT.2020</w:t>
      </w:r>
      <w:r w:rsidRPr="00202397">
        <w:rPr>
          <w:rFonts w:asciiTheme="majorBidi" w:hAnsiTheme="majorBidi" w:cstheme="majorBidi"/>
          <w:szCs w:val="24"/>
        </w:rPr>
        <w:t>;</w:t>
      </w:r>
    </w:p>
    <w:p w:rsidR="00134E05" w:rsidRPr="00202397" w:rsidRDefault="00134E05" w:rsidP="00134E05">
      <w:pPr>
        <w:spacing w:before="120"/>
        <w:rPr>
          <w:rFonts w:asciiTheme="majorBidi" w:eastAsia="MS Mincho" w:hAnsiTheme="majorBidi" w:cstheme="majorBidi"/>
          <w:szCs w:val="24"/>
        </w:rPr>
      </w:pPr>
      <w:r w:rsidRPr="00202397">
        <w:rPr>
          <w:rFonts w:asciiTheme="majorBidi" w:hAnsiTheme="majorBidi" w:cstheme="majorBidi"/>
          <w:i/>
          <w:iCs/>
          <w:szCs w:val="24"/>
          <w:lang w:eastAsia="zh-CN"/>
        </w:rPr>
        <w:t>b)</w:t>
      </w:r>
      <w:r w:rsidRPr="00202397">
        <w:rPr>
          <w:rFonts w:asciiTheme="majorBidi" w:hAnsiTheme="majorBidi" w:cstheme="majorBidi"/>
          <w:i/>
          <w:iCs/>
          <w:szCs w:val="24"/>
          <w:lang w:eastAsia="zh-CN"/>
        </w:rPr>
        <w:tab/>
      </w:r>
      <w:r w:rsidRPr="00202397">
        <w:rPr>
          <w:rFonts w:asciiTheme="majorBidi" w:eastAsia="MS Mincho" w:hAnsiTheme="majorBidi" w:cstheme="majorBidi"/>
          <w:szCs w:val="24"/>
        </w:rPr>
        <w:t>that modern television displays are capable of reproducing images at a higher luminance, and with a greater contrast ratio and wider colour gamut (WCG) than is employed in conventional programme production;</w:t>
      </w:r>
    </w:p>
    <w:p w:rsidR="00134E05" w:rsidRPr="00202397" w:rsidRDefault="00134E05" w:rsidP="00134E05">
      <w:pPr>
        <w:spacing w:before="120"/>
        <w:rPr>
          <w:rFonts w:asciiTheme="majorBidi" w:eastAsia="MS Mincho" w:hAnsiTheme="majorBidi" w:cstheme="majorBidi"/>
          <w:szCs w:val="24"/>
        </w:rPr>
      </w:pPr>
      <w:r w:rsidRPr="00202397">
        <w:rPr>
          <w:rFonts w:asciiTheme="majorBidi" w:hAnsiTheme="majorBidi" w:cstheme="majorBidi"/>
          <w:i/>
          <w:szCs w:val="24"/>
        </w:rPr>
        <w:t>c)</w:t>
      </w:r>
      <w:r w:rsidRPr="00202397">
        <w:rPr>
          <w:rFonts w:asciiTheme="majorBidi" w:hAnsiTheme="majorBidi" w:cstheme="majorBidi"/>
          <w:i/>
          <w:szCs w:val="24"/>
          <w:lang w:eastAsia="zh-CN"/>
        </w:rPr>
        <w:tab/>
      </w:r>
      <w:r w:rsidRPr="00202397">
        <w:rPr>
          <w:rFonts w:asciiTheme="majorBidi" w:hAnsiTheme="majorBidi" w:cstheme="majorBidi"/>
          <w:szCs w:val="24"/>
          <w:lang w:eastAsia="zh-CN"/>
        </w:rPr>
        <w:t xml:space="preserve">that although UHDTV offers higher spatial resolution, wider colour gamut, and the option of a higher frame rate, it remains </w:t>
      </w:r>
      <w:r w:rsidRPr="00202397">
        <w:rPr>
          <w:rFonts w:asciiTheme="majorBidi" w:eastAsia="MS Mincho" w:hAnsiTheme="majorBidi" w:cstheme="majorBidi"/>
          <w:szCs w:val="24"/>
        </w:rPr>
        <w:t>limited in the image dynamic range in a similar way to HDTV and SDTV;</w:t>
      </w:r>
    </w:p>
    <w:p w:rsidR="00134E05" w:rsidRPr="00202397" w:rsidRDefault="00134E05" w:rsidP="00134E05">
      <w:pPr>
        <w:spacing w:before="120"/>
        <w:rPr>
          <w:rFonts w:asciiTheme="majorBidi" w:hAnsiTheme="majorBidi" w:cstheme="majorBidi"/>
          <w:szCs w:val="24"/>
        </w:rPr>
      </w:pPr>
      <w:r w:rsidRPr="00202397">
        <w:rPr>
          <w:rFonts w:asciiTheme="majorBidi" w:hAnsiTheme="majorBidi" w:cstheme="majorBidi"/>
          <w:i/>
          <w:szCs w:val="24"/>
          <w:lang w:eastAsia="zh-CN"/>
        </w:rPr>
        <w:t>d)</w:t>
      </w:r>
      <w:r w:rsidRPr="00202397">
        <w:rPr>
          <w:rFonts w:asciiTheme="majorBidi" w:hAnsiTheme="majorBidi" w:cstheme="majorBidi"/>
          <w:i/>
          <w:szCs w:val="24"/>
          <w:lang w:eastAsia="zh-CN"/>
        </w:rPr>
        <w:tab/>
      </w:r>
      <w:r w:rsidRPr="00202397">
        <w:rPr>
          <w:rFonts w:asciiTheme="majorBidi" w:hAnsiTheme="majorBidi" w:cstheme="majorBidi"/>
          <w:szCs w:val="24"/>
          <w:lang w:eastAsia="zh-CN"/>
        </w:rPr>
        <w:t>that high dynamic range television (HDR-TV) systems are intended to be capable of reproducing images at a significantly higher luminance and greater contrast ratio;</w:t>
      </w:r>
    </w:p>
    <w:p w:rsidR="00134E05" w:rsidRPr="00202397" w:rsidRDefault="00134E05" w:rsidP="00134E05">
      <w:pPr>
        <w:spacing w:before="120"/>
        <w:rPr>
          <w:rFonts w:asciiTheme="majorBidi" w:hAnsiTheme="majorBidi" w:cstheme="majorBidi"/>
          <w:i/>
          <w:iCs/>
          <w:szCs w:val="24"/>
          <w:lang w:eastAsia="zh-CN"/>
        </w:rPr>
      </w:pPr>
      <w:r w:rsidRPr="00202397">
        <w:rPr>
          <w:rFonts w:asciiTheme="majorBidi" w:hAnsiTheme="majorBidi" w:cstheme="majorBidi"/>
          <w:i/>
          <w:iCs/>
          <w:szCs w:val="24"/>
          <w:lang w:eastAsia="zh-CN"/>
        </w:rPr>
        <w:t>e)</w:t>
      </w:r>
      <w:r w:rsidRPr="00202397">
        <w:rPr>
          <w:rFonts w:asciiTheme="majorBidi" w:hAnsiTheme="majorBidi" w:cstheme="majorBidi"/>
          <w:iCs/>
          <w:szCs w:val="24"/>
          <w:lang w:eastAsia="zh-CN"/>
        </w:rPr>
        <w:tab/>
        <w:t>that HDR-TV has been shown to increase viewer enjoyment of television pictures;</w:t>
      </w:r>
    </w:p>
    <w:p w:rsidR="00134E05" w:rsidRPr="00202397" w:rsidRDefault="00134E05" w:rsidP="00134E05">
      <w:pPr>
        <w:pStyle w:val="enumlev1"/>
        <w:spacing w:before="120"/>
        <w:ind w:left="0" w:firstLine="0"/>
        <w:rPr>
          <w:rFonts w:asciiTheme="majorBidi" w:hAnsiTheme="majorBidi" w:cstheme="majorBidi"/>
          <w:szCs w:val="24"/>
          <w:lang w:eastAsia="zh-CN"/>
        </w:rPr>
      </w:pPr>
      <w:r w:rsidRPr="00202397">
        <w:rPr>
          <w:rFonts w:asciiTheme="majorBidi" w:hAnsiTheme="majorBidi" w:cstheme="majorBidi"/>
          <w:i/>
          <w:szCs w:val="24"/>
          <w:lang w:eastAsia="zh-CN"/>
        </w:rPr>
        <w:t>f)</w:t>
      </w:r>
      <w:r w:rsidRPr="00202397">
        <w:rPr>
          <w:rFonts w:asciiTheme="majorBidi" w:hAnsiTheme="majorBidi" w:cstheme="majorBidi"/>
          <w:i/>
          <w:szCs w:val="24"/>
          <w:lang w:eastAsia="zh-CN"/>
        </w:rPr>
        <w:tab/>
      </w:r>
      <w:r w:rsidRPr="00202397">
        <w:rPr>
          <w:rFonts w:asciiTheme="majorBidi" w:hAnsiTheme="majorBidi" w:cstheme="majorBidi"/>
          <w:szCs w:val="24"/>
          <w:lang w:eastAsia="zh-CN"/>
        </w:rPr>
        <w:t xml:space="preserve">that many television programmes will continue to be produced, exchanged, and viewed in the standard image dynamic range of SDTV, HDTV and UHDTV; </w:t>
      </w:r>
    </w:p>
    <w:p w:rsidR="00134E05" w:rsidRPr="00202397" w:rsidRDefault="00134E05" w:rsidP="00134E05">
      <w:pPr>
        <w:pStyle w:val="enumlev1"/>
        <w:spacing w:before="120"/>
        <w:ind w:left="0" w:firstLine="0"/>
        <w:rPr>
          <w:rFonts w:asciiTheme="majorBidi" w:hAnsiTheme="majorBidi" w:cstheme="majorBidi"/>
          <w:szCs w:val="24"/>
          <w:lang w:eastAsia="zh-CN"/>
        </w:rPr>
      </w:pPr>
      <w:r w:rsidRPr="00202397">
        <w:rPr>
          <w:rFonts w:asciiTheme="majorBidi" w:hAnsiTheme="majorBidi" w:cstheme="majorBidi"/>
          <w:i/>
          <w:szCs w:val="24"/>
          <w:lang w:eastAsia="zh-CN"/>
        </w:rPr>
        <w:t>g)</w:t>
      </w:r>
      <w:r w:rsidRPr="00202397">
        <w:rPr>
          <w:rFonts w:asciiTheme="majorBidi" w:hAnsiTheme="majorBidi" w:cstheme="majorBidi"/>
          <w:szCs w:val="24"/>
          <w:lang w:eastAsia="zh-CN"/>
        </w:rPr>
        <w:tab/>
        <w:t>that it is desirable that an HDR-TV system should have, where appropriate, a degree of compatibility with existing workflows and broadcaster infrastructure,</w:t>
      </w:r>
    </w:p>
    <w:p w:rsidR="00134E05" w:rsidRPr="00202397" w:rsidRDefault="00134E05" w:rsidP="00134E05">
      <w:pPr>
        <w:pStyle w:val="Call"/>
        <w:spacing w:before="120"/>
        <w:jc w:val="both"/>
        <w:rPr>
          <w:rFonts w:asciiTheme="majorBidi" w:hAnsiTheme="majorBidi" w:cstheme="majorBidi"/>
          <w:i w:val="0"/>
          <w:iCs/>
          <w:szCs w:val="24"/>
          <w:lang w:eastAsia="zh-CN"/>
        </w:rPr>
      </w:pPr>
      <w:r w:rsidRPr="00202397">
        <w:rPr>
          <w:rFonts w:asciiTheme="majorBidi" w:hAnsiTheme="majorBidi" w:cstheme="majorBidi"/>
          <w:szCs w:val="24"/>
          <w:lang w:eastAsia="zh-CN"/>
        </w:rPr>
        <w:t xml:space="preserve">decides </w:t>
      </w:r>
      <w:r w:rsidRPr="00202397">
        <w:rPr>
          <w:rFonts w:asciiTheme="majorBidi" w:hAnsiTheme="majorBidi" w:cstheme="majorBidi"/>
          <w:i w:val="0"/>
          <w:iCs/>
          <w:szCs w:val="24"/>
          <w:lang w:eastAsia="zh-CN"/>
        </w:rPr>
        <w:t>that the following questions should be studied</w:t>
      </w:r>
    </w:p>
    <w:p w:rsidR="00134E05" w:rsidRPr="00202397" w:rsidRDefault="00134E05" w:rsidP="00134E05">
      <w:pPr>
        <w:spacing w:before="120"/>
        <w:rPr>
          <w:rFonts w:asciiTheme="majorBidi" w:hAnsiTheme="majorBidi" w:cstheme="majorBidi"/>
          <w:szCs w:val="24"/>
          <w:lang w:eastAsia="zh-CN"/>
        </w:rPr>
      </w:pPr>
      <w:r w:rsidRPr="00202397">
        <w:rPr>
          <w:rFonts w:asciiTheme="majorBidi" w:hAnsiTheme="majorBidi" w:cstheme="majorBidi"/>
          <w:bCs/>
          <w:szCs w:val="24"/>
          <w:lang w:eastAsia="zh-CN"/>
        </w:rPr>
        <w:t>1</w:t>
      </w:r>
      <w:r w:rsidRPr="00202397">
        <w:rPr>
          <w:rFonts w:asciiTheme="majorBidi" w:hAnsiTheme="majorBidi" w:cstheme="majorBidi"/>
          <w:szCs w:val="24"/>
          <w:lang w:eastAsia="zh-CN"/>
        </w:rPr>
        <w:tab/>
        <w:t>what are the appropriate parameter values for HDR-TV systems for production and international programme exchange?</w:t>
      </w:r>
    </w:p>
    <w:p w:rsidR="00134E05" w:rsidRPr="00202397" w:rsidRDefault="00134E05" w:rsidP="00134E05">
      <w:pPr>
        <w:spacing w:before="120"/>
        <w:rPr>
          <w:rFonts w:asciiTheme="majorBidi" w:hAnsiTheme="majorBidi" w:cstheme="majorBidi"/>
          <w:szCs w:val="24"/>
          <w:lang w:eastAsia="zh-CN"/>
        </w:rPr>
      </w:pPr>
      <w:r w:rsidRPr="00202397">
        <w:rPr>
          <w:rFonts w:asciiTheme="majorBidi" w:hAnsiTheme="majorBidi" w:cstheme="majorBidi"/>
          <w:bCs/>
          <w:szCs w:val="24"/>
          <w:lang w:eastAsia="zh-CN"/>
        </w:rPr>
        <w:t>2</w:t>
      </w:r>
      <w:r w:rsidRPr="00202397">
        <w:rPr>
          <w:rFonts w:asciiTheme="majorBidi" w:hAnsiTheme="majorBidi" w:cstheme="majorBidi"/>
          <w:szCs w:val="24"/>
          <w:lang w:eastAsia="zh-CN"/>
        </w:rPr>
        <w:tab/>
        <w:t>which methods for production and formatting for delivery to consumers would enable degrees of compatibility with viewing on most television sets currently used in the homes of television audiences?</w:t>
      </w:r>
    </w:p>
    <w:p w:rsidR="00134E05" w:rsidRPr="00202397" w:rsidRDefault="00134E05" w:rsidP="00134E05">
      <w:pPr>
        <w:spacing w:before="120"/>
        <w:rPr>
          <w:rFonts w:asciiTheme="majorBidi" w:hAnsiTheme="majorBidi" w:cstheme="majorBidi"/>
          <w:szCs w:val="24"/>
          <w:lang w:eastAsia="zh-CN"/>
        </w:rPr>
      </w:pPr>
      <w:r w:rsidRPr="00202397">
        <w:rPr>
          <w:rFonts w:asciiTheme="majorBidi" w:hAnsiTheme="majorBidi" w:cstheme="majorBidi"/>
          <w:bCs/>
          <w:szCs w:val="24"/>
          <w:lang w:eastAsia="zh-CN"/>
        </w:rPr>
        <w:t>3</w:t>
      </w:r>
      <w:r w:rsidRPr="00202397">
        <w:rPr>
          <w:rFonts w:asciiTheme="majorBidi" w:hAnsiTheme="majorBidi" w:cstheme="majorBidi"/>
          <w:szCs w:val="24"/>
          <w:lang w:eastAsia="zh-CN"/>
        </w:rPr>
        <w:tab/>
        <w:t>what range of viewing conditions should be assumed, for consumer viewing of HDR-TV programmes?</w:t>
      </w:r>
    </w:p>
    <w:p w:rsidR="00134E05" w:rsidRPr="00202397" w:rsidRDefault="00134E05" w:rsidP="00134E05">
      <w:pPr>
        <w:spacing w:before="120"/>
        <w:rPr>
          <w:rFonts w:asciiTheme="majorBidi" w:hAnsiTheme="majorBidi" w:cstheme="majorBidi"/>
          <w:szCs w:val="24"/>
          <w:lang w:eastAsia="zh-CN"/>
        </w:rPr>
      </w:pPr>
      <w:r w:rsidRPr="00202397">
        <w:rPr>
          <w:rFonts w:asciiTheme="majorBidi" w:hAnsiTheme="majorBidi" w:cstheme="majorBidi"/>
          <w:bCs/>
          <w:szCs w:val="24"/>
          <w:lang w:eastAsia="zh-CN"/>
        </w:rPr>
        <w:t>4</w:t>
      </w:r>
      <w:r w:rsidRPr="00202397">
        <w:rPr>
          <w:rFonts w:asciiTheme="majorBidi" w:hAnsiTheme="majorBidi" w:cstheme="majorBidi"/>
          <w:szCs w:val="24"/>
          <w:lang w:eastAsia="zh-CN"/>
        </w:rPr>
        <w:tab/>
        <w:t>what scientifically assessed relationship exists, in home viewing environments, between the amount of image dynamic range extension and the consumer viewing appreciation?</w:t>
      </w:r>
    </w:p>
    <w:p w:rsidR="00134E05" w:rsidRPr="00202397" w:rsidRDefault="00134E05" w:rsidP="00134E05">
      <w:pPr>
        <w:spacing w:before="120"/>
        <w:rPr>
          <w:rFonts w:asciiTheme="majorBidi" w:hAnsiTheme="majorBidi" w:cstheme="majorBidi"/>
          <w:szCs w:val="24"/>
          <w:lang w:eastAsia="zh-CN"/>
        </w:rPr>
      </w:pPr>
      <w:r w:rsidRPr="00202397">
        <w:rPr>
          <w:rFonts w:asciiTheme="majorBidi" w:hAnsiTheme="majorBidi" w:cstheme="majorBidi"/>
          <w:bCs/>
          <w:szCs w:val="24"/>
          <w:lang w:eastAsia="zh-CN"/>
        </w:rPr>
        <w:t>5</w:t>
      </w:r>
      <w:r w:rsidRPr="00202397">
        <w:rPr>
          <w:rFonts w:asciiTheme="majorBidi" w:hAnsiTheme="majorBidi" w:cstheme="majorBidi"/>
          <w:szCs w:val="24"/>
          <w:lang w:eastAsia="zh-CN"/>
        </w:rPr>
        <w:tab/>
        <w:t>which operational practices should be recommended in order that the television home audience does not perceive annoying jumps in the television image appearance at transitions from HDR-TV programmes and standard dynamic range television programmes or back?</w:t>
      </w:r>
    </w:p>
    <w:p w:rsidR="00134E05" w:rsidRDefault="00134E05" w:rsidP="00134E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ajorBidi" w:hAnsiTheme="majorBidi" w:cstheme="majorBidi"/>
          <w:bCs/>
          <w:szCs w:val="24"/>
          <w:lang w:eastAsia="zh-CN"/>
        </w:rPr>
      </w:pPr>
      <w:r>
        <w:rPr>
          <w:rFonts w:asciiTheme="majorBidi" w:hAnsiTheme="majorBidi" w:cstheme="majorBidi"/>
          <w:bCs/>
          <w:szCs w:val="24"/>
          <w:lang w:eastAsia="zh-CN"/>
        </w:rPr>
        <w:br w:type="page"/>
      </w:r>
    </w:p>
    <w:p w:rsidR="00134E05" w:rsidRDefault="00134E05" w:rsidP="00134E05">
      <w:pPr>
        <w:spacing w:before="120"/>
        <w:rPr>
          <w:rFonts w:asciiTheme="majorBidi" w:hAnsiTheme="majorBidi" w:cstheme="majorBidi"/>
          <w:szCs w:val="24"/>
          <w:lang w:eastAsia="zh-CN"/>
        </w:rPr>
      </w:pPr>
      <w:r w:rsidRPr="00202397">
        <w:rPr>
          <w:rFonts w:asciiTheme="majorBidi" w:hAnsiTheme="majorBidi" w:cstheme="majorBidi"/>
          <w:bCs/>
          <w:szCs w:val="24"/>
          <w:lang w:eastAsia="zh-CN"/>
        </w:rPr>
        <w:lastRenderedPageBreak/>
        <w:t>6</w:t>
      </w:r>
      <w:r w:rsidRPr="00202397">
        <w:rPr>
          <w:rFonts w:asciiTheme="majorBidi" w:hAnsiTheme="majorBidi" w:cstheme="majorBidi"/>
          <w:szCs w:val="24"/>
          <w:lang w:eastAsia="zh-CN"/>
        </w:rPr>
        <w:tab/>
        <w:t>what is the envisaged future migration path from current television services to future HDR</w:t>
      </w:r>
      <w:r>
        <w:rPr>
          <w:rFonts w:asciiTheme="majorBidi" w:hAnsiTheme="majorBidi" w:cstheme="majorBidi"/>
          <w:szCs w:val="24"/>
          <w:lang w:eastAsia="zh-CN"/>
        </w:rPr>
        <w:noBreakHyphen/>
        <w:t>TV services?</w:t>
      </w:r>
    </w:p>
    <w:p w:rsidR="00134E05" w:rsidRPr="00202397" w:rsidRDefault="00134E05" w:rsidP="00134E05">
      <w:pPr>
        <w:spacing w:before="120"/>
        <w:rPr>
          <w:rFonts w:asciiTheme="majorBidi" w:hAnsiTheme="majorBidi" w:cstheme="majorBidi"/>
          <w:szCs w:val="24"/>
          <w:lang w:eastAsia="zh-CN"/>
        </w:rPr>
      </w:pPr>
      <w:r w:rsidRPr="00202397">
        <w:rPr>
          <w:rFonts w:asciiTheme="majorBidi" w:hAnsiTheme="majorBidi" w:cstheme="majorBidi"/>
          <w:bCs/>
          <w:szCs w:val="24"/>
          <w:lang w:eastAsia="zh-CN"/>
        </w:rPr>
        <w:t>7</w:t>
      </w:r>
      <w:r w:rsidRPr="00202397">
        <w:rPr>
          <w:rFonts w:asciiTheme="majorBidi" w:hAnsiTheme="majorBidi" w:cstheme="majorBidi"/>
          <w:szCs w:val="24"/>
          <w:lang w:eastAsia="zh-CN"/>
        </w:rPr>
        <w:tab/>
        <w:t xml:space="preserve">which methods should be used for the subjective assessment of HDR-TV picture quality? </w:t>
      </w:r>
    </w:p>
    <w:p w:rsidR="00134E05" w:rsidRPr="00202397" w:rsidRDefault="00134E05" w:rsidP="00134E05">
      <w:pPr>
        <w:pStyle w:val="Call"/>
        <w:spacing w:before="120"/>
        <w:jc w:val="both"/>
        <w:rPr>
          <w:rFonts w:asciiTheme="majorBidi" w:hAnsiTheme="majorBidi" w:cstheme="majorBidi"/>
          <w:szCs w:val="24"/>
        </w:rPr>
      </w:pPr>
      <w:r w:rsidRPr="00202397">
        <w:rPr>
          <w:rFonts w:asciiTheme="majorBidi" w:hAnsiTheme="majorBidi" w:cstheme="majorBidi"/>
          <w:szCs w:val="24"/>
        </w:rPr>
        <w:t>further decides</w:t>
      </w:r>
    </w:p>
    <w:p w:rsidR="00134E05" w:rsidRPr="00202397" w:rsidRDefault="00134E05" w:rsidP="00134E05">
      <w:pPr>
        <w:spacing w:before="120"/>
        <w:textAlignment w:val="auto"/>
        <w:rPr>
          <w:rFonts w:asciiTheme="majorBidi" w:hAnsiTheme="majorBidi" w:cstheme="majorBidi"/>
          <w:szCs w:val="24"/>
        </w:rPr>
      </w:pPr>
      <w:r w:rsidRPr="00202397">
        <w:rPr>
          <w:rFonts w:asciiTheme="majorBidi" w:hAnsiTheme="majorBidi" w:cstheme="majorBidi"/>
          <w:bCs/>
          <w:szCs w:val="24"/>
        </w:rPr>
        <w:t>1</w:t>
      </w:r>
      <w:r w:rsidRPr="00202397">
        <w:rPr>
          <w:rFonts w:asciiTheme="majorBidi" w:hAnsiTheme="majorBidi" w:cstheme="majorBidi"/>
          <w:szCs w:val="24"/>
        </w:rPr>
        <w:tab/>
        <w:t>that the results of the above studies should be included in one or more Recommendations</w:t>
      </w:r>
      <w:r>
        <w:rPr>
          <w:rFonts w:asciiTheme="majorBidi" w:hAnsiTheme="majorBidi" w:cstheme="majorBidi"/>
          <w:szCs w:val="24"/>
        </w:rPr>
        <w:t xml:space="preserve"> </w:t>
      </w:r>
      <w:r w:rsidRPr="00202397">
        <w:rPr>
          <w:rFonts w:asciiTheme="majorBidi" w:hAnsiTheme="majorBidi" w:cstheme="majorBidi"/>
          <w:szCs w:val="24"/>
        </w:rPr>
        <w:t>or Reports;</w:t>
      </w:r>
    </w:p>
    <w:p w:rsidR="00134E05" w:rsidRPr="00202397" w:rsidRDefault="00134E05" w:rsidP="00134E05">
      <w:pPr>
        <w:spacing w:before="120"/>
        <w:jc w:val="left"/>
        <w:textAlignment w:val="auto"/>
        <w:rPr>
          <w:rFonts w:asciiTheme="majorBidi" w:hAnsiTheme="majorBidi" w:cstheme="majorBidi"/>
          <w:szCs w:val="24"/>
        </w:rPr>
      </w:pPr>
      <w:r w:rsidRPr="00202397">
        <w:rPr>
          <w:rFonts w:asciiTheme="majorBidi" w:hAnsiTheme="majorBidi" w:cstheme="majorBidi"/>
          <w:bCs/>
          <w:szCs w:val="24"/>
        </w:rPr>
        <w:t>2</w:t>
      </w:r>
      <w:r w:rsidRPr="00202397">
        <w:rPr>
          <w:rFonts w:asciiTheme="majorBidi" w:hAnsiTheme="majorBidi" w:cstheme="majorBidi"/>
          <w:szCs w:val="24"/>
        </w:rPr>
        <w:tab/>
        <w:t>that the above studies should be completed by 2017.</w:t>
      </w:r>
    </w:p>
    <w:p w:rsidR="00134E05" w:rsidRPr="00202397" w:rsidRDefault="00134E05" w:rsidP="00134E05">
      <w:pPr>
        <w:pStyle w:val="Reasons"/>
        <w:spacing w:before="480"/>
        <w:rPr>
          <w:rFonts w:asciiTheme="majorBidi" w:hAnsiTheme="majorBidi" w:cstheme="majorBidi"/>
          <w:szCs w:val="24"/>
          <w:lang w:val="en-US"/>
        </w:rPr>
      </w:pPr>
      <w:r w:rsidRPr="00202397">
        <w:rPr>
          <w:rFonts w:asciiTheme="majorBidi" w:hAnsiTheme="majorBidi" w:cstheme="majorBidi"/>
          <w:szCs w:val="24"/>
          <w:lang w:val="en-US"/>
        </w:rPr>
        <w:t>Category: S1</w:t>
      </w:r>
    </w:p>
    <w:p w:rsidR="00CC001C" w:rsidRPr="00134E05" w:rsidRDefault="00CC001C" w:rsidP="00134E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</w:p>
    <w:sectPr w:rsidR="00CC001C" w:rsidRPr="00134E05" w:rsidSect="005C3D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05" w:rsidRDefault="00134E05" w:rsidP="00134E05">
      <w:pPr>
        <w:spacing w:before="0" w:line="240" w:lineRule="auto"/>
      </w:pPr>
      <w:r>
        <w:separator/>
      </w:r>
    </w:p>
  </w:endnote>
  <w:endnote w:type="continuationSeparator" w:id="0">
    <w:p w:rsidR="00134E05" w:rsidRDefault="00134E05" w:rsidP="00134E0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05" w:rsidRDefault="00134E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05" w:rsidRDefault="00134E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05" w:rsidRDefault="00134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05" w:rsidRDefault="00134E05" w:rsidP="00134E05">
      <w:pPr>
        <w:spacing w:before="0" w:line="240" w:lineRule="auto"/>
      </w:pPr>
      <w:r>
        <w:separator/>
      </w:r>
    </w:p>
  </w:footnote>
  <w:footnote w:type="continuationSeparator" w:id="0">
    <w:p w:rsidR="00134E05" w:rsidRDefault="00134E05" w:rsidP="00134E0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05" w:rsidRDefault="00134E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05" w:rsidRPr="00134E05" w:rsidRDefault="00134E05">
    <w:pPr>
      <w:pStyle w:val="Header"/>
      <w:jc w:val="center"/>
      <w:rPr>
        <w:sz w:val="18"/>
        <w:szCs w:val="18"/>
      </w:rPr>
    </w:pPr>
    <w:r w:rsidRPr="00134E05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9899003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34E05">
          <w:rPr>
            <w:sz w:val="18"/>
            <w:szCs w:val="18"/>
          </w:rPr>
          <w:fldChar w:fldCharType="begin"/>
        </w:r>
        <w:r w:rsidRPr="00134E05">
          <w:rPr>
            <w:sz w:val="18"/>
            <w:szCs w:val="18"/>
          </w:rPr>
          <w:instrText xml:space="preserve"> PAGE   \* MERGEFORMAT </w:instrText>
        </w:r>
        <w:r w:rsidRPr="00134E05">
          <w:rPr>
            <w:sz w:val="18"/>
            <w:szCs w:val="18"/>
          </w:rPr>
          <w:fldChar w:fldCharType="separate"/>
        </w:r>
        <w:r w:rsidR="005C3DDE">
          <w:rPr>
            <w:noProof/>
            <w:sz w:val="18"/>
            <w:szCs w:val="18"/>
          </w:rPr>
          <w:t>2</w:t>
        </w:r>
        <w:r w:rsidRPr="00134E05">
          <w:rPr>
            <w:noProof/>
            <w:sz w:val="18"/>
            <w:szCs w:val="18"/>
          </w:rPr>
          <w:fldChar w:fldCharType="end"/>
        </w:r>
        <w:r w:rsidRPr="00134E05">
          <w:rPr>
            <w:noProof/>
            <w:sz w:val="18"/>
            <w:szCs w:val="18"/>
          </w:rPr>
          <w:t xml:space="preserve"> -</w:t>
        </w:r>
      </w:sdtContent>
    </w:sdt>
  </w:p>
  <w:p w:rsidR="00134E05" w:rsidRDefault="00134E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05" w:rsidRDefault="00134E05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05"/>
    <w:rsid w:val="00134E05"/>
    <w:rsid w:val="005C3DDE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19D053C-D974-45A2-9D06-739B2459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134E05"/>
    <w:pPr>
      <w:spacing w:before="80"/>
      <w:ind w:left="794" w:hanging="794"/>
    </w:pPr>
  </w:style>
  <w:style w:type="paragraph" w:customStyle="1" w:styleId="Normalaftertitle">
    <w:name w:val="Normal_after_title"/>
    <w:basedOn w:val="Normal"/>
    <w:next w:val="Normal"/>
    <w:link w:val="NormalaftertitleChar"/>
    <w:rsid w:val="00134E05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134E05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134E0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rsid w:val="00134E05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Reasons">
    <w:name w:val="Reasons"/>
    <w:basedOn w:val="Normal"/>
    <w:qFormat/>
    <w:rsid w:val="00134E05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134E05"/>
    <w:rPr>
      <w:rFonts w:ascii="Calibri" w:eastAsia="Times New Roman" w:hAnsi="Calibri" w:cs="Calibri"/>
      <w:sz w:val="24"/>
      <w:lang w:val="en-US" w:eastAsia="en-US"/>
    </w:rPr>
  </w:style>
  <w:style w:type="character" w:customStyle="1" w:styleId="CallChar">
    <w:name w:val="Call Char"/>
    <w:link w:val="Call"/>
    <w:rsid w:val="00134E05"/>
    <w:rPr>
      <w:rFonts w:ascii="Calibri" w:eastAsia="Times New Roman" w:hAnsi="Calibri" w:cs="Calibri"/>
      <w:i/>
      <w:sz w:val="24"/>
      <w:lang w:val="en-US" w:eastAsia="en-US"/>
    </w:rPr>
  </w:style>
  <w:style w:type="character" w:customStyle="1" w:styleId="NormalaftertitleChar">
    <w:name w:val="Normal_after_title Char"/>
    <w:link w:val="Normalaftertitle"/>
    <w:locked/>
    <w:rsid w:val="00134E05"/>
    <w:rPr>
      <w:rFonts w:ascii="Calibri" w:eastAsia="Times New Roman" w:hAnsi="Calibri" w:cs="Calibri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34E0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05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4E0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05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Company>ITU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2015-10-21T14:55:00Z</dcterms:created>
  <dcterms:modified xsi:type="dcterms:W3CDTF">2015-10-21T15:15:00Z</dcterms:modified>
</cp:coreProperties>
</file>