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62" w:rsidRPr="00C54898" w:rsidRDefault="00A37C62" w:rsidP="00A37C62">
      <w:pPr>
        <w:pStyle w:val="QuestionNo"/>
      </w:pPr>
      <w:r w:rsidRPr="00C54898">
        <w:t>ВОПРОС МСЭ-R 142-</w:t>
      </w:r>
      <w:r>
        <w:t>2</w:t>
      </w:r>
      <w:r w:rsidRPr="00C54898">
        <w:t>/6</w:t>
      </w:r>
    </w:p>
    <w:p w:rsidR="00A37C62" w:rsidRPr="00C54898" w:rsidRDefault="00A37C62" w:rsidP="00A37C62">
      <w:pPr>
        <w:pStyle w:val="Questiontitle"/>
      </w:pPr>
      <w:r w:rsidRPr="00C54898">
        <w:t>Телевидение большого динамического диапазона для радиовещания</w:t>
      </w:r>
    </w:p>
    <w:p w:rsidR="00A37C62" w:rsidRPr="00C54898" w:rsidRDefault="00A37C62" w:rsidP="00A37C62">
      <w:pPr>
        <w:pStyle w:val="Questiondate"/>
      </w:pPr>
      <w:r w:rsidRPr="00C54898">
        <w:t>(2015-2016</w:t>
      </w:r>
      <w:r>
        <w:t>-2017</w:t>
      </w:r>
      <w:r w:rsidRPr="00C54898">
        <w:t>)</w:t>
      </w:r>
    </w:p>
    <w:p w:rsidR="00A37C62" w:rsidRPr="00C54898" w:rsidRDefault="00A37C62" w:rsidP="00A37C62">
      <w:pPr>
        <w:pStyle w:val="Normalaftertitle"/>
        <w:rPr>
          <w:lang w:eastAsia="zh-CN"/>
        </w:rPr>
      </w:pPr>
      <w:r w:rsidRPr="00C54898">
        <w:rPr>
          <w:lang w:eastAsia="zh-CN"/>
        </w:rPr>
        <w:t>Ассамблея радиосвязи МСЭ,</w:t>
      </w:r>
    </w:p>
    <w:p w:rsidR="00A37C62" w:rsidRPr="00C54898" w:rsidRDefault="00A37C62" w:rsidP="00A37C62">
      <w:pPr>
        <w:pStyle w:val="Call"/>
        <w:rPr>
          <w:i w:val="0"/>
          <w:iCs/>
          <w:lang w:eastAsia="zh-CN"/>
        </w:rPr>
      </w:pPr>
      <w:r w:rsidRPr="00C54898">
        <w:rPr>
          <w:lang w:eastAsia="zh-CN"/>
        </w:rPr>
        <w:t>учитывая</w:t>
      </w:r>
      <w:r w:rsidRPr="00C54898">
        <w:rPr>
          <w:i w:val="0"/>
          <w:iCs/>
          <w:lang w:eastAsia="zh-CN"/>
        </w:rPr>
        <w:t>,</w:t>
      </w:r>
    </w:p>
    <w:p w:rsidR="00A37C62" w:rsidRPr="00C54898" w:rsidRDefault="00A37C62" w:rsidP="00A37C62">
      <w:pPr>
        <w:jc w:val="both"/>
        <w:rPr>
          <w:lang w:eastAsia="zh-CN"/>
        </w:rPr>
      </w:pPr>
      <w:r w:rsidRPr="00515909">
        <w:rPr>
          <w:rFonts w:cstheme="majorBidi"/>
          <w:i/>
        </w:rPr>
        <w:t>a</w:t>
      </w:r>
      <w:r w:rsidRPr="00C54898">
        <w:rPr>
          <w:rFonts w:cstheme="majorBidi"/>
          <w:i/>
        </w:rPr>
        <w:t>)</w:t>
      </w:r>
      <w:r w:rsidRPr="00C54898">
        <w:rPr>
          <w:rFonts w:cstheme="majorBidi"/>
          <w:i/>
        </w:rPr>
        <w:tab/>
      </w:r>
      <w:r w:rsidRPr="00C54898">
        <w:rPr>
          <w:rFonts w:cstheme="majorBidi"/>
        </w:rPr>
        <w:t xml:space="preserve">что форматы изображения телевидения большого динамического диапазона </w:t>
      </w:r>
      <w:r w:rsidRPr="00C54898">
        <w:rPr>
          <w:rFonts w:cstheme="majorBidi"/>
          <w:lang w:eastAsia="ja-JP"/>
        </w:rPr>
        <w:t>(</w:t>
      </w:r>
      <w:r w:rsidRPr="00515909">
        <w:rPr>
          <w:rFonts w:cstheme="majorBidi"/>
          <w:lang w:eastAsia="ja-JP"/>
        </w:rPr>
        <w:t>HDR</w:t>
      </w:r>
      <w:r w:rsidRPr="00C54898">
        <w:rPr>
          <w:rFonts w:cstheme="majorBidi"/>
          <w:lang w:eastAsia="ja-JP"/>
        </w:rPr>
        <w:t>-</w:t>
      </w:r>
      <w:r w:rsidRPr="00515909">
        <w:rPr>
          <w:rFonts w:cstheme="majorBidi"/>
          <w:lang w:eastAsia="ja-JP"/>
        </w:rPr>
        <w:t>TV</w:t>
      </w:r>
      <w:r w:rsidRPr="00C54898">
        <w:rPr>
          <w:rFonts w:cstheme="majorBidi"/>
          <w:lang w:eastAsia="ja-JP"/>
        </w:rPr>
        <w:t>) приводятся в Рекомендации МСЭ-</w:t>
      </w:r>
      <w:r w:rsidRPr="00515909">
        <w:rPr>
          <w:rFonts w:cstheme="majorBidi"/>
          <w:lang w:eastAsia="ja-JP"/>
        </w:rPr>
        <w:t>R</w:t>
      </w:r>
      <w:r w:rsidRPr="00C54898">
        <w:rPr>
          <w:rFonts w:cstheme="majorBidi"/>
          <w:lang w:eastAsia="ja-JP"/>
        </w:rPr>
        <w:t xml:space="preserve"> </w:t>
      </w:r>
      <w:r w:rsidRPr="00515909">
        <w:rPr>
          <w:rFonts w:cstheme="majorBidi"/>
          <w:lang w:eastAsia="ja-JP"/>
        </w:rPr>
        <w:t>BT</w:t>
      </w:r>
      <w:r w:rsidRPr="00C54898">
        <w:rPr>
          <w:rFonts w:cstheme="majorBidi"/>
          <w:lang w:eastAsia="ja-JP"/>
        </w:rPr>
        <w:t>.2100;</w:t>
      </w:r>
    </w:p>
    <w:p w:rsidR="00A37C62" w:rsidRPr="00C54898" w:rsidRDefault="00A37C62" w:rsidP="00A37C62">
      <w:pPr>
        <w:jc w:val="both"/>
      </w:pPr>
      <w:r w:rsidRPr="00C54898">
        <w:rPr>
          <w:rFonts w:cstheme="majorBidi"/>
          <w:bCs/>
          <w:i/>
          <w:lang w:eastAsia="ja-JP"/>
        </w:rPr>
        <w:t>b</w:t>
      </w:r>
      <w:r w:rsidRPr="00C54898">
        <w:rPr>
          <w:i/>
          <w:iCs/>
        </w:rPr>
        <w:t>)</w:t>
      </w:r>
      <w:r w:rsidRPr="00C54898">
        <w:tab/>
        <w:t xml:space="preserve">что форматы изображения цифрового телевидения для телевидения стандартной четкости (ТСЧ), телевидения высокой четкости (ТВЧ) и телевидения сверхвысокой четкости (ТСВЧ) </w:t>
      </w:r>
      <w:r w:rsidRPr="00C54898">
        <w:rPr>
          <w:rFonts w:cstheme="majorBidi"/>
          <w:bCs/>
          <w:iCs/>
          <w:lang w:eastAsia="ja-JP"/>
        </w:rPr>
        <w:t xml:space="preserve">со стандартным динамическим диапазоном (SDR) </w:t>
      </w:r>
      <w:r w:rsidRPr="00C54898">
        <w:t>определены МСЭ-R в Рекомендациях МСЭ-R BT.601, МСЭ-R BT.709 и МСЭ-R BT.2020;</w:t>
      </w:r>
    </w:p>
    <w:p w:rsidR="00A37C62" w:rsidRPr="00515909" w:rsidRDefault="00A37C62" w:rsidP="00A37C62">
      <w:pPr>
        <w:jc w:val="both"/>
      </w:pPr>
      <w:r w:rsidRPr="00C54898">
        <w:rPr>
          <w:i/>
          <w:iCs/>
        </w:rPr>
        <w:t>с</w:t>
      </w:r>
      <w:r w:rsidRPr="00515909">
        <w:rPr>
          <w:i/>
          <w:iCs/>
        </w:rPr>
        <w:t>)</w:t>
      </w:r>
      <w:r w:rsidRPr="00515909">
        <w:tab/>
      </w:r>
      <w:r w:rsidRPr="00C54898">
        <w:t>что в Рекомендации МСЭ</w:t>
      </w:r>
      <w:r w:rsidRPr="00515909">
        <w:t>-</w:t>
      </w:r>
      <w:r w:rsidRPr="00C54898">
        <w:t>R</w:t>
      </w:r>
      <w:r w:rsidRPr="00515909">
        <w:t xml:space="preserve"> </w:t>
      </w:r>
      <w:r w:rsidRPr="00C54898">
        <w:t>BT</w:t>
      </w:r>
      <w:r w:rsidRPr="00515909">
        <w:t xml:space="preserve">.2022 </w:t>
      </w:r>
      <w:r w:rsidRPr="00C54898">
        <w:t>определены общие условия просмотра для субъективной оценки качества телевизионных изображений ТСЧ</w:t>
      </w:r>
      <w:r w:rsidRPr="00515909">
        <w:t xml:space="preserve"> </w:t>
      </w:r>
      <w:r w:rsidRPr="00C54898">
        <w:t xml:space="preserve">и ТВЧ </w:t>
      </w:r>
      <w:r w:rsidRPr="00515909">
        <w:t>на дисплеях с плоским экраном;</w:t>
      </w:r>
    </w:p>
    <w:p w:rsidR="00A37C62" w:rsidRPr="00C54898" w:rsidRDefault="00A37C62" w:rsidP="00A37C62">
      <w:pPr>
        <w:jc w:val="both"/>
        <w:rPr>
          <w:rFonts w:eastAsia="MS Mincho"/>
        </w:rPr>
      </w:pPr>
      <w:r w:rsidRPr="00C54898">
        <w:rPr>
          <w:i/>
          <w:iCs/>
        </w:rPr>
        <w:t>d)</w:t>
      </w:r>
      <w:r w:rsidRPr="00C54898">
        <w:tab/>
      </w:r>
      <w:r w:rsidRPr="00C54898">
        <w:rPr>
          <w:rFonts w:eastAsia="MS Mincho"/>
        </w:rPr>
        <w:t xml:space="preserve">что современные телевизионные экраны могут воспроизводить изображения большей яркости, с большим коэффициентом контрастности и </w:t>
      </w:r>
      <w:r w:rsidRPr="00C54898">
        <w:t>более широкой цветовой гаммы</w:t>
      </w:r>
      <w:r w:rsidRPr="00C54898">
        <w:rPr>
          <w:rFonts w:eastAsia="MS Mincho"/>
        </w:rPr>
        <w:t xml:space="preserve"> (WCG), чем при обычном производстве программ;</w:t>
      </w:r>
    </w:p>
    <w:p w:rsidR="00A37C62" w:rsidRPr="00C54898" w:rsidRDefault="00A37C62" w:rsidP="00A37C62">
      <w:pPr>
        <w:jc w:val="both"/>
      </w:pPr>
      <w:r w:rsidRPr="00C54898">
        <w:rPr>
          <w:i/>
          <w:iCs/>
        </w:rPr>
        <w:t>e)</w:t>
      </w:r>
      <w:r w:rsidRPr="00C54898">
        <w:tab/>
        <w:t>что HDR-TV</w:t>
      </w:r>
      <w:r>
        <w:t xml:space="preserve"> </w:t>
      </w:r>
      <w:r w:rsidRPr="00C54898">
        <w:t xml:space="preserve">способно воспроизводить изображения значительно большей яркости и с </w:t>
      </w:r>
      <w:r w:rsidRPr="00C54898">
        <w:rPr>
          <w:rFonts w:eastAsia="MS Mincho"/>
        </w:rPr>
        <w:t>большим коэффициентом контрастности</w:t>
      </w:r>
      <w:r w:rsidRPr="00C54898">
        <w:t>;</w:t>
      </w:r>
    </w:p>
    <w:p w:rsidR="00A37C62" w:rsidRPr="00C54898" w:rsidRDefault="00A37C62" w:rsidP="00A37C62">
      <w:pPr>
        <w:jc w:val="both"/>
      </w:pPr>
      <w:r w:rsidRPr="00C54898">
        <w:rPr>
          <w:i/>
          <w:iCs/>
        </w:rPr>
        <w:t>f)</w:t>
      </w:r>
      <w:r w:rsidRPr="00C54898">
        <w:tab/>
        <w:t xml:space="preserve">что производство многих телевизионных программ и обмен ими будут и далее осуществляться в стандартном динамическом диапазоне изображений ТСЧ, ТВЧ и ТСВЧ, а также что контент </w:t>
      </w:r>
      <w:r w:rsidRPr="00C54898">
        <w:rPr>
          <w:rFonts w:cstheme="majorBidi"/>
          <w:bCs/>
          <w:iCs/>
          <w:szCs w:val="24"/>
          <w:lang w:eastAsia="zh-CN"/>
        </w:rPr>
        <w:t>SDR и HDR будет смешиваться при производстве программ и при перегоне вещательных программ</w:t>
      </w:r>
      <w:r w:rsidRPr="00C54898">
        <w:t xml:space="preserve">; </w:t>
      </w:r>
    </w:p>
    <w:p w:rsidR="00A37C62" w:rsidRPr="00C54898" w:rsidRDefault="00A37C62" w:rsidP="00A37C62">
      <w:pPr>
        <w:jc w:val="both"/>
      </w:pPr>
      <w:r w:rsidRPr="00C54898">
        <w:rPr>
          <w:i/>
          <w:iCs/>
        </w:rPr>
        <w:t>g)</w:t>
      </w:r>
      <w:r w:rsidRPr="00C54898">
        <w:tab/>
        <w:t xml:space="preserve">что в течение ряда лет просмотр многих телевизионных программ, вещание которых ведется в HDR-TV, будет осуществляться на многочисленных традиционных бытовых телевизионных экранах, которые могут отображать только изображения </w:t>
      </w:r>
      <w:r w:rsidRPr="00C54898">
        <w:rPr>
          <w:rFonts w:cstheme="majorBidi"/>
          <w:bCs/>
          <w:iCs/>
          <w:szCs w:val="24"/>
          <w:lang w:eastAsia="ja-JP"/>
        </w:rPr>
        <w:t>SDR</w:t>
      </w:r>
      <w:r w:rsidRPr="00C54898">
        <w:t>;</w:t>
      </w:r>
    </w:p>
    <w:p w:rsidR="00A37C62" w:rsidRPr="00C54898" w:rsidRDefault="00A37C62" w:rsidP="00A37C62">
      <w:pPr>
        <w:jc w:val="both"/>
      </w:pPr>
      <w:r w:rsidRPr="00C54898">
        <w:rPr>
          <w:i/>
          <w:iCs/>
        </w:rPr>
        <w:t>h)</w:t>
      </w:r>
      <w:r w:rsidRPr="00C54898">
        <w:tab/>
        <w:t>что желательно, чтобы HDR-TV в соответствующих случаях имело определенную степень совместимости с существующими рабочими процессами и инфраструктурой радиовещательных организаций, а также с экранами</w:t>
      </w:r>
      <w:r w:rsidRPr="00C54898">
        <w:rPr>
          <w:rFonts w:cstheme="majorBidi"/>
          <w:bCs/>
          <w:iCs/>
          <w:szCs w:val="24"/>
          <w:lang w:eastAsia="ja-JP"/>
        </w:rPr>
        <w:t xml:space="preserve"> SDR</w:t>
      </w:r>
      <w:r w:rsidRPr="00C54898">
        <w:t>;</w:t>
      </w:r>
    </w:p>
    <w:p w:rsidR="00A37C62" w:rsidRPr="00C54898" w:rsidRDefault="00A37C62" w:rsidP="00A37C62">
      <w:pPr>
        <w:jc w:val="both"/>
      </w:pPr>
      <w:r w:rsidRPr="00515909">
        <w:rPr>
          <w:rFonts w:cstheme="majorBidi"/>
          <w:bCs/>
          <w:i/>
          <w:szCs w:val="24"/>
          <w:lang w:eastAsia="ja-JP"/>
        </w:rPr>
        <w:t>i</w:t>
      </w:r>
      <w:r w:rsidRPr="00C54898">
        <w:rPr>
          <w:rFonts w:cstheme="majorBidi"/>
          <w:bCs/>
          <w:i/>
          <w:szCs w:val="24"/>
          <w:lang w:eastAsia="ja-JP"/>
        </w:rPr>
        <w:t>)</w:t>
      </w:r>
      <w:r w:rsidRPr="00C54898">
        <w:rPr>
          <w:rFonts w:cstheme="majorBidi"/>
          <w:bCs/>
          <w:iCs/>
          <w:szCs w:val="24"/>
          <w:lang w:eastAsia="ja-JP"/>
        </w:rPr>
        <w:tab/>
        <w:t>что при производстве HDR</w:t>
      </w:r>
      <w:r w:rsidRPr="00515909">
        <w:rPr>
          <w:rFonts w:cstheme="majorBidi"/>
          <w:bCs/>
          <w:iCs/>
          <w:szCs w:val="24"/>
          <w:lang w:eastAsia="ja-JP"/>
        </w:rPr>
        <w:t>-</w:t>
      </w:r>
      <w:r w:rsidRPr="00C54898">
        <w:rPr>
          <w:rFonts w:cstheme="majorBidi"/>
          <w:bCs/>
          <w:iCs/>
          <w:szCs w:val="24"/>
          <w:lang w:eastAsia="ja-JP"/>
        </w:rPr>
        <w:t>TV следует договориться о творческой практике, которая не приводила бы к какому бы то ни было отрицательному воздействию, например визуальному утомлению или дискомфорту при просмотре в течение существенного периода времени</w:t>
      </w:r>
      <w:r>
        <w:rPr>
          <w:rFonts w:cstheme="majorBidi"/>
          <w:bCs/>
          <w:iCs/>
          <w:szCs w:val="24"/>
          <w:lang w:eastAsia="ja-JP"/>
        </w:rPr>
        <w:t>,</w:t>
      </w:r>
    </w:p>
    <w:p w:rsidR="00A37C62" w:rsidRDefault="00A37C62" w:rsidP="00A37C6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A37C62" w:rsidRPr="00C54898" w:rsidRDefault="00A37C62" w:rsidP="00A37C62">
      <w:pPr>
        <w:pStyle w:val="Call"/>
        <w:rPr>
          <w:i w:val="0"/>
          <w:iCs/>
        </w:rPr>
      </w:pPr>
      <w:r w:rsidRPr="00C54898">
        <w:lastRenderedPageBreak/>
        <w:t>решает</w:t>
      </w:r>
      <w:r w:rsidRPr="00C54898">
        <w:rPr>
          <w:i w:val="0"/>
          <w:iCs/>
        </w:rPr>
        <w:t xml:space="preserve">, </w:t>
      </w:r>
      <w:r w:rsidRPr="006C3CD0">
        <w:rPr>
          <w:i w:val="0"/>
          <w:iCs/>
        </w:rPr>
        <w:t>что необходимо изучить следующие Вопросы</w:t>
      </w:r>
      <w:r w:rsidRPr="00C54898">
        <w:rPr>
          <w:i w:val="0"/>
          <w:iCs/>
        </w:rPr>
        <w:t>:</w:t>
      </w:r>
    </w:p>
    <w:p w:rsidR="00A37C62" w:rsidRPr="00C54898" w:rsidRDefault="00A37C62" w:rsidP="00A37C62">
      <w:pPr>
        <w:jc w:val="both"/>
        <w:rPr>
          <w:lang w:eastAsia="zh-CN"/>
        </w:rPr>
      </w:pPr>
      <w:r w:rsidRPr="00C54898">
        <w:rPr>
          <w:bCs/>
          <w:lang w:eastAsia="zh-CN"/>
        </w:rPr>
        <w:t>1</w:t>
      </w:r>
      <w:r w:rsidRPr="00C54898">
        <w:rPr>
          <w:lang w:eastAsia="zh-CN"/>
        </w:rPr>
        <w:tab/>
        <w:t>Какие методы производства и форматирования для доставки потребителям, включая любые требования к метаданным, обеспечат определенную степень совместимости при просмотре по большинству телевизоров, используемых в домах телевизионной аудиторией?</w:t>
      </w:r>
    </w:p>
    <w:p w:rsidR="00A37C62" w:rsidRPr="00C54898" w:rsidRDefault="00A37C62" w:rsidP="00A37C62">
      <w:pPr>
        <w:jc w:val="both"/>
        <w:rPr>
          <w:lang w:eastAsia="zh-CN"/>
        </w:rPr>
      </w:pPr>
      <w:r w:rsidRPr="00C54898">
        <w:rPr>
          <w:rFonts w:cstheme="majorBidi"/>
          <w:bCs/>
          <w:szCs w:val="24"/>
          <w:lang w:eastAsia="zh-CN"/>
        </w:rPr>
        <w:t>2</w:t>
      </w:r>
      <w:r w:rsidRPr="00C54898">
        <w:rPr>
          <w:rFonts w:cstheme="majorBidi"/>
          <w:bCs/>
          <w:iCs/>
          <w:szCs w:val="24"/>
          <w:lang w:eastAsia="zh-CN"/>
        </w:rPr>
        <w:tab/>
        <w:t>Какие методы тонального отображения</w:t>
      </w:r>
      <w:r>
        <w:rPr>
          <w:rStyle w:val="FootnoteReference"/>
          <w:rFonts w:cstheme="majorBidi"/>
          <w:bCs/>
          <w:iCs/>
          <w:szCs w:val="24"/>
          <w:lang w:eastAsia="zh-CN"/>
        </w:rPr>
        <w:footnoteReference w:customMarkFollows="1" w:id="1"/>
        <w:t>1</w:t>
      </w:r>
      <w:r w:rsidRPr="00C54898">
        <w:t xml:space="preserve"> </w:t>
      </w:r>
      <w:r w:rsidRPr="00C54898">
        <w:rPr>
          <w:rFonts w:cstheme="majorBidi"/>
          <w:bCs/>
          <w:iCs/>
          <w:szCs w:val="24"/>
          <w:lang w:eastAsia="zh-CN"/>
        </w:rPr>
        <w:t xml:space="preserve">следует рекомендовать для получения версий </w:t>
      </w:r>
      <w:r w:rsidRPr="00515909">
        <w:rPr>
          <w:rFonts w:cstheme="majorBidi"/>
          <w:bCs/>
          <w:iCs/>
          <w:szCs w:val="24"/>
          <w:lang w:eastAsia="zh-CN"/>
        </w:rPr>
        <w:t>SDR</w:t>
      </w:r>
      <w:r w:rsidRPr="00C54898">
        <w:rPr>
          <w:rFonts w:cstheme="majorBidi"/>
          <w:bCs/>
          <w:iCs/>
          <w:szCs w:val="24"/>
          <w:lang w:eastAsia="zh-CN"/>
        </w:rPr>
        <w:t xml:space="preserve"> на основе программ, произведенных в формате </w:t>
      </w:r>
      <w:r w:rsidRPr="00515909">
        <w:rPr>
          <w:rFonts w:cstheme="majorBidi"/>
          <w:bCs/>
          <w:iCs/>
          <w:szCs w:val="24"/>
          <w:lang w:eastAsia="zh-CN"/>
        </w:rPr>
        <w:t>HDR</w:t>
      </w:r>
      <w:r w:rsidRPr="00C54898">
        <w:rPr>
          <w:rFonts w:cstheme="majorBidi"/>
          <w:bCs/>
          <w:iCs/>
          <w:szCs w:val="24"/>
          <w:lang w:eastAsia="zh-CN"/>
        </w:rPr>
        <w:t>-</w:t>
      </w:r>
      <w:r w:rsidRPr="00515909">
        <w:rPr>
          <w:rFonts w:cstheme="majorBidi"/>
          <w:bCs/>
          <w:iCs/>
          <w:szCs w:val="24"/>
          <w:lang w:eastAsia="zh-CN"/>
        </w:rPr>
        <w:t>TV</w:t>
      </w:r>
      <w:r w:rsidRPr="00C54898">
        <w:rPr>
          <w:rFonts w:cstheme="majorBidi"/>
          <w:bCs/>
          <w:iCs/>
          <w:szCs w:val="24"/>
          <w:lang w:eastAsia="zh-CN"/>
        </w:rPr>
        <w:t xml:space="preserve">, и для включения программного материала </w:t>
      </w:r>
      <w:r w:rsidRPr="00515909">
        <w:rPr>
          <w:rFonts w:cstheme="majorBidi"/>
          <w:bCs/>
          <w:iCs/>
          <w:szCs w:val="24"/>
          <w:lang w:eastAsia="ja-JP"/>
        </w:rPr>
        <w:t>SDR</w:t>
      </w:r>
      <w:r w:rsidRPr="00C54898">
        <w:rPr>
          <w:rFonts w:cstheme="majorBidi"/>
          <w:bCs/>
          <w:iCs/>
          <w:szCs w:val="24"/>
          <w:lang w:eastAsia="ja-JP"/>
        </w:rPr>
        <w:t xml:space="preserve"> в программы </w:t>
      </w:r>
      <w:r w:rsidRPr="00515909">
        <w:rPr>
          <w:rFonts w:cstheme="majorBidi"/>
          <w:bCs/>
          <w:iCs/>
          <w:szCs w:val="24"/>
          <w:lang w:eastAsia="ja-JP"/>
        </w:rPr>
        <w:t>HDR</w:t>
      </w:r>
      <w:r w:rsidRPr="00C54898">
        <w:rPr>
          <w:rFonts w:cstheme="majorBidi"/>
          <w:bCs/>
          <w:iCs/>
          <w:szCs w:val="24"/>
          <w:lang w:eastAsia="zh-CN"/>
        </w:rPr>
        <w:t>?</w:t>
      </w:r>
    </w:p>
    <w:p w:rsidR="00A37C62" w:rsidRPr="00C54898" w:rsidRDefault="00A37C62" w:rsidP="00A37C62">
      <w:pPr>
        <w:jc w:val="both"/>
        <w:rPr>
          <w:lang w:eastAsia="zh-CN"/>
        </w:rPr>
      </w:pPr>
      <w:r w:rsidRPr="00C54898">
        <w:rPr>
          <w:bCs/>
          <w:lang w:eastAsia="zh-CN"/>
        </w:rPr>
        <w:t>3</w:t>
      </w:r>
      <w:r w:rsidRPr="00C54898">
        <w:rPr>
          <w:lang w:eastAsia="zh-CN"/>
        </w:rPr>
        <w:tab/>
        <w:t>Какой диапазон условий просмотра следует предусматривать для домашнего просмотра программ HDR-TV?</w:t>
      </w:r>
    </w:p>
    <w:p w:rsidR="00A37C62" w:rsidRPr="00C54898" w:rsidRDefault="00A37C62" w:rsidP="00A37C62">
      <w:pPr>
        <w:jc w:val="both"/>
        <w:rPr>
          <w:lang w:eastAsia="zh-CN"/>
        </w:rPr>
      </w:pPr>
      <w:r w:rsidRPr="00C54898">
        <w:rPr>
          <w:bCs/>
          <w:lang w:eastAsia="zh-CN"/>
        </w:rPr>
        <w:t>4</w:t>
      </w:r>
      <w:r w:rsidRPr="00C54898">
        <w:rPr>
          <w:lang w:eastAsia="zh-CN"/>
        </w:rPr>
        <w:tab/>
        <w:t>Какое существует взаимоотношение, оцененное с научной точки зрения, при просмотре в домашней среде между расширением динамического диапазона изображений и оценкой просмотра потребителем?</w:t>
      </w:r>
    </w:p>
    <w:p w:rsidR="00A37C62" w:rsidRPr="00C54898" w:rsidRDefault="00A37C62" w:rsidP="00A37C62">
      <w:pPr>
        <w:jc w:val="both"/>
        <w:rPr>
          <w:lang w:eastAsia="zh-CN"/>
        </w:rPr>
      </w:pPr>
      <w:r w:rsidRPr="00C54898">
        <w:rPr>
          <w:bCs/>
          <w:lang w:eastAsia="zh-CN"/>
        </w:rPr>
        <w:t>5</w:t>
      </w:r>
      <w:r w:rsidRPr="00C54898">
        <w:rPr>
          <w:lang w:eastAsia="zh-CN"/>
        </w:rPr>
        <w:tab/>
        <w:t>Какую следует рекомендовать практику, с тем чтобы телевизионная аудитория в домашних условиях не воспринимала раздражающие скачки в качестве телевизионных изображений при переходах между программами HDR-TV и телевизионными программами стандартного динамического диапазона?</w:t>
      </w:r>
    </w:p>
    <w:p w:rsidR="00A37C62" w:rsidRPr="00C54898" w:rsidRDefault="00A37C62" w:rsidP="00A37C62">
      <w:pPr>
        <w:pStyle w:val="Call"/>
      </w:pPr>
      <w:r w:rsidRPr="00C54898">
        <w:t>решает далее</w:t>
      </w:r>
      <w:r w:rsidRPr="00C54898">
        <w:rPr>
          <w:i w:val="0"/>
          <w:iCs/>
        </w:rPr>
        <w:t>,</w:t>
      </w:r>
    </w:p>
    <w:p w:rsidR="00A37C62" w:rsidRPr="00C54898" w:rsidRDefault="00A37C62" w:rsidP="00A37C62">
      <w:pPr>
        <w:jc w:val="both"/>
      </w:pPr>
      <w:r w:rsidRPr="00C54898">
        <w:rPr>
          <w:bCs/>
        </w:rPr>
        <w:t>1</w:t>
      </w:r>
      <w:r w:rsidRPr="00C54898">
        <w:rPr>
          <w:b/>
        </w:rPr>
        <w:tab/>
      </w:r>
      <w:r w:rsidRPr="00C54898">
        <w:t>что результаты вышеупомянутых исследований следует включить в одну (один) или несколько Рекомендацию(й) или Отчет(ов);</w:t>
      </w:r>
    </w:p>
    <w:p w:rsidR="00A37C62" w:rsidRPr="00C54898" w:rsidRDefault="00A37C62" w:rsidP="00A37C62">
      <w:pPr>
        <w:jc w:val="both"/>
      </w:pPr>
      <w:r w:rsidRPr="00C54898">
        <w:rPr>
          <w:bCs/>
        </w:rPr>
        <w:t>2</w:t>
      </w:r>
      <w:r w:rsidRPr="00C54898">
        <w:rPr>
          <w:b/>
        </w:rPr>
        <w:tab/>
      </w:r>
      <w:r w:rsidRPr="00C54898">
        <w:t>что вышеупомянутые исследования следует завершить к 2019</w:t>
      </w:r>
      <w:r w:rsidRPr="00AD7776">
        <w:t> </w:t>
      </w:r>
      <w:r w:rsidRPr="00C54898">
        <w:t>году</w:t>
      </w:r>
      <w:r>
        <w:rPr>
          <w:rStyle w:val="FootnoteReference"/>
        </w:rPr>
        <w:footnoteReference w:customMarkFollows="1" w:id="2"/>
        <w:t>2</w:t>
      </w:r>
      <w:r w:rsidRPr="00C54898">
        <w:t>.</w:t>
      </w:r>
    </w:p>
    <w:p w:rsidR="00A37C62" w:rsidRPr="00C54898" w:rsidRDefault="00A37C62" w:rsidP="00A37C62">
      <w:pPr>
        <w:spacing w:before="480"/>
      </w:pPr>
      <w:r w:rsidRPr="00C54898">
        <w:t>Категория: S2</w:t>
      </w:r>
    </w:p>
    <w:p w:rsidR="006A2851" w:rsidRDefault="006A2851"/>
    <w:sectPr w:rsidR="006A2851" w:rsidSect="005764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 w:code="9"/>
      <w:pgMar w:top="1418" w:right="1134" w:bottom="1418" w:left="1134" w:header="720" w:footer="72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C62" w:rsidRDefault="00A37C62" w:rsidP="00A37C62">
      <w:pPr>
        <w:spacing w:before="0"/>
      </w:pPr>
      <w:r>
        <w:separator/>
      </w:r>
    </w:p>
  </w:endnote>
  <w:endnote w:type="continuationSeparator" w:id="0">
    <w:p w:rsidR="00A37C62" w:rsidRDefault="00A37C62" w:rsidP="00A37C6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62" w:rsidRDefault="00A37C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62" w:rsidRDefault="00A37C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62" w:rsidRDefault="00A37C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C62" w:rsidRDefault="00A37C62" w:rsidP="00A37C62">
      <w:pPr>
        <w:spacing w:before="0"/>
      </w:pPr>
      <w:r>
        <w:separator/>
      </w:r>
    </w:p>
  </w:footnote>
  <w:footnote w:type="continuationSeparator" w:id="0">
    <w:p w:rsidR="00A37C62" w:rsidRDefault="00A37C62" w:rsidP="00A37C62">
      <w:pPr>
        <w:spacing w:before="0"/>
      </w:pPr>
      <w:r>
        <w:continuationSeparator/>
      </w:r>
    </w:p>
  </w:footnote>
  <w:footnote w:id="1">
    <w:p w:rsidR="00A37C62" w:rsidRPr="00515909" w:rsidRDefault="00A37C62" w:rsidP="00A37C62">
      <w:pPr>
        <w:pStyle w:val="FootnoteText"/>
        <w:rPr>
          <w:lang w:val="ru-RU"/>
        </w:rPr>
      </w:pPr>
      <w:r w:rsidRPr="00A37C62">
        <w:rPr>
          <w:rStyle w:val="FootnoteReference"/>
          <w:lang w:val="ru-RU"/>
        </w:rPr>
        <w:t>1</w:t>
      </w:r>
      <w:r>
        <w:rPr>
          <w:lang w:val="ru-RU"/>
        </w:rPr>
        <w:tab/>
      </w:r>
      <w:r w:rsidRPr="00C54898">
        <w:rPr>
          <w:rFonts w:ascii="Calibri" w:hAnsi="Calibri" w:cstheme="majorBidi"/>
          <w:sz w:val="20"/>
          <w:lang w:val="ru-RU"/>
        </w:rPr>
        <w:t>Тональное отображение − это метод обработки изображений, используемый для отображения одного набора параметров изображений в другом наборе, например при разработке версий программ телевидения большого динамического диапазона, адаптированных для распределения в среде передачи стандартного динамического диапазона.</w:t>
      </w:r>
    </w:p>
  </w:footnote>
  <w:footnote w:id="2">
    <w:p w:rsidR="00A37C62" w:rsidRPr="00515909" w:rsidRDefault="00A37C62" w:rsidP="00A37C62">
      <w:pPr>
        <w:pStyle w:val="FootnoteText"/>
        <w:rPr>
          <w:lang w:val="ru-RU"/>
        </w:rPr>
      </w:pPr>
      <w:r w:rsidRPr="00A37C62">
        <w:rPr>
          <w:rStyle w:val="FootnoteReference"/>
          <w:lang w:val="ru-RU"/>
        </w:rPr>
        <w:t>2</w:t>
      </w:r>
      <w:r w:rsidRPr="00515909">
        <w:rPr>
          <w:lang w:val="ru-RU"/>
        </w:rPr>
        <w:tab/>
      </w:r>
      <w:r w:rsidRPr="00C54898">
        <w:rPr>
          <w:rFonts w:ascii="Calibri" w:hAnsi="Calibri" w:cstheme="majorBidi"/>
          <w:sz w:val="20"/>
          <w:lang w:val="ru-RU"/>
        </w:rPr>
        <w:t>Соответствующие результаты исследований в надлежащих случаях должны быть в установленном порядке доведены до сведения МЭК</w:t>
      </w:r>
      <w:r w:rsidRPr="00CA3525">
        <w:rPr>
          <w:rFonts w:ascii="Calibri" w:hAnsi="Calibri" w:cstheme="majorBidi"/>
          <w:sz w:val="2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62" w:rsidRDefault="00A37C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62" w:rsidRDefault="00A37C62">
    <w:pPr>
      <w:pStyle w:val="Header"/>
      <w:jc w:val="center"/>
    </w:pPr>
    <w:r>
      <w:rPr>
        <w:lang w:val="en-US"/>
      </w:rPr>
      <w:t xml:space="preserve">- </w:t>
    </w:r>
    <w:sdt>
      <w:sdtPr>
        <w:id w:val="143717735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bookmarkStart w:id="0" w:name="_GoBack"/>
        <w:r w:rsidRPr="00A37C62">
          <w:rPr>
            <w:sz w:val="18"/>
            <w:szCs w:val="18"/>
          </w:rPr>
          <w:fldChar w:fldCharType="begin"/>
        </w:r>
        <w:r w:rsidRPr="00A37C62">
          <w:rPr>
            <w:sz w:val="18"/>
            <w:szCs w:val="18"/>
          </w:rPr>
          <w:instrText xml:space="preserve"> PAGE   \* MERGEFORMAT </w:instrText>
        </w:r>
        <w:r w:rsidRPr="00A37C6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A37C62">
          <w:rPr>
            <w:noProof/>
            <w:sz w:val="18"/>
            <w:szCs w:val="18"/>
          </w:rPr>
          <w:fldChar w:fldCharType="end"/>
        </w:r>
        <w:bookmarkEnd w:id="0"/>
        <w:r>
          <w:rPr>
            <w:noProof/>
            <w:lang w:val="en-US"/>
          </w:rPr>
          <w:t xml:space="preserve"> -</w:t>
        </w:r>
      </w:sdtContent>
    </w:sdt>
  </w:p>
  <w:p w:rsidR="00A37C62" w:rsidRDefault="00A37C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62" w:rsidRDefault="00A37C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62"/>
    <w:rsid w:val="0057642C"/>
    <w:rsid w:val="006A2851"/>
    <w:rsid w:val="00A3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5276B6A-576E-455C-B0E6-0F4D3FDB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C6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Cs w:val="20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"/>
    <w:basedOn w:val="DefaultParagraphFont"/>
    <w:rsid w:val="00A37C62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rmal"/>
    <w:link w:val="FootnoteTextChar"/>
    <w:rsid w:val="00A37C6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rsid w:val="00A37C62"/>
    <w:rPr>
      <w:rFonts w:eastAsia="Times New Roman" w:cs="Times New Roman"/>
      <w:szCs w:val="20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A37C62"/>
    <w:pPr>
      <w:keepNext/>
      <w:keepLines/>
      <w:spacing w:before="160"/>
      <w:ind w:left="1134"/>
    </w:pPr>
    <w:rPr>
      <w:i/>
    </w:rPr>
  </w:style>
  <w:style w:type="paragraph" w:customStyle="1" w:styleId="Questiondate">
    <w:name w:val="Question_date"/>
    <w:basedOn w:val="Normal"/>
    <w:next w:val="Normalaftertitle"/>
    <w:rsid w:val="00A37C62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A37C6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A37C62"/>
    <w:pPr>
      <w:keepNext/>
      <w:keepLines/>
      <w:spacing w:before="240"/>
      <w:jc w:val="center"/>
    </w:pPr>
    <w:rPr>
      <w:b/>
      <w:sz w:val="26"/>
    </w:rPr>
  </w:style>
  <w:style w:type="character" w:customStyle="1" w:styleId="CallChar">
    <w:name w:val="Call Char"/>
    <w:basedOn w:val="DefaultParagraphFont"/>
    <w:link w:val="Call"/>
    <w:locked/>
    <w:rsid w:val="00A37C62"/>
    <w:rPr>
      <w:rFonts w:eastAsia="Times New Roman" w:cs="Times New Roman"/>
      <w:i/>
      <w:szCs w:val="20"/>
      <w:lang w:val="ru-RU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A37C6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A37C62"/>
    <w:rPr>
      <w:rFonts w:eastAsia="Times New Roman" w:cs="Times New Roman"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A37C62"/>
    <w:rPr>
      <w:rFonts w:eastAsia="Times New Roman" w:cs="Times New Roman"/>
      <w:b/>
      <w:sz w:val="26"/>
      <w:szCs w:val="20"/>
      <w:lang w:val="ru-RU" w:eastAsia="en-US"/>
    </w:rPr>
  </w:style>
  <w:style w:type="paragraph" w:styleId="Header">
    <w:name w:val="header"/>
    <w:basedOn w:val="Normal"/>
    <w:link w:val="HeaderChar"/>
    <w:uiPriority w:val="99"/>
    <w:unhideWhenUsed/>
    <w:rsid w:val="00A37C62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37C62"/>
    <w:rPr>
      <w:rFonts w:eastAsia="Times New Roman" w:cs="Times New Roman"/>
      <w:szCs w:val="20"/>
      <w:lang w:val="ru-RU" w:eastAsia="en-US"/>
    </w:rPr>
  </w:style>
  <w:style w:type="paragraph" w:styleId="Footer">
    <w:name w:val="footer"/>
    <w:basedOn w:val="Normal"/>
    <w:link w:val="FooterChar"/>
    <w:uiPriority w:val="99"/>
    <w:unhideWhenUsed/>
    <w:rsid w:val="00A37C62"/>
    <w:pPr>
      <w:tabs>
        <w:tab w:val="clear" w:pos="1134"/>
        <w:tab w:val="clear" w:pos="1871"/>
        <w:tab w:val="clear" w:pos="2268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37C62"/>
    <w:rPr>
      <w:rFonts w:eastAsia="Times New Roman" w:cs="Times New Roman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2017-01-30T08:13:00Z</dcterms:created>
  <dcterms:modified xsi:type="dcterms:W3CDTF">2017-01-30T08:15:00Z</dcterms:modified>
</cp:coreProperties>
</file>