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07" w:rsidRPr="00892AC0" w:rsidRDefault="00106C07" w:rsidP="00106C07">
      <w:pPr>
        <w:pStyle w:val="Annextitle"/>
        <w:spacing w:after="240"/>
        <w:rPr>
          <w:rFonts w:ascii="Calibri" w:hAnsi="Calibri"/>
          <w:b/>
          <w:bCs w:val="0"/>
          <w:rtl/>
          <w:lang w:bidi="ar-SA"/>
        </w:rPr>
      </w:pPr>
      <w:r w:rsidRPr="00892AC0">
        <w:rPr>
          <w:rFonts w:ascii="Calibri" w:hAnsi="Calibri" w:hint="cs"/>
          <w:bCs w:val="0"/>
          <w:rtl/>
        </w:rPr>
        <w:t xml:space="preserve">ال‍مسألة </w:t>
      </w:r>
      <w:r w:rsidRPr="00892AC0">
        <w:rPr>
          <w:rFonts w:ascii="Calibri" w:hAnsi="Calibri"/>
          <w:bCs w:val="0"/>
        </w:rPr>
        <w:t>ITU-T 141/6</w:t>
      </w:r>
      <w:r w:rsidRPr="00892AC0">
        <w:rPr>
          <w:rStyle w:val="FootnoteReference"/>
          <w:b/>
          <w:bCs w:val="0"/>
          <w:rtl/>
          <w:lang w:bidi="ar-SA"/>
        </w:rPr>
        <w:footnoteReference w:id="1"/>
      </w:r>
    </w:p>
    <w:p w:rsidR="00106C07" w:rsidRPr="00892AC0" w:rsidRDefault="00106C07" w:rsidP="00106C07">
      <w:pPr>
        <w:pStyle w:val="Questiontitle"/>
        <w:rPr>
          <w:rFonts w:ascii="Calibri" w:hAnsi="Calibri"/>
          <w:rtl/>
        </w:rPr>
      </w:pPr>
      <w:r w:rsidRPr="00892AC0">
        <w:rPr>
          <w:rFonts w:ascii="Calibri" w:hAnsi="Calibri" w:hint="cs"/>
          <w:rtl/>
        </w:rPr>
        <w:t>البثّ من خلال الإنترنت لعناصر صوتية مُعدّة في إطار الإذاعة الصوتية والتلفزيونية</w:t>
      </w:r>
    </w:p>
    <w:p w:rsidR="00106C07" w:rsidRPr="00892AC0" w:rsidRDefault="00106C07" w:rsidP="00106C07">
      <w:pPr>
        <w:pStyle w:val="Normalaftertitle"/>
        <w:jc w:val="right"/>
        <w:rPr>
          <w:rFonts w:ascii="Calibri" w:hAnsi="Calibri"/>
          <w:lang w:val="en-US"/>
        </w:rPr>
      </w:pPr>
      <w:r w:rsidRPr="00892AC0">
        <w:rPr>
          <w:rFonts w:ascii="Calibri" w:hAnsi="Calibri"/>
          <w:lang w:val="en-US"/>
        </w:rPr>
        <w:t>(2015)</w:t>
      </w:r>
    </w:p>
    <w:p w:rsidR="00106C07" w:rsidRPr="00892AC0" w:rsidRDefault="00106C07" w:rsidP="00106C07">
      <w:pPr>
        <w:pStyle w:val="Normalaftertitle"/>
        <w:rPr>
          <w:rFonts w:ascii="Calibri" w:hAnsi="Calibri"/>
          <w:rtl/>
        </w:rPr>
      </w:pPr>
      <w:r w:rsidRPr="00892AC0">
        <w:rPr>
          <w:rFonts w:ascii="Calibri" w:hAnsi="Calibri"/>
          <w:rtl/>
        </w:rPr>
        <w:t>إن جمعية الاتصالات الراديوية للاتحاد الدولي للاتصالات،</w:t>
      </w:r>
    </w:p>
    <w:p w:rsidR="00106C07" w:rsidRPr="00892AC0" w:rsidRDefault="00106C07" w:rsidP="00106C07">
      <w:pPr>
        <w:pStyle w:val="Call"/>
        <w:rPr>
          <w:i w:val="0"/>
          <w:iCs w:val="0"/>
          <w:rtl/>
        </w:rPr>
      </w:pPr>
      <w:r w:rsidRPr="00892AC0">
        <w:rPr>
          <w:i w:val="0"/>
          <w:rtl/>
        </w:rPr>
        <w:t>إذ تضع في اعتبارها</w:t>
      </w:r>
    </w:p>
    <w:p w:rsidR="00106C07" w:rsidRPr="00892AC0" w:rsidRDefault="00106C07" w:rsidP="00106C07">
      <w:pPr>
        <w:rPr>
          <w:rtl/>
        </w:rPr>
      </w:pPr>
      <w:r w:rsidRPr="00892AC0">
        <w:rPr>
          <w:rtl/>
        </w:rPr>
        <w:t xml:space="preserve"> </w:t>
      </w:r>
      <w:r w:rsidRPr="00892AC0">
        <w:rPr>
          <w:i/>
          <w:iCs/>
          <w:rtl/>
        </w:rPr>
        <w:t>أ )</w:t>
      </w:r>
      <w:r w:rsidRPr="00892AC0">
        <w:rPr>
          <w:rtl/>
        </w:rPr>
        <w:tab/>
        <w:t xml:space="preserve">أن </w:t>
      </w:r>
      <w:r w:rsidRPr="00892AC0">
        <w:rPr>
          <w:rFonts w:hint="cs"/>
          <w:rtl/>
        </w:rPr>
        <w:t>المستمعين يرغبون</w:t>
      </w:r>
      <w:r w:rsidRPr="00892AC0">
        <w:rPr>
          <w:rtl/>
        </w:rPr>
        <w:t xml:space="preserve"> أن تكون البرامج </w:t>
      </w:r>
      <w:r w:rsidRPr="00892AC0">
        <w:rPr>
          <w:rFonts w:hint="cs"/>
          <w:rtl/>
        </w:rPr>
        <w:t>الصوتية</w:t>
      </w:r>
      <w:r w:rsidRPr="00892AC0">
        <w:rPr>
          <w:rtl/>
        </w:rPr>
        <w:t xml:space="preserve"> </w:t>
      </w:r>
      <w:r w:rsidRPr="00892AC0">
        <w:rPr>
          <w:rFonts w:hint="cs"/>
          <w:rtl/>
        </w:rPr>
        <w:t xml:space="preserve">متّسقة فيما بينها </w:t>
      </w:r>
      <w:r w:rsidRPr="00892AC0">
        <w:rPr>
          <w:rtl/>
        </w:rPr>
        <w:t xml:space="preserve">من حيث </w:t>
      </w:r>
      <w:r w:rsidRPr="00892AC0">
        <w:rPr>
          <w:rFonts w:hint="cs"/>
          <w:rtl/>
        </w:rPr>
        <w:t>مستوى</w:t>
      </w:r>
      <w:r w:rsidRPr="00892AC0">
        <w:rPr>
          <w:rtl/>
        </w:rPr>
        <w:t xml:space="preserve"> الصوت </w:t>
      </w:r>
      <w:r w:rsidRPr="00892AC0">
        <w:rPr>
          <w:rFonts w:hint="cs"/>
          <w:rtl/>
        </w:rPr>
        <w:t>كما يقيّمونه شخصياً</w:t>
      </w:r>
      <w:r w:rsidRPr="00892AC0">
        <w:rPr>
          <w:rtl/>
        </w:rPr>
        <w:t>؛</w:t>
      </w:r>
    </w:p>
    <w:p w:rsidR="00106C07" w:rsidRPr="00892AC0" w:rsidRDefault="00106C07" w:rsidP="00106C07">
      <w:pPr>
        <w:rPr>
          <w:rtl/>
        </w:rPr>
      </w:pPr>
      <w:r w:rsidRPr="00892AC0">
        <w:rPr>
          <w:i/>
          <w:iCs/>
          <w:rtl/>
        </w:rPr>
        <w:t>ب)</w:t>
      </w:r>
      <w:r w:rsidRPr="00892AC0">
        <w:rPr>
          <w:rtl/>
        </w:rPr>
        <w:tab/>
      </w:r>
      <w:r w:rsidRPr="00892AC0">
        <w:rPr>
          <w:rFonts w:hint="cs"/>
          <w:rtl/>
        </w:rPr>
        <w:t>أن المستمعين يرغبون كذلك أن تكون البرامج الصوتية واضحة في بيئات استماع صعبة مثل بيئة استماع على درجة عالية من ضوضاء الخلفية و/أو تتطلب الحدّ من الدرجات القصوى من أجل حماية السمع أو من أجل خفض الضوضاء</w:t>
      </w:r>
      <w:r w:rsidRPr="00892AC0">
        <w:rPr>
          <w:rtl/>
        </w:rPr>
        <w:t>؛</w:t>
      </w:r>
    </w:p>
    <w:p w:rsidR="00106C07" w:rsidRPr="00892AC0" w:rsidRDefault="00106C07" w:rsidP="00106C07">
      <w:pPr>
        <w:rPr>
          <w:rtl/>
        </w:rPr>
      </w:pPr>
      <w:r w:rsidRPr="00892AC0">
        <w:rPr>
          <w:i/>
          <w:iCs/>
          <w:rtl/>
        </w:rPr>
        <w:t>ج)</w:t>
      </w:r>
      <w:r w:rsidRPr="00892AC0">
        <w:rPr>
          <w:rtl/>
        </w:rPr>
        <w:tab/>
      </w:r>
      <w:r w:rsidRPr="00892AC0">
        <w:rPr>
          <w:rFonts w:hint="cs"/>
          <w:rtl/>
        </w:rPr>
        <w:t>أن التقنيات الحديثة للإرسال الصوتي الرقمي توفر مدى دينامياً أساسياً واسعاً للغاية، ولكن بيئة الاستماع الصعبة قد</w:t>
      </w:r>
      <w:r w:rsidRPr="00892AC0">
        <w:rPr>
          <w:rFonts w:hint="eastAsia"/>
          <w:rtl/>
        </w:rPr>
        <w:t> </w:t>
      </w:r>
      <w:r w:rsidRPr="00892AC0">
        <w:rPr>
          <w:rFonts w:hint="cs"/>
          <w:rtl/>
        </w:rPr>
        <w:t>تجعل المدى الأساسي القابل للاستعمال أصغر كثيراً</w:t>
      </w:r>
      <w:r w:rsidRPr="00892AC0">
        <w:rPr>
          <w:rtl/>
        </w:rPr>
        <w:t>؛</w:t>
      </w:r>
    </w:p>
    <w:p w:rsidR="00106C07" w:rsidRPr="00892AC0" w:rsidRDefault="00106C07" w:rsidP="00106C07">
      <w:pPr>
        <w:rPr>
          <w:rtl/>
        </w:rPr>
      </w:pPr>
      <w:r w:rsidRPr="00892AC0">
        <w:rPr>
          <w:i/>
          <w:iCs/>
          <w:rtl/>
        </w:rPr>
        <w:t>د )</w:t>
      </w:r>
      <w:r w:rsidRPr="00892AC0">
        <w:rPr>
          <w:rtl/>
        </w:rPr>
        <w:tab/>
      </w:r>
      <w:r w:rsidRPr="00892AC0">
        <w:rPr>
          <w:rFonts w:hint="cs"/>
          <w:rtl/>
        </w:rPr>
        <w:t>أن في البرامج التي تقوم أساساً على الحوار، تكون جهارة الحوار من العناصر الهامة بالنسبة إلى الجمهور، وأن هذه الجهارة ينبغي أن تكون متسقة فيما بين البرامج التي يتم تبادلها على الصعيد الدولي</w:t>
      </w:r>
      <w:r w:rsidRPr="00892AC0">
        <w:rPr>
          <w:rtl/>
        </w:rPr>
        <w:t>؛</w:t>
      </w:r>
    </w:p>
    <w:p w:rsidR="00106C07" w:rsidRPr="00892AC0" w:rsidRDefault="00106C07" w:rsidP="00106C07">
      <w:pPr>
        <w:rPr>
          <w:rtl/>
        </w:rPr>
      </w:pPr>
      <w:r w:rsidRPr="00892AC0">
        <w:rPr>
          <w:i/>
          <w:iCs/>
          <w:rtl/>
        </w:rPr>
        <w:t>ﻫ )</w:t>
      </w:r>
      <w:r w:rsidRPr="00892AC0">
        <w:rPr>
          <w:rtl/>
        </w:rPr>
        <w:tab/>
      </w:r>
      <w:r w:rsidRPr="00892AC0">
        <w:rPr>
          <w:rFonts w:hint="cs"/>
          <w:rtl/>
        </w:rPr>
        <w:t>أن بث البرامج الإذاعية للجمهور يكون عبر عدد متزايد من منصات البث بما فيها المنصات التي تستخدم الإنترنت</w:t>
      </w:r>
      <w:r w:rsidRPr="00892AC0">
        <w:rPr>
          <w:rtl/>
        </w:rPr>
        <w:t>؛</w:t>
      </w:r>
    </w:p>
    <w:p w:rsidR="00106C07" w:rsidRPr="00892AC0" w:rsidRDefault="00106C07" w:rsidP="00106C07">
      <w:pPr>
        <w:rPr>
          <w:rtl/>
        </w:rPr>
      </w:pPr>
      <w:r w:rsidRPr="00892AC0">
        <w:rPr>
          <w:i/>
          <w:iCs/>
          <w:rtl/>
        </w:rPr>
        <w:t>و )</w:t>
      </w:r>
      <w:r w:rsidRPr="00892AC0">
        <w:rPr>
          <w:rtl/>
        </w:rPr>
        <w:tab/>
      </w:r>
      <w:r w:rsidRPr="00892AC0">
        <w:rPr>
          <w:rFonts w:hint="cs"/>
          <w:rtl/>
        </w:rPr>
        <w:t>أن المنصات التي تستخدم الإنترنت قد تقدم محتوى من مصادر إذاعية وغير إذاعية، وأن مصادر البرامج غير الإذاعية قد</w:t>
      </w:r>
      <w:r w:rsidRPr="00892AC0">
        <w:rPr>
          <w:rFonts w:hint="eastAsia"/>
          <w:rtl/>
        </w:rPr>
        <w:t> </w:t>
      </w:r>
      <w:r w:rsidRPr="00892AC0">
        <w:rPr>
          <w:rFonts w:hint="cs"/>
          <w:rtl/>
        </w:rPr>
        <w:t>ترسل إشارات سمعية بمستويات جهارة مختلفة عن تلك التي توفرها مصادر البرامج الإذاعية</w:t>
      </w:r>
      <w:r w:rsidRPr="00892AC0">
        <w:rPr>
          <w:rtl/>
        </w:rPr>
        <w:t>؛</w:t>
      </w:r>
    </w:p>
    <w:p w:rsidR="00106C07" w:rsidRPr="00892AC0" w:rsidRDefault="00106C07" w:rsidP="00106C07">
      <w:pPr>
        <w:rPr>
          <w:rtl/>
        </w:rPr>
      </w:pPr>
      <w:r w:rsidRPr="00892AC0">
        <w:rPr>
          <w:rFonts w:hint="cs"/>
          <w:i/>
          <w:iCs/>
          <w:rtl/>
        </w:rPr>
        <w:t>ز )</w:t>
      </w:r>
      <w:r w:rsidRPr="00892AC0">
        <w:rPr>
          <w:rtl/>
        </w:rPr>
        <w:tab/>
      </w:r>
      <w:r w:rsidRPr="00892AC0">
        <w:rPr>
          <w:rFonts w:hint="cs"/>
          <w:rtl/>
        </w:rPr>
        <w:t>أن من المستحسن جداً أن توفر منصات البث هذه على الصعيد العالمي اتساقاً بدرجة معقولة في جودة الصوت فيما</w:t>
      </w:r>
      <w:r w:rsidRPr="00892AC0">
        <w:rPr>
          <w:rFonts w:hint="eastAsia"/>
          <w:rtl/>
        </w:rPr>
        <w:t> </w:t>
      </w:r>
      <w:r w:rsidRPr="00892AC0">
        <w:rPr>
          <w:rFonts w:hint="cs"/>
          <w:rtl/>
        </w:rPr>
        <w:t>بين البرامج الإذاعية، بما في ذلك خصائص الجهارة</w:t>
      </w:r>
      <w:r w:rsidRPr="00892AC0">
        <w:rPr>
          <w:rtl/>
        </w:rPr>
        <w:t>؛</w:t>
      </w:r>
    </w:p>
    <w:p w:rsidR="00106C07" w:rsidRPr="00892AC0" w:rsidRDefault="00106C07" w:rsidP="00106C07">
      <w:pPr>
        <w:rPr>
          <w:rtl/>
        </w:rPr>
      </w:pPr>
      <w:r w:rsidRPr="00892AC0">
        <w:rPr>
          <w:rFonts w:hint="cs"/>
          <w:i/>
          <w:iCs/>
          <w:rtl/>
        </w:rPr>
        <w:t>ح)</w:t>
      </w:r>
      <w:r w:rsidRPr="00892AC0">
        <w:rPr>
          <w:rFonts w:hint="cs"/>
          <w:rtl/>
        </w:rPr>
        <w:tab/>
        <w:t xml:space="preserve">أن التوصية </w:t>
      </w:r>
      <w:r w:rsidRPr="00892AC0">
        <w:t>ITU</w:t>
      </w:r>
      <w:r w:rsidRPr="00892AC0">
        <w:noBreakHyphen/>
        <w:t>R BS.1726</w:t>
      </w:r>
      <w:r w:rsidRPr="00892AC0">
        <w:rPr>
          <w:rFonts w:hint="cs"/>
          <w:rtl/>
        </w:rPr>
        <w:t xml:space="preserve"> تحدد استعمال "مستوى الضبط" بحيث يكون </w:t>
      </w:r>
      <w:r w:rsidRPr="00892AC0">
        <w:rPr>
          <w:rtl/>
        </w:rPr>
        <w:t>-</w:t>
      </w:r>
      <w:r w:rsidRPr="00892AC0">
        <w:t>18</w:t>
      </w:r>
      <w:r w:rsidRPr="00892AC0">
        <w:rPr>
          <w:rFonts w:hint="cs"/>
          <w:rtl/>
        </w:rPr>
        <w:t> </w:t>
      </w:r>
      <w:r w:rsidRPr="00892AC0">
        <w:t>dBFS</w:t>
      </w:r>
      <w:r w:rsidRPr="00892AC0">
        <w:rPr>
          <w:rtl/>
        </w:rPr>
        <w:t xml:space="preserve"> أو -</w:t>
      </w:r>
      <w:r w:rsidRPr="00892AC0">
        <w:t>20</w:t>
      </w:r>
      <w:r w:rsidRPr="00892AC0">
        <w:rPr>
          <w:rFonts w:hint="cs"/>
          <w:rtl/>
        </w:rPr>
        <w:t> </w:t>
      </w:r>
      <w:r w:rsidRPr="00892AC0">
        <w:t>dBFS</w:t>
      </w:r>
      <w:r w:rsidRPr="00892AC0">
        <w:rPr>
          <w:rtl/>
        </w:rPr>
        <w:t xml:space="preserve"> </w:t>
      </w:r>
      <w:r w:rsidRPr="00892AC0">
        <w:rPr>
          <w:rFonts w:hint="cs"/>
          <w:rtl/>
        </w:rPr>
        <w:t>ولكن هذا المستوى لا</w:t>
      </w:r>
      <w:r w:rsidRPr="00892AC0">
        <w:rPr>
          <w:rFonts w:hint="eastAsia"/>
          <w:rtl/>
        </w:rPr>
        <w:t> </w:t>
      </w:r>
      <w:r w:rsidRPr="00892AC0">
        <w:rPr>
          <w:rFonts w:hint="cs"/>
          <w:rtl/>
        </w:rPr>
        <w:t>يناظر الجهارة السمعية بشكل مباشر</w:t>
      </w:r>
      <w:r w:rsidRPr="00892AC0">
        <w:rPr>
          <w:rtl/>
        </w:rPr>
        <w:t>؛</w:t>
      </w:r>
    </w:p>
    <w:p w:rsidR="00106C07" w:rsidRPr="00892AC0" w:rsidRDefault="00106C07" w:rsidP="00106C07">
      <w:pPr>
        <w:rPr>
          <w:rtl/>
        </w:rPr>
      </w:pPr>
      <w:r w:rsidRPr="00892AC0">
        <w:rPr>
          <w:rFonts w:hint="cs"/>
          <w:i/>
          <w:iCs/>
          <w:rtl/>
        </w:rPr>
        <w:t>ط)</w:t>
      </w:r>
      <w:r w:rsidRPr="00892AC0">
        <w:rPr>
          <w:rFonts w:hint="cs"/>
          <w:rtl/>
        </w:rPr>
        <w:tab/>
      </w:r>
      <w:r w:rsidRPr="00892AC0">
        <w:rPr>
          <w:rtl/>
        </w:rPr>
        <w:t xml:space="preserve">أن التوصية </w:t>
      </w:r>
      <w:r w:rsidRPr="00892AC0">
        <w:t>ITU</w:t>
      </w:r>
      <w:r w:rsidRPr="00892AC0">
        <w:noBreakHyphen/>
        <w:t>R BS.1770</w:t>
      </w:r>
      <w:r w:rsidRPr="00892AC0">
        <w:rPr>
          <w:rtl/>
        </w:rPr>
        <w:t xml:space="preserve"> - خوارزميات لقياس </w:t>
      </w:r>
      <w:r w:rsidRPr="00892AC0">
        <w:rPr>
          <w:rFonts w:hint="cs"/>
          <w:rtl/>
        </w:rPr>
        <w:t>جهارة</w:t>
      </w:r>
      <w:r w:rsidRPr="00892AC0">
        <w:rPr>
          <w:rtl/>
        </w:rPr>
        <w:t xml:space="preserve"> </w:t>
      </w:r>
      <w:r w:rsidRPr="00892AC0">
        <w:rPr>
          <w:rFonts w:hint="cs"/>
          <w:rtl/>
        </w:rPr>
        <w:t>البرامج</w:t>
      </w:r>
      <w:r w:rsidRPr="00892AC0">
        <w:rPr>
          <w:rtl/>
        </w:rPr>
        <w:t xml:space="preserve"> </w:t>
      </w:r>
      <w:r w:rsidRPr="00892AC0">
        <w:rPr>
          <w:rFonts w:hint="cs"/>
          <w:rtl/>
        </w:rPr>
        <w:t>السمعية</w:t>
      </w:r>
      <w:r w:rsidRPr="00892AC0">
        <w:rPr>
          <w:rtl/>
        </w:rPr>
        <w:t xml:space="preserve"> ومستوى الذروة الحقيقية</w:t>
      </w:r>
      <w:r w:rsidRPr="00892AC0">
        <w:rPr>
          <w:rFonts w:hint="cs"/>
          <w:rtl/>
        </w:rPr>
        <w:t xml:space="preserve"> للإشارات السمعية</w:t>
      </w:r>
      <w:r w:rsidRPr="00892AC0">
        <w:rPr>
          <w:rtl/>
          <w:lang w:val="es-ES_tradnl"/>
        </w:rPr>
        <w:t>، تحدد طريقة لقياس جهارة البرامج السمعية</w:t>
      </w:r>
      <w:r w:rsidRPr="00892AC0">
        <w:rPr>
          <w:rtl/>
        </w:rPr>
        <w:t>؛</w:t>
      </w:r>
    </w:p>
    <w:p w:rsidR="00106C07" w:rsidRPr="00892AC0" w:rsidRDefault="00106C07" w:rsidP="00106C07">
      <w:pPr>
        <w:rPr>
          <w:rtl/>
        </w:rPr>
      </w:pPr>
      <w:r w:rsidRPr="00892AC0">
        <w:rPr>
          <w:rFonts w:hint="cs"/>
          <w:i/>
          <w:iCs/>
          <w:rtl/>
        </w:rPr>
        <w:t>ي)</w:t>
      </w:r>
      <w:r w:rsidRPr="00892AC0">
        <w:rPr>
          <w:rFonts w:hint="cs"/>
          <w:rtl/>
        </w:rPr>
        <w:tab/>
      </w:r>
      <w:r w:rsidRPr="00892AC0">
        <w:rPr>
          <w:rtl/>
        </w:rPr>
        <w:t xml:space="preserve">أن التوصية </w:t>
      </w:r>
      <w:r w:rsidRPr="00892AC0">
        <w:t>ITU</w:t>
      </w:r>
      <w:r w:rsidRPr="00892AC0">
        <w:noBreakHyphen/>
        <w:t>R BS.1771</w:t>
      </w:r>
      <w:r w:rsidRPr="00892AC0">
        <w:rPr>
          <w:rtl/>
        </w:rPr>
        <w:t xml:space="preserve"> -</w:t>
      </w:r>
      <w:r w:rsidRPr="00892AC0">
        <w:rPr>
          <w:rtl/>
          <w:lang w:val="es-ES_tradnl"/>
        </w:rPr>
        <w:t xml:space="preserve"> </w:t>
      </w:r>
      <w:r w:rsidRPr="00892AC0">
        <w:rPr>
          <w:b/>
          <w:rtl/>
        </w:rPr>
        <w:t>متطلبات من أجل أجهزة قياس الجهارة والذروة الحقيقية</w:t>
      </w:r>
      <w:r w:rsidRPr="00892AC0">
        <w:rPr>
          <w:rtl/>
          <w:lang w:val="es-ES_tradnl"/>
        </w:rPr>
        <w:t xml:space="preserve">، تحدد متطلبات من أجل أجهزة قياس الجهارة التي تستخدم الخوارزميات المحددة في التوصية </w:t>
      </w:r>
      <w:r w:rsidRPr="00892AC0">
        <w:t>ITU</w:t>
      </w:r>
      <w:r w:rsidRPr="00892AC0">
        <w:noBreakHyphen/>
        <w:t>R BS.1770</w:t>
      </w:r>
      <w:r w:rsidRPr="00892AC0">
        <w:rPr>
          <w:rtl/>
        </w:rPr>
        <w:t>، مما يسمح باستعمال أجهزة قياس الجهارة في</w:t>
      </w:r>
      <w:r w:rsidRPr="00892AC0">
        <w:rPr>
          <w:rFonts w:hint="cs"/>
          <w:rtl/>
        </w:rPr>
        <w:t> </w:t>
      </w:r>
      <w:r w:rsidRPr="00892AC0">
        <w:rPr>
          <w:rtl/>
        </w:rPr>
        <w:t>جميع أرجاء العالم على نحو متسق وتوفير مؤشر متسق لجهارة البرنامج ذاته بغض النظر عن محتوى البرنامج</w:t>
      </w:r>
      <w:r w:rsidRPr="00892AC0">
        <w:rPr>
          <w:rFonts w:hint="cs"/>
          <w:rtl/>
        </w:rPr>
        <w:t>،</w:t>
      </w:r>
    </w:p>
    <w:p w:rsidR="00106C07" w:rsidRPr="00892AC0" w:rsidRDefault="00106C07" w:rsidP="00106C07">
      <w:pPr>
        <w:pStyle w:val="Call"/>
        <w:rPr>
          <w:i w:val="0"/>
          <w:iCs w:val="0"/>
          <w:rtl/>
        </w:rPr>
      </w:pPr>
      <w:r w:rsidRPr="00892AC0">
        <w:rPr>
          <w:rFonts w:hint="cs"/>
          <w:i w:val="0"/>
          <w:rtl/>
        </w:rPr>
        <w:lastRenderedPageBreak/>
        <w:t>و</w:t>
      </w:r>
      <w:r w:rsidRPr="00892AC0">
        <w:rPr>
          <w:i w:val="0"/>
          <w:rtl/>
        </w:rPr>
        <w:t>إذ تضع في اعتبارها</w:t>
      </w:r>
      <w:r w:rsidRPr="00892AC0">
        <w:rPr>
          <w:rFonts w:hint="cs"/>
          <w:i w:val="0"/>
          <w:rtl/>
        </w:rPr>
        <w:t xml:space="preserve"> كذلك</w:t>
      </w:r>
    </w:p>
    <w:p w:rsidR="00106C07" w:rsidRPr="00892AC0" w:rsidRDefault="00106C07" w:rsidP="00106C07">
      <w:pPr>
        <w:rPr>
          <w:rtl/>
        </w:rPr>
      </w:pPr>
      <w:r w:rsidRPr="00892AC0">
        <w:rPr>
          <w:rFonts w:hint="cs"/>
          <w:i/>
          <w:iCs/>
          <w:rtl/>
        </w:rPr>
        <w:t xml:space="preserve"> أ )</w:t>
      </w:r>
      <w:r w:rsidRPr="00892AC0">
        <w:rPr>
          <w:rtl/>
        </w:rPr>
        <w:tab/>
      </w:r>
      <w:r w:rsidRPr="00892AC0">
        <w:rPr>
          <w:rFonts w:hint="cs"/>
          <w:rtl/>
        </w:rPr>
        <w:t>أن توزيع الإشارات الإذاعية الصوتية من خلال الإنترنت قد تطور في السنوات العشر الماضية في اتجاه تحقيق التشغيل البيني</w:t>
      </w:r>
      <w:r w:rsidRPr="00892AC0">
        <w:rPr>
          <w:rFonts w:hint="eastAsia"/>
          <w:rtl/>
        </w:rPr>
        <w:t> </w:t>
      </w:r>
      <w:r w:rsidRPr="00892AC0">
        <w:rPr>
          <w:rFonts w:hint="cs"/>
          <w:rtl/>
        </w:rPr>
        <w:t>والتقييس</w:t>
      </w:r>
      <w:r w:rsidRPr="00892AC0">
        <w:rPr>
          <w:rtl/>
        </w:rPr>
        <w:t>؛</w:t>
      </w:r>
    </w:p>
    <w:p w:rsidR="00106C07" w:rsidRPr="00892AC0" w:rsidRDefault="00106C07" w:rsidP="00106C07">
      <w:pPr>
        <w:rPr>
          <w:rtl/>
        </w:rPr>
      </w:pPr>
      <w:r w:rsidRPr="00892AC0">
        <w:rPr>
          <w:rFonts w:hint="cs"/>
          <w:i/>
          <w:iCs/>
          <w:rtl/>
        </w:rPr>
        <w:t>ب)</w:t>
      </w:r>
      <w:r w:rsidRPr="00892AC0">
        <w:rPr>
          <w:rFonts w:hint="cs"/>
          <w:rtl/>
        </w:rPr>
        <w:tab/>
        <w:t>أن التشغيل البيني قد تحقق فيما يتعلق بعدد من أجهزة الكودك الشائعة التطبيق</w:t>
      </w:r>
      <w:r w:rsidRPr="00892AC0">
        <w:rPr>
          <w:rtl/>
        </w:rPr>
        <w:t>؛</w:t>
      </w:r>
    </w:p>
    <w:p w:rsidR="00106C07" w:rsidRPr="00892AC0" w:rsidRDefault="00106C07" w:rsidP="00106C07">
      <w:pPr>
        <w:rPr>
          <w:rtl/>
        </w:rPr>
      </w:pPr>
      <w:r w:rsidRPr="00892AC0">
        <w:rPr>
          <w:rFonts w:hint="cs"/>
          <w:i/>
          <w:iCs/>
          <w:rtl/>
        </w:rPr>
        <w:t>ج)</w:t>
      </w:r>
      <w:r w:rsidRPr="00892AC0">
        <w:rPr>
          <w:rFonts w:hint="cs"/>
          <w:rtl/>
        </w:rPr>
        <w:tab/>
        <w:t>أن الجهات الإذاعية التي تستخدم البث عن طريق الإنترنت تسعى إلى توفير بث ذي جودة عالية للإشارات السمعية لجمهور الإذاعة السمعية؛</w:t>
      </w:r>
    </w:p>
    <w:p w:rsidR="00106C07" w:rsidRPr="00892AC0" w:rsidRDefault="00106C07" w:rsidP="00106C07">
      <w:pPr>
        <w:rPr>
          <w:rtl/>
        </w:rPr>
      </w:pPr>
      <w:r w:rsidRPr="00892AC0">
        <w:rPr>
          <w:rFonts w:hint="cs"/>
          <w:i/>
          <w:iCs/>
          <w:rtl/>
        </w:rPr>
        <w:t>د )</w:t>
      </w:r>
      <w:r w:rsidRPr="00892AC0">
        <w:rPr>
          <w:rFonts w:hint="cs"/>
          <w:rtl/>
        </w:rPr>
        <w:tab/>
        <w:t>أن الاتساق في جودة الصوت، بما فيها خصائص الجهارة، ينبغي تحقيقه على أساس تنسيق عام على الصعيد العالمي باستعمال منصات البث على الإنترنت،</w:t>
      </w:r>
    </w:p>
    <w:p w:rsidR="00106C07" w:rsidRPr="00892AC0" w:rsidRDefault="00106C07" w:rsidP="00106C07">
      <w:pPr>
        <w:pStyle w:val="Call"/>
        <w:rPr>
          <w:rtl/>
        </w:rPr>
      </w:pPr>
      <w:r w:rsidRPr="00892AC0">
        <w:rPr>
          <w:i w:val="0"/>
          <w:rtl/>
        </w:rPr>
        <w:t>تقرر</w:t>
      </w:r>
      <w:r w:rsidRPr="00892AC0">
        <w:rPr>
          <w:rtl/>
        </w:rPr>
        <w:t xml:space="preserve"> </w:t>
      </w:r>
      <w:r w:rsidRPr="00892AC0">
        <w:rPr>
          <w:rFonts w:hint="cs"/>
          <w:i w:val="0"/>
          <w:iCs w:val="0"/>
          <w:rtl/>
        </w:rPr>
        <w:t>أن تخضع</w:t>
      </w:r>
      <w:r w:rsidRPr="00892AC0">
        <w:rPr>
          <w:i w:val="0"/>
          <w:iCs w:val="0"/>
          <w:rtl/>
        </w:rPr>
        <w:t xml:space="preserve"> </w:t>
      </w:r>
      <w:r w:rsidRPr="00892AC0">
        <w:rPr>
          <w:rFonts w:hint="cs"/>
          <w:i w:val="0"/>
          <w:iCs w:val="0"/>
          <w:rtl/>
        </w:rPr>
        <w:t>المسائل</w:t>
      </w:r>
      <w:r w:rsidRPr="00892AC0">
        <w:rPr>
          <w:i w:val="0"/>
          <w:iCs w:val="0"/>
          <w:rtl/>
        </w:rPr>
        <w:t xml:space="preserve"> التالية</w:t>
      </w:r>
      <w:r w:rsidRPr="00892AC0">
        <w:rPr>
          <w:rFonts w:hint="cs"/>
          <w:i w:val="0"/>
          <w:iCs w:val="0"/>
          <w:rtl/>
        </w:rPr>
        <w:t xml:space="preserve"> للدراسة</w:t>
      </w:r>
    </w:p>
    <w:p w:rsidR="00106C07" w:rsidRPr="00892AC0" w:rsidRDefault="00106C07" w:rsidP="00106C07">
      <w:pPr>
        <w:rPr>
          <w:rtl/>
        </w:rPr>
      </w:pPr>
      <w:r w:rsidRPr="00892AC0">
        <w:t>1</w:t>
      </w:r>
      <w:r w:rsidRPr="00892AC0">
        <w:rPr>
          <w:rtl/>
        </w:rPr>
        <w:tab/>
      </w:r>
      <w:r w:rsidRPr="00892AC0">
        <w:rPr>
          <w:rFonts w:hint="cs"/>
          <w:rtl/>
        </w:rPr>
        <w:t>ما هي الممارسات التشغيلية التي يمكن إرساؤها على أساس التنسيق على الصعيد العالمي من أجل الاتساق في</w:t>
      </w:r>
      <w:r w:rsidRPr="00892AC0">
        <w:rPr>
          <w:rFonts w:hint="eastAsia"/>
          <w:rtl/>
        </w:rPr>
        <w:t> </w:t>
      </w:r>
      <w:r w:rsidRPr="00892AC0">
        <w:rPr>
          <w:rFonts w:hint="cs"/>
          <w:rtl/>
        </w:rPr>
        <w:t>جودة الصوت، بما فيها خصائص الجهارة، على منصات البث على الإنترنت على الصعيد الدولي</w:t>
      </w:r>
      <w:r w:rsidRPr="00892AC0">
        <w:rPr>
          <w:rtl/>
        </w:rPr>
        <w:t>؟</w:t>
      </w:r>
    </w:p>
    <w:p w:rsidR="00106C07" w:rsidRPr="00892AC0" w:rsidRDefault="00106C07" w:rsidP="00106C07">
      <w:pPr>
        <w:rPr>
          <w:rtl/>
        </w:rPr>
      </w:pPr>
      <w:r w:rsidRPr="00892AC0">
        <w:t>2</w:t>
      </w:r>
      <w:r w:rsidRPr="00892AC0">
        <w:rPr>
          <w:rtl/>
        </w:rPr>
        <w:tab/>
      </w:r>
      <w:r w:rsidRPr="00892AC0">
        <w:rPr>
          <w:rFonts w:hint="cs"/>
          <w:rtl/>
        </w:rPr>
        <w:t>ما هي المعلمات الصوتية، بما فيها خصائص الجهارة، التي ينبغي استعمالها لضمان أن تكون جودة الصوت، بما</w:t>
      </w:r>
      <w:r w:rsidRPr="00892AC0">
        <w:rPr>
          <w:rFonts w:hint="eastAsia"/>
          <w:rtl/>
        </w:rPr>
        <w:t> </w:t>
      </w:r>
      <w:r w:rsidRPr="00892AC0">
        <w:rPr>
          <w:rFonts w:hint="cs"/>
          <w:rtl/>
        </w:rPr>
        <w:t>فيها خصائص الجهارة، دقيقة ومتسقة فيما بين أجهزة المستعملين النهائيين</w:t>
      </w:r>
      <w:r w:rsidRPr="00892AC0">
        <w:rPr>
          <w:rtl/>
        </w:rPr>
        <w:t>؟</w:t>
      </w:r>
    </w:p>
    <w:p w:rsidR="00106C07" w:rsidRPr="00892AC0" w:rsidRDefault="00106C07" w:rsidP="00106C07">
      <w:pPr>
        <w:rPr>
          <w:rtl/>
        </w:rPr>
      </w:pPr>
      <w:r w:rsidRPr="00892AC0">
        <w:t>3</w:t>
      </w:r>
      <w:r w:rsidRPr="00892AC0">
        <w:rPr>
          <w:rtl/>
        </w:rPr>
        <w:tab/>
      </w:r>
      <w:r w:rsidRPr="00892AC0">
        <w:rPr>
          <w:rFonts w:hint="cs"/>
          <w:rtl/>
        </w:rPr>
        <w:t>ما هي الاعتبارات التي ينبغي للجهات الإذاعية أن تراعيها فيما يتعلق بظروف الاستماع التي يمر بها المستعمل النهائي في</w:t>
      </w:r>
      <w:r w:rsidRPr="00892AC0">
        <w:rPr>
          <w:rFonts w:hint="eastAsia"/>
          <w:rtl/>
        </w:rPr>
        <w:t> </w:t>
      </w:r>
      <w:r w:rsidRPr="00892AC0">
        <w:rPr>
          <w:rFonts w:hint="cs"/>
          <w:rtl/>
        </w:rPr>
        <w:t>عدة بيئات</w:t>
      </w:r>
      <w:r w:rsidRPr="00892AC0">
        <w:rPr>
          <w:rtl/>
        </w:rPr>
        <w:t>؟</w:t>
      </w:r>
    </w:p>
    <w:p w:rsidR="00106C07" w:rsidRPr="00892AC0" w:rsidRDefault="00106C07" w:rsidP="00106C07">
      <w:pPr>
        <w:pStyle w:val="Call"/>
        <w:rPr>
          <w:i w:val="0"/>
          <w:iCs w:val="0"/>
          <w:rtl/>
        </w:rPr>
      </w:pPr>
      <w:r w:rsidRPr="00892AC0">
        <w:rPr>
          <w:i w:val="0"/>
          <w:rtl/>
        </w:rPr>
        <w:t>تقرر كذلك</w:t>
      </w:r>
    </w:p>
    <w:p w:rsidR="00106C07" w:rsidRPr="00892AC0" w:rsidRDefault="00106C07" w:rsidP="00106C07">
      <w:pPr>
        <w:rPr>
          <w:rtl/>
        </w:rPr>
      </w:pPr>
      <w:r w:rsidRPr="00892AC0">
        <w:t>1</w:t>
      </w:r>
      <w:r w:rsidRPr="00892AC0">
        <w:rPr>
          <w:rFonts w:hint="cs"/>
          <w:b/>
          <w:bCs/>
          <w:rtl/>
        </w:rPr>
        <w:tab/>
      </w:r>
      <w:r w:rsidRPr="00892AC0">
        <w:rPr>
          <w:rFonts w:hint="cs"/>
          <w:rtl/>
        </w:rPr>
        <w:t>إدراج نتائج الدراسات المذكورة أعلاه في توصية أو أكثر؛</w:t>
      </w:r>
    </w:p>
    <w:p w:rsidR="00106C07" w:rsidRPr="00892AC0" w:rsidRDefault="00106C07" w:rsidP="00106C07">
      <w:pPr>
        <w:rPr>
          <w:rtl/>
        </w:rPr>
      </w:pPr>
      <w:r w:rsidRPr="00892AC0">
        <w:t>2</w:t>
      </w:r>
      <w:r w:rsidRPr="00892AC0">
        <w:rPr>
          <w:rFonts w:hint="cs"/>
          <w:b/>
          <w:bCs/>
          <w:rtl/>
        </w:rPr>
        <w:tab/>
      </w:r>
      <w:r w:rsidRPr="00892AC0">
        <w:rPr>
          <w:rFonts w:hint="cs"/>
          <w:rtl/>
        </w:rPr>
        <w:t>إنجاز الدراسات المذكورة أعلاه ب‍حلول عام</w:t>
      </w:r>
      <w:r w:rsidRPr="00892AC0">
        <w:rPr>
          <w:rFonts w:hint="eastAsia"/>
          <w:rtl/>
        </w:rPr>
        <w:t> </w:t>
      </w:r>
      <w:r w:rsidRPr="00892AC0">
        <w:t>2019</w:t>
      </w:r>
      <w:r w:rsidRPr="00892AC0">
        <w:rPr>
          <w:rFonts w:hint="cs"/>
          <w:rtl/>
        </w:rPr>
        <w:t>.</w:t>
      </w:r>
    </w:p>
    <w:p w:rsidR="00106C07" w:rsidRPr="00892AC0" w:rsidRDefault="00106C07" w:rsidP="00106C07">
      <w:pPr>
        <w:spacing w:before="360"/>
        <w:rPr>
          <w:rtl/>
        </w:rPr>
      </w:pPr>
      <w:r w:rsidRPr="00892AC0">
        <w:rPr>
          <w:rFonts w:hint="cs"/>
          <w:rtl/>
        </w:rPr>
        <w:t xml:space="preserve">الفئة: </w:t>
      </w:r>
      <w:r w:rsidRPr="00892AC0">
        <w:t>S2</w:t>
      </w:r>
    </w:p>
    <w:p w:rsidR="00106C07" w:rsidRPr="00FE0787" w:rsidRDefault="00106C07" w:rsidP="00106C07">
      <w:pPr>
        <w:tabs>
          <w:tab w:val="left" w:pos="531"/>
          <w:tab w:val="center" w:pos="4819"/>
        </w:tabs>
        <w:spacing w:before="600"/>
        <w:jc w:val="left"/>
        <w:rPr>
          <w:rtl/>
        </w:rPr>
      </w:pPr>
    </w:p>
    <w:p w:rsidR="00CC001C" w:rsidRDefault="00CC001C"/>
    <w:sectPr w:rsidR="00CC001C" w:rsidSect="00106C0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07" w:rsidRDefault="00106C07" w:rsidP="00106C07">
      <w:pPr>
        <w:spacing w:before="0" w:line="240" w:lineRule="auto"/>
      </w:pPr>
      <w:r>
        <w:separator/>
      </w:r>
    </w:p>
  </w:endnote>
  <w:endnote w:type="continuationSeparator" w:id="0">
    <w:p w:rsidR="00106C07" w:rsidRDefault="00106C07" w:rsidP="00106C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Default="00106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Default="00106C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Default="00106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07" w:rsidRDefault="00106C07" w:rsidP="00106C07">
      <w:pPr>
        <w:spacing w:before="0" w:line="240" w:lineRule="auto"/>
      </w:pPr>
      <w:r>
        <w:separator/>
      </w:r>
    </w:p>
  </w:footnote>
  <w:footnote w:type="continuationSeparator" w:id="0">
    <w:p w:rsidR="00106C07" w:rsidRDefault="00106C07" w:rsidP="00106C07">
      <w:pPr>
        <w:spacing w:before="0" w:line="240" w:lineRule="auto"/>
      </w:pPr>
      <w:r>
        <w:continuationSeparator/>
      </w:r>
    </w:p>
  </w:footnote>
  <w:footnote w:id="1">
    <w:p w:rsidR="00106C07" w:rsidRDefault="00106C07" w:rsidP="00106C07">
      <w:pPr>
        <w:pStyle w:val="FootnoteText"/>
        <w:rPr>
          <w:rtl/>
        </w:rPr>
      </w:pPr>
      <w:r w:rsidRPr="00D87D09">
        <w:rPr>
          <w:rStyle w:val="FootnoteReference"/>
        </w:rPr>
        <w:footnoteRef/>
      </w:r>
      <w:r>
        <w:rPr>
          <w:rtl/>
        </w:rPr>
        <w:t xml:space="preserve"> </w:t>
      </w:r>
      <w:r>
        <w:rPr>
          <w:rtl/>
        </w:rPr>
        <w:tab/>
      </w:r>
      <w:r w:rsidRPr="00392AA6">
        <w:rPr>
          <w:rtl/>
        </w:rPr>
        <w:t xml:space="preserve">ينبغي إحاطة لجنتي الدراسات </w:t>
      </w:r>
      <w:r>
        <w:t>9</w:t>
      </w:r>
      <w:r w:rsidRPr="00392AA6">
        <w:rPr>
          <w:rtl/>
        </w:rPr>
        <w:t xml:space="preserve"> و</w:t>
      </w:r>
      <w:r>
        <w:t>16</w:t>
      </w:r>
      <w:r w:rsidRPr="00392AA6">
        <w:rPr>
          <w:rtl/>
        </w:rPr>
        <w:t xml:space="preserve"> لقطاع</w:t>
      </w:r>
      <w:r>
        <w:rPr>
          <w:rFonts w:hint="cs"/>
          <w:rtl/>
        </w:rPr>
        <w:t xml:space="preserve"> تقييس</w:t>
      </w:r>
      <w:r w:rsidRPr="00392AA6">
        <w:rPr>
          <w:rtl/>
        </w:rPr>
        <w:t xml:space="preserve"> الاتصالات علماً بهذه المسألة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Default="00106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Pr="00106C07" w:rsidRDefault="00106C07" w:rsidP="00106C07">
    <w:pPr>
      <w:pStyle w:val="Header"/>
      <w:jc w:val="center"/>
      <w:rPr>
        <w:sz w:val="18"/>
        <w:szCs w:val="18"/>
      </w:rPr>
    </w:pPr>
    <w:r>
      <w:t>-</w:t>
    </w:r>
    <w:sdt>
      <w:sdtPr>
        <w:rPr>
          <w:rtl/>
        </w:rPr>
        <w:id w:val="-1806687943"/>
        <w:docPartObj>
          <w:docPartGallery w:val="Page Numbers (Top of Page)"/>
          <w:docPartUnique/>
        </w:docPartObj>
      </w:sdtPr>
      <w:sdtEndPr>
        <w:rPr>
          <w:noProof/>
          <w:sz w:val="18"/>
          <w:szCs w:val="18"/>
        </w:rPr>
      </w:sdtEndPr>
      <w:sdtContent>
        <w:r>
          <w:t xml:space="preserve"> 2 -</w:t>
        </w:r>
        <w:bookmarkStart w:id="0" w:name="_GoBack"/>
        <w:bookmarkEnd w:id="0"/>
      </w:sdtContent>
    </w:sdt>
  </w:p>
  <w:p w:rsidR="00106C07" w:rsidRDefault="00106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07" w:rsidRDefault="00106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07"/>
    <w:rsid w:val="00106C0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544DD3-3107-4FF5-88E3-4F151A81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C0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link w:val="CallChar"/>
    <w:qFormat/>
    <w:rsid w:val="00106C07"/>
    <w:pPr>
      <w:keepNext/>
      <w:spacing w:before="160"/>
      <w:ind w:left="1588" w:hanging="794"/>
    </w:pPr>
    <w:rPr>
      <w:i/>
      <w:iC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106C07"/>
    <w:pPr>
      <w:spacing w:before="60" w:line="168" w:lineRule="auto"/>
    </w:pPr>
    <w:rPr>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06C07"/>
    <w:rPr>
      <w:rFonts w:ascii="Calibri" w:hAnsi="Calibri" w:cs="Traditional Arabic"/>
      <w:sz w:val="20"/>
      <w:szCs w:val="26"/>
      <w:lang w:val="en-U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106C0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_after_title"/>
    <w:basedOn w:val="Normal"/>
    <w:next w:val="Normal"/>
    <w:rsid w:val="00106C0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title">
    <w:name w:val="Question_title"/>
    <w:basedOn w:val="Normal"/>
    <w:next w:val="Normal"/>
    <w:link w:val="QuestiontitleChar"/>
    <w:rsid w:val="00106C0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Bold" w:eastAsia="Times New Roman" w:hAnsi="Times New Roman Bold"/>
      <w:b/>
      <w:bCs/>
      <w:sz w:val="26"/>
      <w:szCs w:val="36"/>
      <w:lang w:eastAsia="en-US"/>
    </w:rPr>
  </w:style>
  <w:style w:type="paragraph" w:customStyle="1" w:styleId="Annextitle">
    <w:name w:val="Annex_title"/>
    <w:basedOn w:val="Normal"/>
    <w:link w:val="AnnextitleChar"/>
    <w:rsid w:val="00106C0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ascii="Times New Roman Bold" w:eastAsia="Times New Roman" w:hAnsi="Times New Roman Bold"/>
      <w:bCs/>
      <w:sz w:val="26"/>
      <w:szCs w:val="40"/>
      <w:lang w:eastAsia="en-US" w:bidi="ar-EG"/>
    </w:rPr>
  </w:style>
  <w:style w:type="character" w:customStyle="1" w:styleId="CallChar">
    <w:name w:val="Call Char"/>
    <w:basedOn w:val="DefaultParagraphFont"/>
    <w:link w:val="Call"/>
    <w:rsid w:val="00106C07"/>
    <w:rPr>
      <w:rFonts w:ascii="Calibri" w:hAnsi="Calibri" w:cs="Traditional Arabic"/>
      <w:i/>
      <w:iCs/>
      <w:szCs w:val="30"/>
      <w:lang w:val="en-US"/>
    </w:rPr>
  </w:style>
  <w:style w:type="character" w:customStyle="1" w:styleId="QuestiontitleChar">
    <w:name w:val="Question_title Char"/>
    <w:basedOn w:val="DefaultParagraphFont"/>
    <w:link w:val="Questiontitle"/>
    <w:rsid w:val="00106C07"/>
    <w:rPr>
      <w:rFonts w:ascii="Times New Roman Bold" w:eastAsia="Times New Roman" w:hAnsi="Times New Roman Bold" w:cs="Traditional Arabic"/>
      <w:b/>
      <w:bCs/>
      <w:sz w:val="26"/>
      <w:szCs w:val="36"/>
      <w:lang w:val="en-US" w:eastAsia="en-US"/>
    </w:rPr>
  </w:style>
  <w:style w:type="character" w:customStyle="1" w:styleId="AnnextitleChar">
    <w:name w:val="Annex_title Char"/>
    <w:link w:val="Annextitle"/>
    <w:locked/>
    <w:rsid w:val="00106C07"/>
    <w:rPr>
      <w:rFonts w:ascii="Times New Roman Bold" w:eastAsia="Times New Roman" w:hAnsi="Times New Roman Bold" w:cs="Traditional Arabic"/>
      <w:bCs/>
      <w:sz w:val="26"/>
      <w:szCs w:val="40"/>
      <w:lang w:val="en-US" w:eastAsia="en-US" w:bidi="ar-EG"/>
    </w:rPr>
  </w:style>
  <w:style w:type="paragraph" w:styleId="Header">
    <w:name w:val="header"/>
    <w:basedOn w:val="Normal"/>
    <w:link w:val="HeaderChar"/>
    <w:uiPriority w:val="99"/>
    <w:unhideWhenUsed/>
    <w:rsid w:val="00106C0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106C07"/>
    <w:rPr>
      <w:rFonts w:ascii="Calibri" w:hAnsi="Calibri" w:cs="Traditional Arabic"/>
      <w:szCs w:val="30"/>
      <w:lang w:val="en-US"/>
    </w:rPr>
  </w:style>
  <w:style w:type="paragraph" w:styleId="Footer">
    <w:name w:val="footer"/>
    <w:basedOn w:val="Normal"/>
    <w:link w:val="FooterChar"/>
    <w:uiPriority w:val="99"/>
    <w:unhideWhenUsed/>
    <w:rsid w:val="00106C0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106C07"/>
    <w:rPr>
      <w:rFonts w:ascii="Calibri" w:hAnsi="Calibr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2605</Characters>
  <Application>Microsoft Office Word</Application>
  <DocSecurity>0</DocSecurity>
  <Lines>21</Lines>
  <Paragraphs>6</Paragraphs>
  <ScaleCrop>false</ScaleCrop>
  <Company>ITU</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2015-10-21T15:29:00Z</dcterms:created>
  <dcterms:modified xsi:type="dcterms:W3CDTF">2015-10-21T15:32:00Z</dcterms:modified>
</cp:coreProperties>
</file>