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857" w:rsidRDefault="001C6857" w:rsidP="001C6857">
      <w:pPr>
        <w:pStyle w:val="AnnexNo"/>
      </w:pPr>
      <w:r>
        <w:rPr>
          <w:rtl/>
        </w:rPr>
        <w:t xml:space="preserve">المسألة </w:t>
      </w:r>
      <w:r>
        <w:rPr>
          <w:sz w:val="28"/>
          <w:lang w:bidi="ar-SA"/>
        </w:rPr>
        <w:t>ITU</w:t>
      </w:r>
      <w:r>
        <w:rPr>
          <w:sz w:val="28"/>
          <w:lang w:bidi="ar-SA"/>
        </w:rPr>
        <w:noBreakHyphen/>
        <w:t>R 139/6</w:t>
      </w:r>
    </w:p>
    <w:p w:rsidR="001C6857" w:rsidRDefault="001C6857" w:rsidP="001C6857">
      <w:pPr>
        <w:pStyle w:val="Annextitle"/>
        <w:rPr>
          <w:rtl/>
        </w:rPr>
      </w:pPr>
      <w:r>
        <w:rPr>
          <w:rtl/>
        </w:rPr>
        <w:t>طرائق عرض الأنساق السمعية المتقدّمة</w:t>
      </w:r>
    </w:p>
    <w:p w:rsidR="001C6857" w:rsidRDefault="001C6857" w:rsidP="001C6857">
      <w:pPr>
        <w:pStyle w:val="Normalaftertitle"/>
        <w:jc w:val="right"/>
        <w:rPr>
          <w:rtl/>
        </w:rPr>
      </w:pPr>
      <w:r>
        <w:t>(2015)</w:t>
      </w:r>
    </w:p>
    <w:p w:rsidR="001C6857" w:rsidRDefault="001C6857" w:rsidP="001C6857">
      <w:pPr>
        <w:pStyle w:val="Normalaftertitle"/>
      </w:pPr>
      <w:r>
        <w:rPr>
          <w:rtl/>
        </w:rPr>
        <w:t>إن جمعية الاتصالات الراديوية للاتحاد الدولي للاتصالات،</w:t>
      </w:r>
    </w:p>
    <w:p w:rsidR="001C6857" w:rsidRDefault="001C6857" w:rsidP="001C6857">
      <w:pPr>
        <w:pStyle w:val="Call"/>
        <w:rPr>
          <w:rtl/>
        </w:rPr>
      </w:pPr>
      <w:r>
        <w:rPr>
          <w:rtl/>
        </w:rPr>
        <w:t>إذ تضع في اعتبارها</w:t>
      </w:r>
    </w:p>
    <w:p w:rsidR="001C6857" w:rsidRDefault="001C6857" w:rsidP="001C6857">
      <w:pPr>
        <w:rPr>
          <w:rtl/>
        </w:rPr>
      </w:pPr>
      <w:r>
        <w:rPr>
          <w:i/>
          <w:iCs/>
          <w:rtl/>
        </w:rPr>
        <w:t xml:space="preserve"> أ )</w:t>
      </w:r>
      <w:r>
        <w:rPr>
          <w:rtl/>
        </w:rPr>
        <w:tab/>
        <w:t xml:space="preserve">أن هناك اهتماماً متزايداً بإنتاج البرامج السمعية والتلفزيونية في الأنظمة الصوتية المتقدّمة لتوفير تجربة سمعية تضاهي تجربة المشاهدة المحسَّنة التي يتيحها إنتاج الصورة في التلفزيون العالي الوضوح </w:t>
      </w:r>
      <w:r>
        <w:rPr>
          <w:lang w:val="en-GB"/>
        </w:rPr>
        <w:t>(HDTV)</w:t>
      </w:r>
      <w:r>
        <w:rPr>
          <w:rtl/>
        </w:rPr>
        <w:t xml:space="preserve"> (انظر التوصية </w:t>
      </w:r>
      <w:r>
        <w:rPr>
          <w:lang w:val="en-GB"/>
        </w:rPr>
        <w:t>ITU</w:t>
      </w:r>
      <w:r>
        <w:rPr>
          <w:lang w:val="en-GB"/>
        </w:rPr>
        <w:noBreakHyphen/>
        <w:t>R BT.709</w:t>
      </w:r>
      <w:r>
        <w:rPr>
          <w:rtl/>
        </w:rPr>
        <w:t>) وفي التلفزيون الفائق الوضوح </w:t>
      </w:r>
      <w:r>
        <w:rPr>
          <w:lang w:val="en-GB"/>
        </w:rPr>
        <w:t>(UHDTV)</w:t>
      </w:r>
      <w:r>
        <w:rPr>
          <w:rtl/>
        </w:rPr>
        <w:t xml:space="preserve"> (انظر التوصية </w:t>
      </w:r>
      <w:r>
        <w:rPr>
          <w:lang w:val="en-GB"/>
        </w:rPr>
        <w:t>ITU</w:t>
      </w:r>
      <w:r>
        <w:rPr>
          <w:lang w:val="en-GB"/>
        </w:rPr>
        <w:noBreakHyphen/>
        <w:t>R BT.2020</w:t>
      </w:r>
      <w:r>
        <w:rPr>
          <w:rtl/>
        </w:rPr>
        <w:t>)؛</w:t>
      </w:r>
    </w:p>
    <w:p w:rsidR="001C6857" w:rsidRDefault="001C6857" w:rsidP="001C6857">
      <w:pPr>
        <w:rPr>
          <w:rtl/>
        </w:rPr>
      </w:pPr>
      <w:r>
        <w:rPr>
          <w:i/>
          <w:iCs/>
          <w:rtl/>
        </w:rPr>
        <w:t>ب)</w:t>
      </w:r>
      <w:r>
        <w:rPr>
          <w:rtl/>
        </w:rPr>
        <w:tab/>
        <w:t xml:space="preserve">أن التوصية </w:t>
      </w:r>
      <w:r>
        <w:rPr>
          <w:lang w:val="en-GB"/>
        </w:rPr>
        <w:t>ITU-R BS.2051</w:t>
      </w:r>
      <w:r>
        <w:rPr>
          <w:rtl/>
        </w:rPr>
        <w:t xml:space="preserve"> </w:t>
      </w:r>
      <w:r>
        <w:rPr>
          <w:rFonts w:hint="cs"/>
          <w:rtl/>
        </w:rPr>
        <w:t>تحدّد الأنظمة الصوتية المتقدّمة التي يمكن أن توفّر تجربة سمعية محسَّنة للجمهور الذي يستمع إلى المذياع أو يشاهد التلفزيون إذا كان مجهزاً تجهيزاً مناسباً؛</w:t>
      </w:r>
    </w:p>
    <w:p w:rsidR="001C6857" w:rsidRDefault="001C6857" w:rsidP="001C6857">
      <w:pPr>
        <w:rPr>
          <w:rFonts w:hint="cs"/>
          <w:rtl/>
        </w:rPr>
      </w:pPr>
      <w:r>
        <w:rPr>
          <w:i/>
          <w:iCs/>
          <w:rtl/>
        </w:rPr>
        <w:t>ج)</w:t>
      </w:r>
      <w:r>
        <w:rPr>
          <w:rtl/>
        </w:rPr>
        <w:tab/>
        <w:t xml:space="preserve">أن التوصية </w:t>
      </w:r>
      <w:r>
        <w:rPr>
          <w:lang w:val="en-GB"/>
        </w:rPr>
        <w:t>ITU</w:t>
      </w:r>
      <w:r>
        <w:rPr>
          <w:lang w:val="en-GB"/>
        </w:rPr>
        <w:noBreakHyphen/>
        <w:t>R BS.1909</w:t>
      </w:r>
      <w:r>
        <w:rPr>
          <w:rtl/>
        </w:rPr>
        <w:t xml:space="preserve"> </w:t>
      </w:r>
      <w:r>
        <w:rPr>
          <w:rFonts w:hint="cs"/>
          <w:rtl/>
        </w:rPr>
        <w:t>تُدرِج في البيئات المعهودة للمشاهدة بيئات المسارح والمسارح الواسعة فضلاً عن بيئات الغرف الكبيرة إلى المتوسطة والبيئات المتنقلة مثل السيارات أو البيئات الشخصية؛</w:t>
      </w:r>
    </w:p>
    <w:p w:rsidR="001C6857" w:rsidRDefault="001C6857" w:rsidP="001C6857">
      <w:pPr>
        <w:rPr>
          <w:rFonts w:hint="cs"/>
          <w:rtl/>
        </w:rPr>
      </w:pPr>
      <w:r>
        <w:rPr>
          <w:i/>
          <w:iCs/>
          <w:rtl/>
        </w:rPr>
        <w:t>د )</w:t>
      </w:r>
      <w:r>
        <w:rPr>
          <w:rtl/>
        </w:rPr>
        <w:tab/>
        <w:t>أن اتساق نظام إعادة إنتاج الصوت المستعمل في بيئة الإنتاج ضروري لاتساق إنتاج الصوت، وأن هذا ينطوي على الحاجة إلى اتساق إعادة إنتاج النظام الصوتي المتقدم ضمن سلسلة الإنتاج؛</w:t>
      </w:r>
    </w:p>
    <w:p w:rsidR="001C6857" w:rsidRDefault="001C6857" w:rsidP="001C6857">
      <w:pPr>
        <w:rPr>
          <w:rtl/>
        </w:rPr>
      </w:pPr>
      <w:r>
        <w:rPr>
          <w:i/>
          <w:iCs/>
          <w:rtl/>
        </w:rPr>
        <w:t>ﻫ )</w:t>
      </w:r>
      <w:r>
        <w:rPr>
          <w:rtl/>
        </w:rPr>
        <w:tab/>
        <w:t>أن نظام العرض الذي يُحدث إشارات المجاهير من إشارات النظام الصوتي المتقدم هو عنصر حاسم لتوفير الاتساق الضروري في عملية إعادة الإنتاج،</w:t>
      </w:r>
    </w:p>
    <w:p w:rsidR="001C6857" w:rsidRDefault="001C6857" w:rsidP="001C6857">
      <w:pPr>
        <w:pStyle w:val="Call"/>
        <w:rPr>
          <w:rtl/>
        </w:rPr>
      </w:pPr>
      <w:r>
        <w:rPr>
          <w:rtl/>
        </w:rPr>
        <w:t>وإذ تضع في اعتبارها كذلك</w:t>
      </w:r>
    </w:p>
    <w:p w:rsidR="001C6857" w:rsidRDefault="001C6857" w:rsidP="001C6857">
      <w:pPr>
        <w:rPr>
          <w:rtl/>
        </w:rPr>
      </w:pPr>
      <w:r>
        <w:rPr>
          <w:i/>
          <w:iCs/>
          <w:rtl/>
        </w:rPr>
        <w:t xml:space="preserve"> أ )</w:t>
      </w:r>
      <w:r>
        <w:rPr>
          <w:rtl/>
        </w:rPr>
        <w:tab/>
        <w:t>أنّ وصف العارض الأساسي</w:t>
      </w:r>
      <w:r>
        <w:rPr>
          <w:rFonts w:cs="Calibri"/>
          <w:position w:val="6"/>
          <w:sz w:val="20"/>
          <w:szCs w:val="20"/>
          <w:rtl/>
        </w:rPr>
        <w:footnoteReference w:id="1"/>
      </w:r>
      <w:r>
        <w:rPr>
          <w:rtl/>
        </w:rPr>
        <w:t xml:space="preserve"> ينبغي أن يكون كاملاً وقائماً بذاته. والأفضل أن يختصر تفاصيل التنفيذ وأن يقدّم هذه التفاصيل باستخدام تنفيذ مرجعي؛</w:t>
      </w:r>
    </w:p>
    <w:p w:rsidR="001C6857" w:rsidRDefault="001C6857" w:rsidP="001C6857">
      <w:pPr>
        <w:rPr>
          <w:rtl/>
          <w:lang w:bidi="ar-EG"/>
        </w:rPr>
      </w:pPr>
      <w:r>
        <w:rPr>
          <w:i/>
          <w:iCs/>
          <w:rtl/>
        </w:rPr>
        <w:t>ب )</w:t>
      </w:r>
      <w:r>
        <w:rPr>
          <w:rtl/>
        </w:rPr>
        <w:tab/>
        <w:t>أنّ الوصف ينبغي أن يكون وصفاً واضحاً لكل من العمليات وطريقة معالجة الإشارات الواجب اتّباعها، استناداً إلى البيانات الواردة التي تجبل عملية العرض سواء كانت بيانات سمعية أو بيانات شرحية أو بيانات شرحية محلية، وينبغي ألا يتضمن مظاهر يعتريها الغموض. وقد سمح صقل المواصفات بتحقيق بعض مظاهر التحسّن إلا أن هذا لا يشكل جزءاً من مواصفة العارض</w:t>
      </w:r>
      <w:r>
        <w:rPr>
          <w:rtl/>
          <w:lang w:val="en-GB"/>
        </w:rPr>
        <w:t> </w:t>
      </w:r>
      <w:r>
        <w:rPr>
          <w:rtl/>
        </w:rPr>
        <w:t>الأساسي؛</w:t>
      </w:r>
    </w:p>
    <w:p w:rsidR="001C6857" w:rsidRDefault="001C6857" w:rsidP="001C6857">
      <w:pPr>
        <w:rPr>
          <w:rtl/>
        </w:rPr>
      </w:pPr>
      <w:r>
        <w:rPr>
          <w:i/>
          <w:iCs/>
          <w:rtl/>
        </w:rPr>
        <w:t>ج )</w:t>
      </w:r>
      <w:r>
        <w:rPr>
          <w:rtl/>
        </w:rPr>
        <w:tab/>
        <w:t>أنّه في حال وجود نسق للملف، يمكن الإشارة إليه باستخدام معلمات والقدرة على التخزين، ولكن ينبغي عادةً ألا تُربط المواصفة بحالات محددة من تنفيذ هذه المعلمات في نسق الملف المذكور آنفاً؛</w:t>
      </w:r>
    </w:p>
    <w:p w:rsidR="001C6857" w:rsidRDefault="001C6857" w:rsidP="001C6857">
      <w:pPr>
        <w:rPr>
          <w:rtl/>
        </w:rPr>
      </w:pPr>
      <w:r>
        <w:rPr>
          <w:i/>
          <w:iCs/>
          <w:rtl/>
        </w:rPr>
        <w:lastRenderedPageBreak/>
        <w:t>د )</w:t>
      </w:r>
      <w:r>
        <w:rPr>
          <w:rtl/>
        </w:rPr>
        <w:tab/>
        <w:t>أنّ عملية العرض الأساسية ينبغي أن تكون قادرة على دعم جميع مكبرات الصوت على النحو المقترح في التوصية </w:t>
      </w:r>
      <w:r>
        <w:rPr>
          <w:lang w:val="en-GB"/>
        </w:rPr>
        <w:t>ITU</w:t>
      </w:r>
      <w:r>
        <w:rPr>
          <w:lang w:val="en-GB"/>
        </w:rPr>
        <w:noBreakHyphen/>
        <w:t>R BS.2051</w:t>
      </w:r>
      <w:r>
        <w:rPr>
          <w:rtl/>
        </w:rPr>
        <w:t>،</w:t>
      </w:r>
    </w:p>
    <w:p w:rsidR="001C6857" w:rsidRDefault="001C6857" w:rsidP="001C6857">
      <w:pPr>
        <w:pStyle w:val="Call"/>
        <w:rPr>
          <w:rtl/>
        </w:rPr>
      </w:pPr>
      <w:r>
        <w:rPr>
          <w:rtl/>
        </w:rPr>
        <w:t xml:space="preserve">تقرّر </w:t>
      </w:r>
      <w:r>
        <w:rPr>
          <w:i w:val="0"/>
          <w:iCs w:val="0"/>
          <w:rtl/>
        </w:rPr>
        <w:t>دراسة المسائل التالية</w:t>
      </w:r>
    </w:p>
    <w:p w:rsidR="001C6857" w:rsidRDefault="001C6857" w:rsidP="001C6857">
      <w:pPr>
        <w:rPr>
          <w:rtl/>
        </w:rPr>
      </w:pPr>
      <w:r>
        <w:rPr>
          <w:lang w:val="en-GB"/>
        </w:rPr>
        <w:t>1</w:t>
      </w:r>
      <w:r>
        <w:rPr>
          <w:rtl/>
        </w:rPr>
        <w:tab/>
        <w:t>ما هي المتطلبات التي يقتضيها استخدام العارض الأساسي في إنتاج البرامج الصوتية المتقدمة وتقييم الجودة؟</w:t>
      </w:r>
    </w:p>
    <w:p w:rsidR="001C6857" w:rsidRDefault="001C6857" w:rsidP="001C6857">
      <w:pPr>
        <w:rPr>
          <w:rtl/>
        </w:rPr>
      </w:pPr>
      <w:r>
        <w:rPr>
          <w:lang w:val="en-GB"/>
        </w:rPr>
        <w:t>2</w:t>
      </w:r>
      <w:r>
        <w:rPr>
          <w:rtl/>
        </w:rPr>
        <w:tab/>
        <w:t>ما هي المواصفة المرضية للعارض الأساسي من أجل الاستخدام في إنتاج البرامج الصوتية المتقدمة وتقييم الجودة؟</w:t>
      </w:r>
    </w:p>
    <w:p w:rsidR="001C6857" w:rsidRDefault="001C6857" w:rsidP="001C6857">
      <w:pPr>
        <w:rPr>
          <w:rtl/>
          <w:lang w:val="en-GB"/>
        </w:rPr>
      </w:pPr>
      <w:r>
        <w:rPr>
          <w:lang w:val="en-GB"/>
        </w:rPr>
        <w:t>3</w:t>
      </w:r>
      <w:r>
        <w:rPr>
          <w:rtl/>
        </w:rPr>
        <w:tab/>
        <w:t>ما هي طريقة معالجة الإشارات ومدخلات البيانات الشرحية (البيانات الشرحية للبيئة والمحتوى) الضرورية ليعمل العارض الأساسي بصورة مرضية؟</w:t>
      </w:r>
    </w:p>
    <w:p w:rsidR="001C6857" w:rsidRDefault="001C6857" w:rsidP="001C6857">
      <w:r>
        <w:rPr>
          <w:lang w:val="en-GB"/>
        </w:rPr>
        <w:t>4</w:t>
      </w:r>
      <w:r>
        <w:rPr>
          <w:rtl/>
        </w:rPr>
        <w:tab/>
        <w:t xml:space="preserve">ما هي الخوارزمية التي ينبغي استعمالها وفقاً للتوصية </w:t>
      </w:r>
      <w:r>
        <w:rPr>
          <w:lang w:val="en-GB"/>
        </w:rPr>
        <w:t>ITU</w:t>
      </w:r>
      <w:r>
        <w:rPr>
          <w:lang w:val="en-GB"/>
        </w:rPr>
        <w:noBreakHyphen/>
        <w:t>R BS.2051</w:t>
      </w:r>
      <w:r>
        <w:rPr>
          <w:rtl/>
        </w:rPr>
        <w:t xml:space="preserve"> </w:t>
      </w:r>
      <w:r>
        <w:rPr>
          <w:rFonts w:hint="cs"/>
          <w:rtl/>
        </w:rPr>
        <w:t xml:space="preserve">من أجل توليد إشارات مكبرات الصوت بالاستناد إلى جميع أنساق المدخلات الممكنة (سواء القائمة على الكائن أو على القناة أو على المشهد أو على تشكيلة منها)؟ </w:t>
      </w:r>
    </w:p>
    <w:p w:rsidR="001C6857" w:rsidRDefault="001C6857" w:rsidP="001C6857">
      <w:pPr>
        <w:pStyle w:val="Call"/>
        <w:rPr>
          <w:rFonts w:hint="cs"/>
          <w:rtl/>
        </w:rPr>
      </w:pPr>
      <w:r>
        <w:rPr>
          <w:rtl/>
        </w:rPr>
        <w:t>وتقرّر كذلك</w:t>
      </w:r>
    </w:p>
    <w:p w:rsidR="001C6857" w:rsidRDefault="001C6857" w:rsidP="001C6857">
      <w:pPr>
        <w:rPr>
          <w:rtl/>
        </w:rPr>
      </w:pPr>
      <w:r>
        <w:rPr>
          <w:lang w:val="en-GB"/>
        </w:rPr>
        <w:t>1</w:t>
      </w:r>
      <w:r>
        <w:rPr>
          <w:rtl/>
        </w:rPr>
        <w:tab/>
        <w:t>أنه ينبغي إدراج نتائج الدراسات أعلاه في توصية؛</w:t>
      </w:r>
    </w:p>
    <w:p w:rsidR="001C6857" w:rsidRDefault="001C6857" w:rsidP="001C6857">
      <w:pPr>
        <w:rPr>
          <w:rtl/>
        </w:rPr>
      </w:pPr>
      <w:r>
        <w:rPr>
          <w:lang w:val="fr-CH"/>
        </w:rPr>
        <w:t>2</w:t>
      </w:r>
      <w:r>
        <w:rPr>
          <w:rtl/>
        </w:rPr>
        <w:tab/>
        <w:t xml:space="preserve">أنه ينبغي إنجاز الدراسات أعلاه بحلول عام </w:t>
      </w:r>
      <w:r>
        <w:rPr>
          <w:lang w:val="en-GB"/>
        </w:rPr>
        <w:t>2016</w:t>
      </w:r>
      <w:r>
        <w:rPr>
          <w:rtl/>
        </w:rPr>
        <w:t>.</w:t>
      </w:r>
    </w:p>
    <w:p w:rsidR="001C6857" w:rsidRDefault="001C6857" w:rsidP="001C6857">
      <w:pPr>
        <w:spacing w:before="360"/>
        <w:rPr>
          <w:rtl/>
        </w:rPr>
      </w:pPr>
      <w:r>
        <w:rPr>
          <w:rtl/>
        </w:rPr>
        <w:t xml:space="preserve">الفئة: </w:t>
      </w:r>
      <w:r>
        <w:t>SI</w:t>
      </w:r>
    </w:p>
    <w:p w:rsidR="001C6857" w:rsidRDefault="001C6857" w:rsidP="001C6857">
      <w:pPr>
        <w:rPr>
          <w:sz w:val="2"/>
          <w:szCs w:val="2"/>
          <w:rtl/>
        </w:rPr>
      </w:pPr>
    </w:p>
    <w:p w:rsidR="00CC001C" w:rsidRDefault="00CC001C" w:rsidP="001C6857"/>
    <w:sectPr w:rsidR="00CC001C" w:rsidSect="001C6857">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857" w:rsidRDefault="001C6857" w:rsidP="001C6857">
      <w:pPr>
        <w:spacing w:before="0" w:line="240" w:lineRule="auto"/>
      </w:pPr>
      <w:r>
        <w:separator/>
      </w:r>
    </w:p>
  </w:endnote>
  <w:endnote w:type="continuationSeparator" w:id="0">
    <w:p w:rsidR="001C6857" w:rsidRDefault="001C6857" w:rsidP="001C685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857" w:rsidRDefault="001C68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857" w:rsidRDefault="001C68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857" w:rsidRDefault="001C68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857" w:rsidRDefault="001C6857" w:rsidP="001C6857">
      <w:pPr>
        <w:spacing w:before="0" w:line="240" w:lineRule="auto"/>
      </w:pPr>
      <w:r>
        <w:separator/>
      </w:r>
    </w:p>
  </w:footnote>
  <w:footnote w:type="continuationSeparator" w:id="0">
    <w:p w:rsidR="001C6857" w:rsidRDefault="001C6857" w:rsidP="001C6857">
      <w:pPr>
        <w:spacing w:before="0" w:line="240" w:lineRule="auto"/>
      </w:pPr>
      <w:r>
        <w:continuationSeparator/>
      </w:r>
    </w:p>
  </w:footnote>
  <w:footnote w:id="1">
    <w:p w:rsidR="001C6857" w:rsidRDefault="001C6857" w:rsidP="001C6857">
      <w:pPr>
        <w:pStyle w:val="FootnoteText"/>
        <w:tabs>
          <w:tab w:val="clear" w:pos="794"/>
          <w:tab w:val="left" w:pos="567"/>
        </w:tabs>
        <w:rPr>
          <w:rStyle w:val="FootnoteReference"/>
          <w:rFonts w:ascii="Traditional Arabic" w:hAnsi="Traditional Arabic"/>
          <w:rtl/>
        </w:rPr>
      </w:pPr>
      <w:r>
        <w:rPr>
          <w:rStyle w:val="FootnoteReference"/>
        </w:rPr>
        <w:footnoteRef/>
      </w:r>
      <w:r>
        <w:rPr>
          <w:rStyle w:val="FootnoteReference"/>
          <w:rFonts w:cs="Times New Roman" w:hint="cs"/>
          <w:rtl/>
        </w:rPr>
        <w:tab/>
      </w:r>
      <w:r>
        <w:rPr>
          <w:rtl/>
        </w:rPr>
        <w:t>يقوم العارض بتحويل مجموعة من الإشارات السمعية والبيانات الشرحية المصاحبة لها إلى تشكيلة مختلفة من الإشارات السمعية والبيانات الشرحية، استناداً إلى البيانات الشرحية المتوافرة المتعلقة بالمحتوى والبيئة المحلية. والعارض الأساسي هو نموذج للعارض الذي يُستخدم لأغراض تقييم الجودة وفي عملية إنتاج البرامج. وتعريفه بوضوح يتيح مقارنته مع النماذج الأخرى الممكنة. وهو لا يوفّر بالضرورة أفضل جودة ممكنة للمشهد السمعي وقد لا يدعم جميع البيانات الشرحية الممكنة، ولكن يمكن أن يوفّر عرضاً يحافظ في ظل مجموعة محددة من ظروف العرض على الغاية الفنية.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857" w:rsidRDefault="001C68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857" w:rsidRDefault="001C6857" w:rsidP="001C6857">
    <w:pPr>
      <w:pStyle w:val="Header"/>
      <w:jc w:val="center"/>
    </w:pPr>
    <w:r>
      <w:t>-</w:t>
    </w:r>
    <w:sdt>
      <w:sdtPr>
        <w:rPr>
          <w:rtl/>
        </w:rPr>
        <w:id w:val="577177120"/>
        <w:docPartObj>
          <w:docPartGallery w:val="Page Numbers (Top of Page)"/>
          <w:docPartUnique/>
        </w:docPartObj>
      </w:sdtPr>
      <w:sdtEndPr>
        <w:rPr>
          <w:noProof/>
        </w:rPr>
      </w:sdtEndPr>
      <w:sdtContent>
        <w:r>
          <w:t xml:space="preserve"> 2 -</w:t>
        </w:r>
        <w:bookmarkStart w:id="0" w:name="_GoBack"/>
        <w:bookmarkEnd w:id="0"/>
      </w:sdtContent>
    </w:sdt>
  </w:p>
  <w:p w:rsidR="001C6857" w:rsidRDefault="001C68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857" w:rsidRDefault="001C68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857"/>
    <w:rsid w:val="001C6857"/>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2FC2166-62F5-48B5-93FD-392AFAF5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85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line="192" w:lineRule="auto"/>
      <w:jc w:val="both"/>
    </w:pPr>
    <w:rPr>
      <w:rFonts w:ascii="Calibri" w:hAnsi="Calibri" w:cs="Traditional Arabic"/>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sid w:val="001C6857"/>
    <w:pPr>
      <w:spacing w:before="60" w:line="168" w:lineRule="auto"/>
    </w:pPr>
    <w:rPr>
      <w:sz w:val="20"/>
      <w:szCs w:val="26"/>
    </w:rPr>
  </w:style>
  <w:style w:type="character" w:customStyle="1" w:styleId="FootnoteTextChar">
    <w:name w:val="Footnote Text Char"/>
    <w:basedOn w:val="DefaultParagraphFont"/>
    <w:link w:val="FootnoteText"/>
    <w:uiPriority w:val="99"/>
    <w:semiHidden/>
    <w:rsid w:val="001C6857"/>
    <w:rPr>
      <w:rFonts w:ascii="Calibri" w:hAnsi="Calibri" w:cs="Traditional Arabic"/>
      <w:sz w:val="20"/>
      <w:szCs w:val="26"/>
      <w:lang w:val="en-US"/>
    </w:rPr>
  </w:style>
  <w:style w:type="paragraph" w:customStyle="1" w:styleId="AnnexNo">
    <w:name w:val="Annex No"/>
    <w:basedOn w:val="Normal"/>
    <w:qFormat/>
    <w:rsid w:val="001C6857"/>
    <w:pPr>
      <w:spacing w:before="360" w:after="120"/>
      <w:jc w:val="center"/>
    </w:pPr>
    <w:rPr>
      <w:sz w:val="26"/>
      <w:szCs w:val="36"/>
      <w:lang w:bidi="ar-SY"/>
    </w:rPr>
  </w:style>
  <w:style w:type="paragraph" w:customStyle="1" w:styleId="Annextitle">
    <w:name w:val="Annex title"/>
    <w:basedOn w:val="AnnexNo"/>
    <w:qFormat/>
    <w:rsid w:val="001C6857"/>
    <w:pPr>
      <w:keepNext/>
      <w:keepLines/>
      <w:spacing w:before="120" w:after="360"/>
    </w:pPr>
    <w:rPr>
      <w:b/>
      <w:bCs/>
      <w:sz w:val="28"/>
      <w:szCs w:val="40"/>
    </w:rPr>
  </w:style>
  <w:style w:type="paragraph" w:customStyle="1" w:styleId="Call">
    <w:name w:val="Call"/>
    <w:basedOn w:val="Normal"/>
    <w:qFormat/>
    <w:rsid w:val="001C6857"/>
    <w:pPr>
      <w:keepNext/>
      <w:spacing w:before="160"/>
      <w:ind w:left="1588" w:hanging="794"/>
    </w:pPr>
    <w:rPr>
      <w:i/>
      <w:iCs/>
    </w:rPr>
  </w:style>
  <w:style w:type="paragraph" w:customStyle="1" w:styleId="Normalaftertitle">
    <w:name w:val="Normal after title"/>
    <w:basedOn w:val="Normal"/>
    <w:qFormat/>
    <w:rsid w:val="001C6857"/>
    <w:pPr>
      <w:keepNext/>
      <w:spacing w:before="360"/>
    </w:pPr>
    <w:rPr>
      <w:lang w:bidi="ar-SY"/>
    </w:rPr>
  </w:style>
  <w:style w:type="character" w:styleId="FootnoteReference">
    <w:name w:val="footnote reference"/>
    <w:basedOn w:val="DefaultParagraphFont"/>
    <w:uiPriority w:val="99"/>
    <w:semiHidden/>
    <w:unhideWhenUsed/>
    <w:qFormat/>
    <w:rsid w:val="001C6857"/>
    <w:rPr>
      <w:rFonts w:ascii="Calibri" w:hAnsi="Calibri" w:cs="Calibri" w:hint="default"/>
      <w:b w:val="0"/>
      <w:bCs w:val="0"/>
      <w:i w:val="0"/>
      <w:iCs w:val="0"/>
      <w:caps w:val="0"/>
      <w:smallCaps w:val="0"/>
      <w:strike w:val="0"/>
      <w:dstrike w:val="0"/>
      <w:vanish w:val="0"/>
      <w:webHidden w:val="0"/>
      <w:spacing w:val="0"/>
      <w:w w:val="100"/>
      <w:position w:val="6"/>
      <w:sz w:val="18"/>
      <w:szCs w:val="18"/>
      <w:u w:val="none"/>
      <w:effect w:val="none"/>
      <w:vertAlign w:val="baseline"/>
      <w:specVanish w:val="0"/>
    </w:rPr>
  </w:style>
  <w:style w:type="paragraph" w:styleId="Header">
    <w:name w:val="header"/>
    <w:basedOn w:val="Normal"/>
    <w:link w:val="HeaderChar"/>
    <w:uiPriority w:val="99"/>
    <w:unhideWhenUsed/>
    <w:rsid w:val="001C68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513"/>
        <w:tab w:val="right" w:pos="9026"/>
      </w:tabs>
      <w:spacing w:before="0" w:line="240" w:lineRule="auto"/>
    </w:pPr>
  </w:style>
  <w:style w:type="character" w:customStyle="1" w:styleId="HeaderChar">
    <w:name w:val="Header Char"/>
    <w:basedOn w:val="DefaultParagraphFont"/>
    <w:link w:val="Header"/>
    <w:uiPriority w:val="99"/>
    <w:rsid w:val="001C6857"/>
    <w:rPr>
      <w:rFonts w:ascii="Calibri" w:hAnsi="Calibri" w:cs="Traditional Arabic"/>
      <w:szCs w:val="30"/>
      <w:lang w:val="en-US"/>
    </w:rPr>
  </w:style>
  <w:style w:type="paragraph" w:styleId="Footer">
    <w:name w:val="footer"/>
    <w:basedOn w:val="Normal"/>
    <w:link w:val="FooterChar"/>
    <w:uiPriority w:val="99"/>
    <w:unhideWhenUsed/>
    <w:rsid w:val="001C68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513"/>
        <w:tab w:val="right" w:pos="9026"/>
      </w:tabs>
      <w:spacing w:before="0" w:line="240" w:lineRule="auto"/>
    </w:pPr>
  </w:style>
  <w:style w:type="character" w:customStyle="1" w:styleId="FooterChar">
    <w:name w:val="Footer Char"/>
    <w:basedOn w:val="DefaultParagraphFont"/>
    <w:link w:val="Footer"/>
    <w:uiPriority w:val="99"/>
    <w:rsid w:val="001C6857"/>
    <w:rPr>
      <w:rFonts w:ascii="Calibri" w:hAnsi="Calibri" w:cs="Traditional Arabic"/>
      <w:szCs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37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395</Words>
  <Characters>2252</Characters>
  <Application>Microsoft Office Word</Application>
  <DocSecurity>0</DocSecurity>
  <Lines>18</Lines>
  <Paragraphs>5</Paragraphs>
  <ScaleCrop>false</ScaleCrop>
  <Company>ITU</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2015-06-26T12:29:00Z</dcterms:created>
  <dcterms:modified xsi:type="dcterms:W3CDTF">2015-06-26T12:33:00Z</dcterms:modified>
</cp:coreProperties>
</file>