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A1" w:rsidRDefault="00D81EA1" w:rsidP="00D81EA1">
      <w:pPr>
        <w:pStyle w:val="QuestionNo"/>
        <w:spacing w:before="480" w:after="0"/>
      </w:pPr>
      <w:r w:rsidRPr="00EA77E2">
        <w:rPr>
          <w:rFonts w:hint="cs"/>
          <w:rtl/>
        </w:rPr>
        <w:t>المسألة</w:t>
      </w:r>
      <w:r w:rsidRPr="00EA77E2">
        <w:rPr>
          <w:rtl/>
        </w:rPr>
        <w:t xml:space="preserve"> </w:t>
      </w:r>
      <w:r w:rsidRPr="00EA77E2">
        <w:t>ITU-R</w:t>
      </w:r>
      <w:r>
        <w:t> </w:t>
      </w:r>
      <w:r w:rsidRPr="0062596E">
        <w:t>139</w:t>
      </w:r>
      <w:r>
        <w:t>-1</w:t>
      </w:r>
      <w:r w:rsidRPr="00EA77E2">
        <w:t>/6</w:t>
      </w:r>
    </w:p>
    <w:p w:rsidR="00D81EA1" w:rsidRPr="00EA77E2" w:rsidRDefault="00D81EA1" w:rsidP="009536E1">
      <w:pPr>
        <w:pStyle w:val="Questiontitle"/>
        <w:rPr>
          <w:rFonts w:eastAsiaTheme="minorEastAsia"/>
          <w:rtl/>
        </w:rPr>
      </w:pPr>
      <w:r w:rsidRPr="00EA77E2">
        <w:rPr>
          <w:rtl/>
        </w:rPr>
        <w:t>طرائق عرض الأنساق السمعية المتقدّمة</w:t>
      </w:r>
    </w:p>
    <w:p w:rsidR="00D81EA1" w:rsidRPr="007109BF" w:rsidRDefault="00D81EA1" w:rsidP="007109BF">
      <w:pPr>
        <w:pStyle w:val="Questiondate"/>
        <w:rPr>
          <w:rtl/>
        </w:rPr>
      </w:pPr>
      <w:r w:rsidRPr="007109BF">
        <w:rPr>
          <w:rFonts w:hint="cs"/>
          <w:rtl/>
        </w:rPr>
        <w:t> </w:t>
      </w:r>
      <w:r w:rsidRPr="007109BF">
        <w:t>(2018-2015)</w:t>
      </w:r>
    </w:p>
    <w:p w:rsidR="00D81EA1" w:rsidRDefault="00D81EA1" w:rsidP="00496A3F">
      <w:pPr>
        <w:pStyle w:val="Normalaftertitle"/>
        <w:spacing w:before="120"/>
      </w:pPr>
      <w:r>
        <w:rPr>
          <w:rtl/>
        </w:rPr>
        <w:t>إن جمعية الاتصالات الراديوية للاتحاد الدولي للاتصالات،</w:t>
      </w:r>
    </w:p>
    <w:p w:rsidR="00D81EA1" w:rsidRDefault="00D81EA1" w:rsidP="00496A3F">
      <w:pPr>
        <w:pStyle w:val="Call"/>
        <w:spacing w:before="120"/>
        <w:rPr>
          <w:rtl/>
        </w:rPr>
      </w:pPr>
      <w:r>
        <w:rPr>
          <w:rtl/>
        </w:rPr>
        <w:t>إذ تضع في اعتبارها</w:t>
      </w:r>
    </w:p>
    <w:p w:rsidR="00D81EA1" w:rsidRDefault="00D81EA1" w:rsidP="00496A3F">
      <w:pPr>
        <w:rPr>
          <w:rtl/>
        </w:rPr>
      </w:pPr>
      <w:r>
        <w:rPr>
          <w:i/>
          <w:iCs/>
          <w:rtl/>
        </w:rPr>
        <w:t xml:space="preserve"> أ )</w:t>
      </w:r>
      <w:r>
        <w:rPr>
          <w:rtl/>
        </w:rPr>
        <w:tab/>
        <w:t xml:space="preserve">أن هناك اهتماماً متزايداً بإنتاج البرامج السمعية والتلفزيونية في الأنظمة الصوتية المتقدّمة لتوفير تجربة سمعية تضاهي تجربة المشاهدة المحسَّنة التي </w:t>
      </w:r>
      <w:r w:rsidR="00001FEB">
        <w:rPr>
          <w:rFonts w:hint="cs"/>
          <w:rtl/>
        </w:rPr>
        <w:t>يتيحها</w:t>
      </w:r>
      <w:r>
        <w:rPr>
          <w:rtl/>
        </w:rPr>
        <w:t xml:space="preserve"> إنتاج الصورة في التلفزيون العالي الوضوح </w:t>
      </w:r>
      <w:r>
        <w:rPr>
          <w:lang w:val="en-GB"/>
        </w:rPr>
        <w:t>(HDTV)</w:t>
      </w:r>
      <w:r>
        <w:rPr>
          <w:rtl/>
        </w:rPr>
        <w:t xml:space="preserve"> (انظر التوصية </w:t>
      </w:r>
      <w:r>
        <w:rPr>
          <w:lang w:val="en-GB"/>
        </w:rPr>
        <w:t>ITU</w:t>
      </w:r>
      <w:r>
        <w:rPr>
          <w:lang w:val="en-GB"/>
        </w:rPr>
        <w:noBreakHyphen/>
        <w:t>R BT.709</w:t>
      </w:r>
      <w:r>
        <w:rPr>
          <w:rtl/>
        </w:rPr>
        <w:t>) وفي التلفزيون الفائق الوضوح </w:t>
      </w:r>
      <w:r>
        <w:rPr>
          <w:lang w:val="en-GB"/>
        </w:rPr>
        <w:t>(UHDTV)</w:t>
      </w:r>
      <w:r>
        <w:rPr>
          <w:rtl/>
        </w:rPr>
        <w:t xml:space="preserve"> (انظر التوصية </w:t>
      </w:r>
      <w:r>
        <w:rPr>
          <w:lang w:val="en-GB"/>
        </w:rPr>
        <w:t>ITU</w:t>
      </w:r>
      <w:r>
        <w:rPr>
          <w:lang w:val="en-GB"/>
        </w:rPr>
        <w:noBreakHyphen/>
        <w:t>R BT.2020</w:t>
      </w:r>
      <w:r>
        <w:rPr>
          <w:rtl/>
        </w:rPr>
        <w:t>)؛</w:t>
      </w:r>
    </w:p>
    <w:p w:rsidR="00D81EA1" w:rsidRDefault="00D81EA1" w:rsidP="00496A3F">
      <w:pPr>
        <w:rPr>
          <w:rtl/>
        </w:rPr>
      </w:pPr>
      <w:r>
        <w:rPr>
          <w:i/>
          <w:iCs/>
          <w:rtl/>
        </w:rPr>
        <w:t>ب)</w:t>
      </w:r>
      <w:r>
        <w:rPr>
          <w:rtl/>
        </w:rPr>
        <w:tab/>
        <w:t xml:space="preserve">أن التوصية </w:t>
      </w:r>
      <w:r>
        <w:rPr>
          <w:lang w:val="en-GB"/>
        </w:rPr>
        <w:t>ITU-R BS.2051</w:t>
      </w:r>
      <w:r>
        <w:rPr>
          <w:rtl/>
        </w:rPr>
        <w:t xml:space="preserve"> </w:t>
      </w:r>
      <w:r>
        <w:rPr>
          <w:rFonts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rsidR="00D81EA1" w:rsidRDefault="00D81EA1" w:rsidP="00496A3F">
      <w:pPr>
        <w:rPr>
          <w:rtl/>
        </w:rPr>
      </w:pPr>
      <w:r>
        <w:rPr>
          <w:i/>
          <w:iCs/>
          <w:rtl/>
        </w:rPr>
        <w:t>ج)</w:t>
      </w:r>
      <w:r>
        <w:rPr>
          <w:rtl/>
        </w:rPr>
        <w:tab/>
        <w:t xml:space="preserve">أن التوصية </w:t>
      </w:r>
      <w:r>
        <w:rPr>
          <w:lang w:val="en-GB"/>
        </w:rPr>
        <w:t>ITU</w:t>
      </w:r>
      <w:r>
        <w:rPr>
          <w:lang w:val="en-GB"/>
        </w:rPr>
        <w:noBreakHyphen/>
        <w:t>R BS.1909</w:t>
      </w:r>
      <w:r>
        <w:rPr>
          <w:rtl/>
        </w:rPr>
        <w:t xml:space="preserve"> </w:t>
      </w:r>
      <w:r>
        <w:rPr>
          <w:rFonts w:hint="cs"/>
          <w:rtl/>
        </w:rPr>
        <w:t>تُدرِج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p>
    <w:p w:rsidR="00D81EA1" w:rsidRDefault="00D81EA1" w:rsidP="00496A3F">
      <w:pPr>
        <w:rPr>
          <w:rtl/>
        </w:rPr>
      </w:pPr>
      <w:r>
        <w:rPr>
          <w:i/>
          <w:iCs/>
          <w:rtl/>
        </w:rPr>
        <w:t>د )</w:t>
      </w:r>
      <w:r>
        <w:rPr>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rsidR="00D81EA1" w:rsidRDefault="00D81EA1" w:rsidP="00496A3F">
      <w:pPr>
        <w:rPr>
          <w:rtl/>
        </w:rPr>
      </w:pPr>
      <w:r>
        <w:rPr>
          <w:i/>
          <w:iCs/>
          <w:rtl/>
        </w:rPr>
        <w:t>ﻫ )</w:t>
      </w:r>
      <w:r>
        <w:rPr>
          <w:rtl/>
        </w:rPr>
        <w:tab/>
        <w:t>أن نظام العرض الذي يُحدث إشارات المجاهير من إشارات النظام الصوتي المتقدم هو عنصر حاسم لتوفير الاتساق الضروري في عملية إعادة الإنتاج،</w:t>
      </w:r>
    </w:p>
    <w:p w:rsidR="00D81EA1" w:rsidRDefault="00D81EA1" w:rsidP="00496A3F">
      <w:pPr>
        <w:pStyle w:val="Call"/>
        <w:spacing w:before="120"/>
        <w:rPr>
          <w:lang w:bidi="ar-EG"/>
        </w:rPr>
      </w:pPr>
      <w:r>
        <w:rPr>
          <w:rtl/>
        </w:rPr>
        <w:t>وإذ تضع في اعتبارها كذلك</w:t>
      </w:r>
    </w:p>
    <w:p w:rsidR="00D81EA1" w:rsidRDefault="00D81EA1" w:rsidP="00496A3F">
      <w:pPr>
        <w:rPr>
          <w:rtl/>
        </w:rPr>
      </w:pPr>
      <w:r>
        <w:rPr>
          <w:rFonts w:hint="cs"/>
          <w:i/>
          <w:iCs/>
          <w:rtl/>
        </w:rPr>
        <w:t xml:space="preserve"> </w:t>
      </w:r>
      <w:r>
        <w:rPr>
          <w:i/>
          <w:iCs/>
          <w:rtl/>
        </w:rPr>
        <w:t>أ )</w:t>
      </w:r>
      <w:r>
        <w:rPr>
          <w:rtl/>
        </w:rPr>
        <w:tab/>
        <w:t>أنّ وصف العارض</w:t>
      </w:r>
      <w:r>
        <w:rPr>
          <w:rFonts w:cs="Calibri"/>
          <w:position w:val="6"/>
          <w:sz w:val="20"/>
          <w:szCs w:val="20"/>
          <w:rtl/>
        </w:rPr>
        <w:footnoteReference w:id="1"/>
      </w:r>
      <w:r>
        <w:rPr>
          <w:rtl/>
        </w:rPr>
        <w:t xml:space="preserve"> ينبغي أن يكون كاملاً وقائماً بذاته. والأفضل أن يختصر تفاصيل التنفيذ وأن يقدّم هذه التفاصيل باستخدام تنفيذ مرجعي؛</w:t>
      </w:r>
    </w:p>
    <w:p w:rsidR="00D81EA1" w:rsidRDefault="00D81EA1" w:rsidP="00496A3F">
      <w:r>
        <w:rPr>
          <w:i/>
          <w:iCs/>
          <w:rtl/>
        </w:rPr>
        <w:t>ب)</w:t>
      </w:r>
      <w:r>
        <w:rPr>
          <w:rtl/>
        </w:rPr>
        <w:tab/>
        <w:t>أنّ الوصف ينبغي أن يكون وصفاً واضحاً لكل من العمليات وطريقة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 يتضمن مظاهر يعتريها الغموض؛</w:t>
      </w:r>
    </w:p>
    <w:p w:rsidR="00D81EA1" w:rsidRDefault="00D81EA1" w:rsidP="00496A3F">
      <w:r>
        <w:rPr>
          <w:i/>
          <w:iCs/>
          <w:rtl/>
        </w:rPr>
        <w:t>ج)</w:t>
      </w:r>
      <w:r>
        <w:rPr>
          <w:rtl/>
        </w:rPr>
        <w:tab/>
        <w:t>أنّه في حال وجود نسق للملف، يمكن الإشارة إليه باستخدام معلمات والقدرة على التخزين، ولكن ينبغي عادةً ألا تُربط المواصفة بحالات محددة من تنفيذ هذه المعلمات في نسق الملف المذكور آنفاً؛</w:t>
      </w:r>
    </w:p>
    <w:p w:rsidR="00496A3F" w:rsidRDefault="00D81EA1" w:rsidP="00496A3F">
      <w:pPr>
        <w:rPr>
          <w:rtl/>
        </w:rPr>
      </w:pPr>
      <w:r>
        <w:rPr>
          <w:i/>
          <w:iCs/>
          <w:rtl/>
        </w:rPr>
        <w:t>د )</w:t>
      </w:r>
      <w:r>
        <w:rPr>
          <w:rtl/>
        </w:rPr>
        <w:tab/>
        <w:t>أنّ</w:t>
      </w:r>
      <w:r>
        <w:rPr>
          <w:rFonts w:hint="cs"/>
          <w:rtl/>
        </w:rPr>
        <w:t xml:space="preserve"> </w:t>
      </w:r>
      <w:r>
        <w:rPr>
          <w:rtl/>
        </w:rPr>
        <w:t xml:space="preserve">العارض ينبغي أن </w:t>
      </w:r>
      <w:r>
        <w:rPr>
          <w:rFonts w:hint="cs"/>
          <w:rtl/>
        </w:rPr>
        <w:t xml:space="preserve">يكون قادراً </w:t>
      </w:r>
      <w:r>
        <w:rPr>
          <w:rtl/>
        </w:rPr>
        <w:t>على دعم جميع مكبرات الصوت على النحو المقترح في التوصية </w:t>
      </w:r>
      <w:r>
        <w:rPr>
          <w:lang w:val="en-GB"/>
        </w:rPr>
        <w:t>ITU</w:t>
      </w:r>
      <w:r>
        <w:rPr>
          <w:lang w:val="en-GB"/>
        </w:rPr>
        <w:noBreakHyphen/>
        <w:t>R BS.2051</w:t>
      </w:r>
      <w:r>
        <w:rPr>
          <w:rtl/>
        </w:rPr>
        <w:t>،</w:t>
      </w:r>
    </w:p>
    <w:p w:rsidR="00496A3F" w:rsidRDefault="00496A3F">
      <w:pPr>
        <w:tabs>
          <w:tab w:val="clear" w:pos="1134"/>
        </w:tabs>
        <w:bidi w:val="0"/>
        <w:spacing w:before="0" w:after="160" w:line="259" w:lineRule="auto"/>
        <w:jc w:val="left"/>
        <w:rPr>
          <w:rtl/>
        </w:rPr>
      </w:pPr>
    </w:p>
    <w:p w:rsidR="00496A3F" w:rsidRDefault="00496A3F">
      <w:pPr>
        <w:tabs>
          <w:tab w:val="clear" w:pos="1134"/>
        </w:tabs>
        <w:bidi w:val="0"/>
        <w:spacing w:before="0" w:after="160" w:line="259" w:lineRule="auto"/>
        <w:jc w:val="left"/>
        <w:rPr>
          <w:rtl/>
        </w:rPr>
      </w:pPr>
      <w:r>
        <w:rPr>
          <w:rtl/>
        </w:rPr>
        <w:br w:type="page"/>
      </w:r>
    </w:p>
    <w:p w:rsidR="00D81EA1" w:rsidRPr="004C1373" w:rsidRDefault="00D81EA1" w:rsidP="00496A3F">
      <w:pPr>
        <w:pStyle w:val="Call"/>
        <w:spacing w:before="120"/>
        <w:rPr>
          <w:i w:val="0"/>
          <w:iCs w:val="0"/>
          <w:lang w:eastAsia="zh-CN"/>
        </w:rPr>
      </w:pPr>
      <w:r>
        <w:rPr>
          <w:rtl/>
        </w:rPr>
        <w:lastRenderedPageBreak/>
        <w:t xml:space="preserve">تقرّر </w:t>
      </w:r>
      <w:r w:rsidR="004C1373">
        <w:rPr>
          <w:rFonts w:hint="cs"/>
          <w:i w:val="0"/>
          <w:iCs w:val="0"/>
          <w:rtl/>
        </w:rPr>
        <w:t>أن تخضع</w:t>
      </w:r>
      <w:r>
        <w:rPr>
          <w:i w:val="0"/>
          <w:iCs w:val="0"/>
          <w:rtl/>
        </w:rPr>
        <w:t xml:space="preserve"> المسائل التالي</w:t>
      </w:r>
      <w:r w:rsidR="004C1373">
        <w:rPr>
          <w:rFonts w:hint="cs"/>
          <w:i w:val="0"/>
          <w:iCs w:val="0"/>
          <w:rtl/>
        </w:rPr>
        <w:t>ة للدراسة</w:t>
      </w:r>
    </w:p>
    <w:p w:rsidR="00D81EA1" w:rsidRDefault="00D81EA1" w:rsidP="00496A3F">
      <w:pPr>
        <w:keepNext/>
        <w:keepLines/>
      </w:pPr>
      <w:r>
        <w:rPr>
          <w:lang w:val="en-GB"/>
        </w:rPr>
        <w:t>1</w:t>
      </w:r>
      <w:r>
        <w:rPr>
          <w:rtl/>
        </w:rPr>
        <w:tab/>
        <w:t xml:space="preserve">ما هي المتطلبات التي يقتضيها استخدام </w:t>
      </w:r>
      <w:r>
        <w:rPr>
          <w:rFonts w:hint="cs"/>
          <w:rtl/>
        </w:rPr>
        <w:t>أنظمة العرض</w:t>
      </w:r>
      <w:r>
        <w:rPr>
          <w:rtl/>
        </w:rPr>
        <w:t xml:space="preserve"> في إنتاج البرامج الصوتية المتقدمة ورصدها؟</w:t>
      </w:r>
    </w:p>
    <w:p w:rsidR="00D81EA1" w:rsidRDefault="00D81EA1" w:rsidP="00496A3F">
      <w:r>
        <w:rPr>
          <w:lang w:val="en-GB"/>
        </w:rPr>
        <w:t>2</w:t>
      </w:r>
      <w:r>
        <w:rPr>
          <w:rtl/>
        </w:rPr>
        <w:tab/>
        <w:t>ما</w:t>
      </w:r>
      <w:r>
        <w:rPr>
          <w:rFonts w:hint="cs"/>
          <w:rtl/>
        </w:rPr>
        <w:t xml:space="preserve"> </w:t>
      </w:r>
      <w:r>
        <w:rPr>
          <w:rtl/>
        </w:rPr>
        <w:t xml:space="preserve">هي المتطلبات التي يقتضيها استخدام </w:t>
      </w:r>
      <w:r>
        <w:rPr>
          <w:rFonts w:hint="cs"/>
          <w:rtl/>
        </w:rPr>
        <w:t>أنظمة العرض</w:t>
      </w:r>
      <w:r>
        <w:rPr>
          <w:rtl/>
        </w:rPr>
        <w:t xml:space="preserve"> في تقييم الجودة؟</w:t>
      </w:r>
    </w:p>
    <w:p w:rsidR="00D81EA1" w:rsidRDefault="00D81EA1" w:rsidP="00496A3F">
      <w:r>
        <w:rPr>
          <w:lang w:val="en-GB"/>
        </w:rPr>
        <w:t>3</w:t>
      </w:r>
      <w:r>
        <w:rPr>
          <w:rtl/>
        </w:rPr>
        <w:tab/>
        <w:t>ما هي المواصفات المرضية</w:t>
      </w:r>
      <w:r>
        <w:rPr>
          <w:rFonts w:hint="cs"/>
          <w:rtl/>
        </w:rPr>
        <w:t xml:space="preserve"> لأنظمة العرض</w:t>
      </w:r>
      <w:r>
        <w:rPr>
          <w:rtl/>
        </w:rPr>
        <w:t xml:space="preserve"> من أجل الاستخدام في إنتاج البرامج الصوتية المتقدمة</w:t>
      </w:r>
      <w:r w:rsidR="00C31A13">
        <w:rPr>
          <w:rFonts w:hint="cs"/>
          <w:rtl/>
        </w:rPr>
        <w:t xml:space="preserve"> </w:t>
      </w:r>
      <w:r>
        <w:rPr>
          <w:rtl/>
        </w:rPr>
        <w:t>ورصدها؟</w:t>
      </w:r>
    </w:p>
    <w:p w:rsidR="00D81EA1" w:rsidRDefault="00D81EA1" w:rsidP="00496A3F">
      <w:r>
        <w:rPr>
          <w:lang w:val="en-GB"/>
        </w:rPr>
        <w:t>4</w:t>
      </w:r>
      <w:r>
        <w:rPr>
          <w:rtl/>
        </w:rPr>
        <w:tab/>
        <w:t>ما</w:t>
      </w:r>
      <w:r>
        <w:rPr>
          <w:rFonts w:hint="cs"/>
          <w:rtl/>
        </w:rPr>
        <w:t xml:space="preserve"> </w:t>
      </w:r>
      <w:r>
        <w:rPr>
          <w:rtl/>
        </w:rPr>
        <w:t xml:space="preserve">هي المواصفات المرضية </w:t>
      </w:r>
      <w:r>
        <w:rPr>
          <w:rFonts w:hint="cs"/>
          <w:rtl/>
        </w:rPr>
        <w:t xml:space="preserve">لأنظمة العرض </w:t>
      </w:r>
      <w:r>
        <w:rPr>
          <w:rtl/>
        </w:rPr>
        <w:t>من أجل الاستخدام في تقييم الجودة؟</w:t>
      </w:r>
    </w:p>
    <w:p w:rsidR="00D81EA1" w:rsidRDefault="00D81EA1" w:rsidP="00496A3F">
      <w:r>
        <w:rPr>
          <w:lang w:val="en-GB"/>
        </w:rPr>
        <w:t>5</w:t>
      </w:r>
      <w:r>
        <w:rPr>
          <w:rtl/>
        </w:rPr>
        <w:tab/>
        <w:t>ما هي طريقة معالجة الإشارات ومدخلات البيانات الشرحية (البيانات الشرحية للبيئة والمحتوى) اللازمة ليعمل العارض</w:t>
      </w:r>
      <w:r>
        <w:rPr>
          <w:rFonts w:hint="cs"/>
          <w:rtl/>
        </w:rPr>
        <w:t xml:space="preserve"> بالصورة المطلوبة</w:t>
      </w:r>
      <w:r>
        <w:rPr>
          <w:rtl/>
        </w:rPr>
        <w:t>؟</w:t>
      </w:r>
    </w:p>
    <w:p w:rsidR="00D81EA1" w:rsidRPr="00E4483B" w:rsidRDefault="00D81EA1" w:rsidP="00496A3F">
      <w:pPr>
        <w:rPr>
          <w:spacing w:val="-3"/>
        </w:rPr>
      </w:pPr>
      <w:r w:rsidRPr="00E4483B">
        <w:rPr>
          <w:spacing w:val="-3"/>
          <w:lang w:val="en-GB"/>
        </w:rPr>
        <w:t>6</w:t>
      </w:r>
      <w:r w:rsidRPr="00E4483B">
        <w:rPr>
          <w:spacing w:val="-3"/>
          <w:rtl/>
        </w:rPr>
        <w:tab/>
        <w:t>ما هي</w:t>
      </w:r>
      <w:r w:rsidRPr="00E4483B">
        <w:rPr>
          <w:rFonts w:hint="cs"/>
          <w:spacing w:val="-3"/>
          <w:rtl/>
        </w:rPr>
        <w:t xml:space="preserve"> </w:t>
      </w:r>
      <w:r w:rsidRPr="00E4483B">
        <w:rPr>
          <w:spacing w:val="-3"/>
          <w:rtl/>
        </w:rPr>
        <w:t xml:space="preserve">الخوارزميات التي ينبغي استعمالها وفقاً للتوصية </w:t>
      </w:r>
      <w:r w:rsidRPr="00E4483B">
        <w:rPr>
          <w:spacing w:val="-3"/>
          <w:lang w:val="en-GB"/>
        </w:rPr>
        <w:t>ITU</w:t>
      </w:r>
      <w:r w:rsidRPr="00E4483B">
        <w:rPr>
          <w:spacing w:val="-3"/>
          <w:lang w:val="en-GB"/>
        </w:rPr>
        <w:noBreakHyphen/>
        <w:t>R BS.2051</w:t>
      </w:r>
      <w:r w:rsidRPr="00E4483B">
        <w:rPr>
          <w:spacing w:val="-3"/>
          <w:rtl/>
        </w:rPr>
        <w:t xml:space="preserve"> من أجل توليد إشارات مكبرات الصوت بالاستناد إلى جميع أنساق المدخلات الممكنة (سواء القائمة على الكائن أو على القناة أو على المشهد أو على تشكيلة منها)؟</w:t>
      </w:r>
    </w:p>
    <w:p w:rsidR="00D81EA1" w:rsidRDefault="00D81EA1" w:rsidP="00496A3F">
      <w:pPr>
        <w:pStyle w:val="Call"/>
        <w:spacing w:before="120"/>
        <w:rPr>
          <w:lang w:eastAsia="zh-CN"/>
        </w:rPr>
      </w:pPr>
      <w:r>
        <w:rPr>
          <w:rtl/>
        </w:rPr>
        <w:t>وتقرّر كذلك</w:t>
      </w:r>
    </w:p>
    <w:p w:rsidR="00D81EA1" w:rsidRPr="00270E2D" w:rsidRDefault="00D81EA1" w:rsidP="00496A3F">
      <w:pPr>
        <w:rPr>
          <w:spacing w:val="-2"/>
          <w:rtl/>
        </w:rPr>
      </w:pPr>
      <w:r w:rsidRPr="00270E2D">
        <w:rPr>
          <w:spacing w:val="-2"/>
          <w:lang w:val="en-GB"/>
        </w:rPr>
        <w:t>1</w:t>
      </w:r>
      <w:r w:rsidRPr="00270E2D">
        <w:rPr>
          <w:spacing w:val="-2"/>
          <w:rtl/>
        </w:rPr>
        <w:tab/>
        <w:t xml:space="preserve">أنه ينبغي إدراج نتائج الدراسات أعلاه في توصية أو أكثر وفي نصوص أخرى </w:t>
      </w:r>
      <w:r>
        <w:rPr>
          <w:rFonts w:hint="cs"/>
          <w:spacing w:val="-2"/>
          <w:rtl/>
        </w:rPr>
        <w:t>ل</w:t>
      </w:r>
      <w:r w:rsidRPr="00270E2D">
        <w:rPr>
          <w:spacing w:val="-2"/>
          <w:rtl/>
        </w:rPr>
        <w:t>قطاع الاتصالات الراديوية؛</w:t>
      </w:r>
    </w:p>
    <w:p w:rsidR="00D81EA1" w:rsidRDefault="00D81EA1" w:rsidP="00496A3F">
      <w:r>
        <w:rPr>
          <w:lang w:val="fr-CH"/>
        </w:rPr>
        <w:t>2</w:t>
      </w:r>
      <w:r>
        <w:rPr>
          <w:rtl/>
        </w:rPr>
        <w:tab/>
        <w:t xml:space="preserve">أنه ينبغي إنجاز الدراسات أعلاه بحلول عام </w:t>
      </w:r>
      <w:r w:rsidR="006A0FAB">
        <w:t>2023</w:t>
      </w:r>
      <w:bookmarkStart w:id="0" w:name="_GoBack"/>
      <w:bookmarkEnd w:id="0"/>
      <w:r>
        <w:rPr>
          <w:rtl/>
        </w:rPr>
        <w:t>.</w:t>
      </w:r>
    </w:p>
    <w:p w:rsidR="00496A3F" w:rsidRDefault="00496A3F" w:rsidP="00496A3F">
      <w:pPr>
        <w:rPr>
          <w:rtl/>
          <w:lang w:bidi="ar-EG"/>
        </w:rPr>
      </w:pPr>
    </w:p>
    <w:p w:rsidR="00D81EA1" w:rsidRDefault="00D81EA1" w:rsidP="00D81EA1">
      <w:pPr>
        <w:tabs>
          <w:tab w:val="clear" w:pos="1134"/>
        </w:tabs>
        <w:spacing w:before="240"/>
      </w:pPr>
      <w:r>
        <w:rPr>
          <w:rtl/>
        </w:rPr>
        <w:t xml:space="preserve">الفئة: </w:t>
      </w:r>
      <w:r w:rsidR="006A0FAB">
        <w:t>S2</w:t>
      </w:r>
    </w:p>
    <w:p w:rsidR="00D81EA1" w:rsidRDefault="00841953" w:rsidP="00496A3F">
      <w:pPr>
        <w:jc w:val="center"/>
        <w:rPr>
          <w:rtl/>
          <w:lang w:bidi="ar-EG"/>
        </w:rPr>
      </w:pPr>
      <w:r>
        <w:rPr>
          <w:rFonts w:hint="cs"/>
          <w:rtl/>
          <w:lang w:bidi="ar-EG"/>
        </w:rPr>
        <w:t>___________</w:t>
      </w:r>
    </w:p>
    <w:sectPr w:rsidR="00D81EA1" w:rsidSect="008B5B5D">
      <w:headerReference w:type="default" r:id="rId10"/>
      <w:head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A1" w:rsidRDefault="00D81EA1" w:rsidP="00E07379">
      <w:pPr>
        <w:spacing w:before="0" w:line="240" w:lineRule="auto"/>
      </w:pPr>
      <w:r>
        <w:separator/>
      </w:r>
    </w:p>
  </w:endnote>
  <w:endnote w:type="continuationSeparator" w:id="0">
    <w:p w:rsidR="00D81EA1" w:rsidRDefault="00D81EA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A1" w:rsidRDefault="00D81EA1" w:rsidP="00E07379">
      <w:pPr>
        <w:spacing w:before="0" w:line="240" w:lineRule="auto"/>
      </w:pPr>
      <w:r>
        <w:separator/>
      </w:r>
    </w:p>
  </w:footnote>
  <w:footnote w:type="continuationSeparator" w:id="0">
    <w:p w:rsidR="00D81EA1" w:rsidRDefault="00D81EA1" w:rsidP="00E07379">
      <w:pPr>
        <w:spacing w:before="0" w:line="240" w:lineRule="auto"/>
      </w:pPr>
      <w:r>
        <w:continuationSeparator/>
      </w:r>
    </w:p>
  </w:footnote>
  <w:footnote w:id="1">
    <w:p w:rsidR="00D81EA1" w:rsidRDefault="00D81EA1" w:rsidP="00D81EA1">
      <w:pPr>
        <w:pStyle w:val="FootnoteText"/>
        <w:tabs>
          <w:tab w:val="left" w:pos="567"/>
        </w:tabs>
        <w:rPr>
          <w:rStyle w:val="FootnoteReference"/>
          <w:rFonts w:ascii="Traditional Arabic" w:hAnsi="Traditional Arabic"/>
        </w:rPr>
      </w:pPr>
      <w:r>
        <w:rPr>
          <w:rStyle w:val="FootnoteReference"/>
        </w:rPr>
        <w:footnoteRef/>
      </w:r>
      <w:r>
        <w:rPr>
          <w:rStyle w:val="FootnoteReference"/>
          <w:rFonts w:cs="Times New Roman"/>
          <w:rtl/>
        </w:rPr>
        <w:tab/>
      </w:r>
      <w:r>
        <w:rPr>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w:t>
      </w:r>
      <w:r>
        <w:rPr>
          <w:rFonts w:hint="cs"/>
          <w:rtl/>
        </w:rPr>
        <w:t xml:space="preserve"> </w:t>
      </w:r>
      <w:r>
        <w:rPr>
          <w:rtl/>
        </w:rPr>
        <w:t>ويمكن أن يُستخدم العارض لأغراض تقييم الجودة أو في عملية إنتاج البرامج.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A1" w:rsidRPr="008B5B5D" w:rsidRDefault="00D81EA1"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0FAB">
      <w:rPr>
        <w:rStyle w:val="PageNumber"/>
        <w:noProof/>
      </w:rPr>
      <w:t>2</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A1" w:rsidRPr="00933E83" w:rsidRDefault="00D81EA1"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AC"/>
    <w:rsid w:val="00001FEB"/>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9186D"/>
    <w:rsid w:val="001F2ED3"/>
    <w:rsid w:val="0021544D"/>
    <w:rsid w:val="0022345D"/>
    <w:rsid w:val="00225854"/>
    <w:rsid w:val="0023283D"/>
    <w:rsid w:val="00245731"/>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E6A73"/>
    <w:rsid w:val="003F0B20"/>
    <w:rsid w:val="003F678F"/>
    <w:rsid w:val="0042686F"/>
    <w:rsid w:val="004367CE"/>
    <w:rsid w:val="00443869"/>
    <w:rsid w:val="004712C6"/>
    <w:rsid w:val="00475556"/>
    <w:rsid w:val="00496A3F"/>
    <w:rsid w:val="00497703"/>
    <w:rsid w:val="004C1373"/>
    <w:rsid w:val="004D27DE"/>
    <w:rsid w:val="004F0F06"/>
    <w:rsid w:val="00501E0E"/>
    <w:rsid w:val="005204D7"/>
    <w:rsid w:val="00524061"/>
    <w:rsid w:val="00530420"/>
    <w:rsid w:val="00541680"/>
    <w:rsid w:val="00552BC5"/>
    <w:rsid w:val="0055516A"/>
    <w:rsid w:val="0056374C"/>
    <w:rsid w:val="0056614F"/>
    <w:rsid w:val="0057656F"/>
    <w:rsid w:val="00576731"/>
    <w:rsid w:val="0059285F"/>
    <w:rsid w:val="005A24B1"/>
    <w:rsid w:val="005B7B8A"/>
    <w:rsid w:val="005D3A06"/>
    <w:rsid w:val="005D6476"/>
    <w:rsid w:val="005D6C0D"/>
    <w:rsid w:val="005E5283"/>
    <w:rsid w:val="005E58F5"/>
    <w:rsid w:val="0060457D"/>
    <w:rsid w:val="00606660"/>
    <w:rsid w:val="006157A3"/>
    <w:rsid w:val="00620E60"/>
    <w:rsid w:val="0063315A"/>
    <w:rsid w:val="0065591D"/>
    <w:rsid w:val="00662C5A"/>
    <w:rsid w:val="00670AF5"/>
    <w:rsid w:val="006A0FAB"/>
    <w:rsid w:val="006C1556"/>
    <w:rsid w:val="006F267F"/>
    <w:rsid w:val="006F63F7"/>
    <w:rsid w:val="006F6F03"/>
    <w:rsid w:val="00706D7A"/>
    <w:rsid w:val="007109BF"/>
    <w:rsid w:val="00726AEC"/>
    <w:rsid w:val="007530CA"/>
    <w:rsid w:val="00783A16"/>
    <w:rsid w:val="0079553D"/>
    <w:rsid w:val="007B01CC"/>
    <w:rsid w:val="007C7529"/>
    <w:rsid w:val="007E7C6C"/>
    <w:rsid w:val="007F6238"/>
    <w:rsid w:val="007F646C"/>
    <w:rsid w:val="00801FCD"/>
    <w:rsid w:val="00803D7E"/>
    <w:rsid w:val="00803F08"/>
    <w:rsid w:val="008235CD"/>
    <w:rsid w:val="00823A07"/>
    <w:rsid w:val="008257A5"/>
    <w:rsid w:val="008260B2"/>
    <w:rsid w:val="00835FEC"/>
    <w:rsid w:val="00841953"/>
    <w:rsid w:val="008513CB"/>
    <w:rsid w:val="00874D9C"/>
    <w:rsid w:val="008A1810"/>
    <w:rsid w:val="008B0945"/>
    <w:rsid w:val="008B5B5D"/>
    <w:rsid w:val="00903FA3"/>
    <w:rsid w:val="00915EBF"/>
    <w:rsid w:val="00917694"/>
    <w:rsid w:val="00917EB6"/>
    <w:rsid w:val="00923199"/>
    <w:rsid w:val="009263CD"/>
    <w:rsid w:val="00930E6D"/>
    <w:rsid w:val="00933E83"/>
    <w:rsid w:val="009536E1"/>
    <w:rsid w:val="00956DF0"/>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D25FF"/>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31A13"/>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1EA1"/>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4BAC"/>
    <w:rsid w:val="00F126F1"/>
    <w:rsid w:val="00F13884"/>
    <w:rsid w:val="00F2106A"/>
    <w:rsid w:val="00F36D8B"/>
    <w:rsid w:val="00F374FF"/>
    <w:rsid w:val="00F401D0"/>
    <w:rsid w:val="00F45F2B"/>
    <w:rsid w:val="00F57AE4"/>
    <w:rsid w:val="00F67150"/>
    <w:rsid w:val="00F84366"/>
    <w:rsid w:val="00F85089"/>
    <w:rsid w:val="00F85564"/>
    <w:rsid w:val="00F86CFA"/>
    <w:rsid w:val="00FD58BD"/>
    <w:rsid w:val="00FD5E8D"/>
    <w:rsid w:val="00FE25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23FAC6B-AA17-4E0E-99D0-B59FE20A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9536E1"/>
    <w:pPr>
      <w:keepNext/>
      <w:keepLines/>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date">
    <w:name w:val="Question_date"/>
    <w:basedOn w:val="Normal"/>
    <w:qFormat/>
    <w:rsid w:val="007109BF"/>
    <w:pPr>
      <w:jc w:val="right"/>
    </w:pPr>
    <w:rPr>
      <w:rFonts w:eastAsiaTheme="minorEastAsia"/>
      <w:lang w:eastAsia="zh-CN" w:bidi="ar-EG"/>
    </w:rPr>
  </w:style>
  <w:style w:type="paragraph" w:customStyle="1" w:styleId="AnnexNo0">
    <w:name w:val="Annex No"/>
    <w:basedOn w:val="Normal"/>
    <w:qFormat/>
    <w:rsid w:val="007C75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7C7529"/>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3B79B48-6BFD-4D8E-96CF-FC85B603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Sir Bosson, Ana</cp:lastModifiedBy>
  <cp:revision>3</cp:revision>
  <cp:lastPrinted>2016-06-07T13:25:00Z</cp:lastPrinted>
  <dcterms:created xsi:type="dcterms:W3CDTF">2019-01-09T14:56:00Z</dcterms:created>
  <dcterms:modified xsi:type="dcterms:W3CDTF">2019-09-25T13:49:00Z</dcterms:modified>
  <cp:category>Conference document</cp:category>
</cp:coreProperties>
</file>