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A3" w:rsidRPr="005D03E8" w:rsidRDefault="00A961A3" w:rsidP="00A961A3">
      <w:pPr>
        <w:pStyle w:val="QuestionNoBR"/>
        <w:rPr>
          <w:lang w:val="fr-CH"/>
        </w:rPr>
      </w:pPr>
      <w:r w:rsidRPr="005D03E8">
        <w:rPr>
          <w:lang w:val="fr-CH"/>
        </w:rPr>
        <w:t>question UIT-R 132-5/6</w:t>
      </w:r>
    </w:p>
    <w:p w:rsidR="00A961A3" w:rsidRPr="005D03E8" w:rsidRDefault="00A961A3" w:rsidP="00A961A3">
      <w:pPr>
        <w:pStyle w:val="Questiontitle"/>
        <w:rPr>
          <w:rFonts w:asciiTheme="majorBidi" w:hAnsiTheme="majorBidi" w:cstheme="majorBidi"/>
          <w:lang w:val="fr-CH"/>
        </w:rPr>
      </w:pPr>
      <w:r w:rsidRPr="00A961A3">
        <w:rPr>
          <w:rFonts w:asciiTheme="majorBidi" w:hAnsiTheme="majorBidi" w:cstheme="majorBidi"/>
          <w:szCs w:val="28"/>
          <w:lang w:val="fr-CH"/>
        </w:rPr>
        <w:t>Radiodiffusion télévisuelle numérique de Terre: planification</w:t>
      </w:r>
    </w:p>
    <w:p w:rsidR="00A961A3" w:rsidRPr="00C94281" w:rsidRDefault="00A961A3" w:rsidP="00C94281">
      <w:pPr>
        <w:pStyle w:val="Questiondate"/>
        <w:rPr>
          <w:rFonts w:asciiTheme="majorBidi" w:hAnsiTheme="majorBidi" w:cstheme="majorBidi"/>
          <w:i w:val="0"/>
          <w:iCs/>
          <w:sz w:val="22"/>
          <w:szCs w:val="20"/>
          <w:lang w:val="fr-CH"/>
        </w:rPr>
      </w:pPr>
      <w:r w:rsidRPr="00C94281">
        <w:rPr>
          <w:rFonts w:asciiTheme="majorBidi" w:hAnsiTheme="majorBidi" w:cstheme="majorBidi"/>
          <w:i w:val="0"/>
          <w:iCs/>
          <w:sz w:val="22"/>
          <w:szCs w:val="20"/>
          <w:lang w:val="fr-CH"/>
        </w:rPr>
        <w:t>(2010-2011-2011-2015-2017-2019)</w:t>
      </w:r>
    </w:p>
    <w:p w:rsidR="00A961A3" w:rsidRPr="005D03E8" w:rsidRDefault="00A961A3" w:rsidP="00A961A3">
      <w:pPr>
        <w:spacing w:before="240"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rPr>
          <w:lang w:val="fr-CH"/>
        </w:rPr>
      </w:pPr>
      <w:proofErr w:type="gramStart"/>
      <w:r w:rsidRPr="005D03E8">
        <w:rPr>
          <w:lang w:val="fr-CH"/>
        </w:rPr>
        <w:t>considérant</w:t>
      </w:r>
      <w:proofErr w:type="gramEnd"/>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a)</w:t>
      </w:r>
      <w:r w:rsidRPr="005D03E8">
        <w:rPr>
          <w:rFonts w:asciiTheme="majorBidi" w:hAnsiTheme="majorBidi" w:cstheme="majorBidi"/>
          <w:szCs w:val="24"/>
          <w:lang w:val="fr-CH"/>
        </w:rPr>
        <w:tab/>
        <w:t>que de nombreuses administrations ont déjà procédé et que d'autres procèdent actuellement à la mise en œuvre de services de radiodiffusion télévisuelle numérique de Terre (DTTB) en ondes métriques (bande III) et/ou décimétriques (bandes IV/V);</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b)</w:t>
      </w:r>
      <w:r w:rsidRPr="005D03E8">
        <w:rPr>
          <w:rFonts w:asciiTheme="majorBidi" w:hAnsiTheme="majorBidi" w:cstheme="majorBidi"/>
          <w:szCs w:val="24"/>
          <w:lang w:val="fr-CH"/>
        </w:rPr>
        <w:tab/>
        <w:t>que l'expérience acquise avec la mise en œuvre de services DTTB sera utile pour préciser les hypothèses et les techniques à appliquer pour la planification et la mise en œuvre de services DTTB;</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c)</w:t>
      </w:r>
      <w:r w:rsidRPr="005D03E8">
        <w:rPr>
          <w:rFonts w:asciiTheme="majorBidi" w:hAnsiTheme="majorBidi" w:cstheme="majorBidi"/>
          <w:szCs w:val="24"/>
          <w:lang w:val="fr-CH"/>
        </w:rPr>
        <w:tab/>
        <w:t>que des procédures de planification sont en cours d'élaboration afin de faciliter la mise en place de ces nouveaux systèmes dans l'environnement radioélectrique existant;</w:t>
      </w:r>
    </w:p>
    <w:p w:rsidR="00A961A3" w:rsidRPr="005D03E8"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d)</w:t>
      </w:r>
      <w:r w:rsidRPr="005D03E8">
        <w:rPr>
          <w:rFonts w:asciiTheme="majorBidi" w:hAnsiTheme="majorBidi" w:cstheme="majorBidi"/>
          <w:szCs w:val="24"/>
          <w:lang w:val="fr-CH"/>
        </w:rPr>
        <w:tab/>
        <w:t>que ces procédures de planification sont fondées sur l'utilisation de méthodes de prévision de la propagation et de rapports de protection déterminés empiriquement;</w:t>
      </w:r>
    </w:p>
    <w:p w:rsidR="00A961A3" w:rsidRPr="00A961A3"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szCs w:val="24"/>
          <w:lang w:val="fr-CH"/>
        </w:rPr>
        <w:t>e)</w:t>
      </w:r>
      <w:r w:rsidRPr="00A961A3">
        <w:rPr>
          <w:rFonts w:asciiTheme="majorBidi" w:hAnsiTheme="majorBidi" w:cstheme="majorBidi"/>
          <w:szCs w:val="24"/>
          <w:lang w:val="fr-CH"/>
        </w:rPr>
        <w:tab/>
        <w:t xml:space="preserve">que les caractéristiques </w:t>
      </w:r>
      <w:r w:rsidRPr="005D03E8">
        <w:rPr>
          <w:rFonts w:asciiTheme="majorBidi" w:hAnsiTheme="majorBidi" w:cstheme="majorBidi"/>
          <w:szCs w:val="24"/>
          <w:lang w:val="fr-CH"/>
        </w:rPr>
        <w:t xml:space="preserve">des </w:t>
      </w:r>
      <w:r w:rsidRPr="00A961A3">
        <w:rPr>
          <w:rFonts w:asciiTheme="majorBidi" w:hAnsiTheme="majorBidi" w:cstheme="majorBidi"/>
          <w:szCs w:val="24"/>
          <w:lang w:val="fr-CH"/>
        </w:rPr>
        <w:t>installations réceptrices de télévision, des téléviseurs et des antennes associées</w:t>
      </w:r>
      <w:r w:rsidRPr="005D03E8">
        <w:rPr>
          <w:rFonts w:asciiTheme="majorBidi" w:hAnsiTheme="majorBidi" w:cstheme="majorBidi"/>
          <w:szCs w:val="24"/>
          <w:lang w:val="fr-CH"/>
        </w:rPr>
        <w:t xml:space="preserve"> ont les éléments importants de la planification des fréquences</w:t>
      </w:r>
      <w:r w:rsidRPr="00A961A3">
        <w:rPr>
          <w:rFonts w:asciiTheme="majorBidi" w:hAnsiTheme="majorBidi" w:cstheme="majorBidi"/>
          <w:szCs w:val="24"/>
          <w:lang w:val="fr-CH"/>
        </w:rPr>
        <w:t>;</w:t>
      </w:r>
    </w:p>
    <w:p w:rsidR="00A961A3" w:rsidRPr="005D03E8" w:rsidRDefault="00A961A3" w:rsidP="00A961A3">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f)</w:t>
      </w:r>
      <w:r w:rsidRPr="005D03E8">
        <w:rPr>
          <w:rFonts w:asciiTheme="majorBidi" w:hAnsiTheme="majorBidi" w:cstheme="majorBidi"/>
          <w:szCs w:val="24"/>
          <w:lang w:val="fr-CH"/>
        </w:rPr>
        <w:tab/>
      </w:r>
      <w:r w:rsidRPr="00A961A3">
        <w:rPr>
          <w:rFonts w:asciiTheme="majorBidi" w:hAnsiTheme="majorBidi" w:cstheme="majorBidi"/>
          <w:color w:val="000000"/>
          <w:lang w:val="fr-CH"/>
        </w:rPr>
        <w:t xml:space="preserve">que les administrations et/ou les radiodiffuseurs ont besoin de vérifier et de valider les </w:t>
      </w:r>
      <w:proofErr w:type="gramStart"/>
      <w:r w:rsidRPr="00A961A3">
        <w:rPr>
          <w:rFonts w:asciiTheme="majorBidi" w:hAnsiTheme="majorBidi" w:cstheme="majorBidi"/>
          <w:color w:val="000000"/>
          <w:lang w:val="fr-CH"/>
        </w:rPr>
        <w:t>résultats</w:t>
      </w:r>
      <w:proofErr w:type="gramEnd"/>
      <w:r w:rsidRPr="00A961A3">
        <w:rPr>
          <w:rFonts w:asciiTheme="majorBidi" w:hAnsiTheme="majorBidi" w:cstheme="majorBidi"/>
          <w:color w:val="000000"/>
          <w:lang w:val="fr-CH"/>
        </w:rPr>
        <w:t xml:space="preserve"> du processus de planification des réseaux de radiodiffusion télévisuelle</w:t>
      </w:r>
      <w:r w:rsidRPr="005D03E8">
        <w:rPr>
          <w:rFonts w:asciiTheme="majorBidi" w:hAnsiTheme="majorBidi" w:cstheme="majorBidi"/>
          <w:color w:val="000000"/>
          <w:lang w:val="fr-CH"/>
        </w:rPr>
        <w:t xml:space="preserve"> et</w:t>
      </w:r>
      <w:r w:rsidRPr="00A961A3">
        <w:rPr>
          <w:rFonts w:asciiTheme="majorBidi" w:hAnsiTheme="majorBidi" w:cstheme="majorBidi"/>
          <w:color w:val="000000"/>
          <w:lang w:val="fr-CH"/>
        </w:rPr>
        <w:t xml:space="preserve"> sonore numérique de Terre</w:t>
      </w:r>
      <w:r w:rsidRPr="005D03E8">
        <w:rPr>
          <w:rFonts w:asciiTheme="majorBidi" w:hAnsiTheme="majorBidi" w:cstheme="majorBidi"/>
          <w:color w:val="000000"/>
          <w:lang w:val="fr-CH"/>
        </w:rPr>
        <w:t xml:space="preserve"> et multimédia</w:t>
      </w:r>
      <w:r w:rsidRPr="00A961A3">
        <w:rPr>
          <w:rFonts w:asciiTheme="majorBidi" w:hAnsiTheme="majorBidi" w:cstheme="majorBidi"/>
          <w:szCs w:val="24"/>
          <w:lang w:val="fr-CH"/>
        </w:rPr>
        <w:t>,</w:t>
      </w:r>
    </w:p>
    <w:p w:rsidR="00A961A3" w:rsidRPr="005D03E8" w:rsidRDefault="00A961A3" w:rsidP="00A961A3">
      <w:pPr>
        <w:pStyle w:val="Call"/>
        <w:spacing w:line="240" w:lineRule="auto"/>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Quels sont les paramètres de planification des fréquences pour ces services, en particulier:</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champs minimaux;</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des méthodes de modulation et d'émission;</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caractéristiques des antennes de réception et d'émission;</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 l'utilisation de méthodes d'émission et de réception en diversité;</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valeurs de correction en fonction de l'emplacement;</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valeurs de variabilité temporelle; </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réseaux monofréquence;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intervalles de vitesse;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bruit ambiant et son impact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feuillages humides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parcs d'éoliennes et des fluctuations dues aux aéronefs sur la réception télévisuelle numérique de Terre;</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affaiblissement de pénétration dans les bâtiments;</w:t>
      </w:r>
    </w:p>
    <w:p w:rsidR="00A961A3" w:rsidRPr="005D03E8" w:rsidRDefault="00A961A3" w:rsidP="00A961A3">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variations en fonction de l'emplacement, à l'intérieur des bâtiments?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lastRenderedPageBreak/>
        <w:t>2</w:t>
      </w:r>
      <w:r w:rsidRPr="005D03E8">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Pr>
          <w:rStyle w:val="FootnoteReference"/>
          <w:rFonts w:asciiTheme="majorBidi" w:hAnsiTheme="majorBidi" w:cstheme="majorBidi"/>
          <w:szCs w:val="24"/>
          <w:lang w:val="fr-CH"/>
        </w:rPr>
        <w:footnoteReference w:customMarkFollows="1" w:id="1"/>
        <w:t>1</w:t>
      </w:r>
      <w:r w:rsidRPr="005D03E8">
        <w:rPr>
          <w:rFonts w:asciiTheme="majorBidi" w:hAnsiTheme="majorBidi" w:cstheme="majorBidi"/>
          <w:szCs w:val="24"/>
          <w:lang w:val="fr-CH"/>
        </w:rPr>
        <w:t xml:space="preserve"> aux paramètres de modulation de nouveaux systèmes à plus grande efficacité d'utilisation du spectre</w:t>
      </w:r>
      <w:r>
        <w:rPr>
          <w:rStyle w:val="FootnoteReference"/>
          <w:rFonts w:asciiTheme="majorBidi" w:hAnsiTheme="majorBidi" w:cstheme="majorBidi"/>
          <w:szCs w:val="24"/>
          <w:lang w:val="fr-CH"/>
        </w:rPr>
        <w:footnoteReference w:customMarkFollows="1" w:id="2"/>
        <w:t>2</w:t>
      </w:r>
      <w:r w:rsidRPr="005D03E8">
        <w:rPr>
          <w:rFonts w:asciiTheme="majorBidi" w:hAnsiTheme="majorBidi" w:cstheme="majorBidi"/>
          <w:szCs w:val="24"/>
          <w:lang w:val="fr-CH"/>
        </w:rPr>
        <w:t>?</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3</w:t>
      </w:r>
      <w:r w:rsidRPr="005D03E8">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le même canal;</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des canaux adjacents;</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avec des canaux se chevauchant;</w:t>
      </w:r>
    </w:p>
    <w:p w:rsidR="00A961A3" w:rsidRPr="005D03E8" w:rsidRDefault="00A961A3" w:rsidP="00C94281">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d'autres relations où un brouillage est possible (par exemple canal image)?</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4</w:t>
      </w:r>
      <w:r w:rsidRPr="005D03E8">
        <w:rPr>
          <w:rFonts w:asciiTheme="majorBidi" w:hAnsiTheme="majorBidi" w:cstheme="majorBidi"/>
          <w:szCs w:val="24"/>
          <w:lang w:val="fr-CH"/>
        </w:rPr>
        <w:tab/>
        <w:t xml:space="preserve">Quelles sont les caractéristiques des récepteurs et des </w:t>
      </w:r>
      <w:r w:rsidRPr="00A961A3">
        <w:rPr>
          <w:rFonts w:asciiTheme="majorBidi" w:hAnsiTheme="majorBidi" w:cstheme="majorBidi"/>
          <w:szCs w:val="24"/>
          <w:lang w:val="fr-CH"/>
        </w:rPr>
        <w:t>systèmes d'antennes</w:t>
      </w:r>
      <w:r w:rsidRPr="005D03E8">
        <w:rPr>
          <w:rFonts w:asciiTheme="majorBidi" w:hAnsiTheme="majorBidi" w:cstheme="majorBidi"/>
          <w:szCs w:val="24"/>
          <w:lang w:val="fr-CH"/>
        </w:rPr>
        <w:t xml:space="preserve"> à utiliser pour la planification des fréquences, dans l'optique d'une plus grande efficacité d'utilisation du spectre des fréquences (par exemple sélectivité, facteur de bruit, etc.)?</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5</w:t>
      </w:r>
      <w:r w:rsidRPr="005D03E8">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6</w:t>
      </w:r>
      <w:r w:rsidRPr="005D03E8">
        <w:rPr>
          <w:rFonts w:asciiTheme="majorBidi" w:hAnsiTheme="majorBidi" w:cstheme="majorBidi"/>
          <w:szCs w:val="24"/>
          <w:lang w:val="fr-CH"/>
        </w:rPr>
        <w:tab/>
        <w:t>Quelles techniques peuvent être utilisées pour atténuer les effets des brouillages?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7</w:t>
      </w:r>
      <w:r w:rsidRPr="005D03E8">
        <w:rPr>
          <w:rFonts w:asciiTheme="majorBidi" w:hAnsiTheme="majorBidi" w:cstheme="majorBidi"/>
          <w:szCs w:val="24"/>
          <w:lang w:val="fr-CH"/>
        </w:rPr>
        <w:tab/>
        <w:t>Quelles sont les durées acceptables des interruptions dues au brouillage local de courte durée causé aux services DTTB?</w:t>
      </w:r>
    </w:p>
    <w:p w:rsidR="00A961A3" w:rsidRPr="00C94281" w:rsidRDefault="00A961A3" w:rsidP="00A961A3">
      <w:pPr>
        <w:spacing w:line="240" w:lineRule="auto"/>
        <w:rPr>
          <w:rFonts w:asciiTheme="majorBidi" w:hAnsiTheme="majorBidi" w:cstheme="majorBidi"/>
          <w:spacing w:val="-4"/>
          <w:szCs w:val="24"/>
          <w:lang w:val="fr-CH"/>
        </w:rPr>
      </w:pPr>
      <w:r w:rsidRPr="005D03E8">
        <w:rPr>
          <w:rFonts w:asciiTheme="majorBidi" w:hAnsiTheme="majorBidi" w:cstheme="majorBidi"/>
          <w:szCs w:val="24"/>
          <w:lang w:val="fr-CH"/>
        </w:rPr>
        <w:t>8</w:t>
      </w:r>
      <w:r w:rsidRPr="005D03E8">
        <w:rPr>
          <w:rFonts w:asciiTheme="majorBidi" w:hAnsiTheme="majorBidi" w:cstheme="majorBidi"/>
          <w:szCs w:val="24"/>
          <w:lang w:val="fr-CH"/>
        </w:rPr>
        <w:tab/>
      </w:r>
      <w:r w:rsidRPr="00C94281">
        <w:rPr>
          <w:rFonts w:asciiTheme="majorBidi" w:hAnsiTheme="majorBidi" w:cstheme="majorBidi"/>
          <w:spacing w:val="-4"/>
          <w:szCs w:val="24"/>
          <w:lang w:val="fr-CH"/>
        </w:rPr>
        <w:t xml:space="preserve">Quelles sont les bases techniques nécessaires concernant la planification en vue d'une utilisation efficace des bandes d'ondes métriques et décimétriques par les services de télévision de Terre? </w:t>
      </w:r>
    </w:p>
    <w:p w:rsidR="00A961A3" w:rsidRPr="00C94281" w:rsidRDefault="00A961A3" w:rsidP="00A961A3">
      <w:pPr>
        <w:spacing w:line="240" w:lineRule="auto"/>
        <w:rPr>
          <w:rFonts w:asciiTheme="majorBidi" w:hAnsiTheme="majorBidi" w:cstheme="majorBidi"/>
          <w:spacing w:val="-6"/>
          <w:szCs w:val="24"/>
          <w:lang w:val="fr-CH"/>
        </w:rPr>
      </w:pPr>
      <w:r w:rsidRPr="005D03E8">
        <w:rPr>
          <w:rFonts w:asciiTheme="majorBidi" w:hAnsiTheme="majorBidi" w:cstheme="majorBidi"/>
          <w:szCs w:val="24"/>
          <w:lang w:val="fr-CH"/>
        </w:rPr>
        <w:t>9</w:t>
      </w:r>
      <w:r w:rsidRPr="005D03E8">
        <w:rPr>
          <w:rFonts w:asciiTheme="majorBidi" w:hAnsiTheme="majorBidi" w:cstheme="majorBidi"/>
          <w:szCs w:val="24"/>
          <w:lang w:val="fr-CH"/>
        </w:rPr>
        <w:tab/>
      </w:r>
      <w:r w:rsidRPr="00C94281">
        <w:rPr>
          <w:rFonts w:asciiTheme="majorBidi" w:hAnsiTheme="majorBidi" w:cstheme="majorBidi"/>
          <w:spacing w:val="-6"/>
          <w:szCs w:val="24"/>
          <w:lang w:val="fr-CH"/>
        </w:rPr>
        <w:t>Quelles sont les configurations de trajets multiples à prendre en compte pour planifier ces services?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10</w:t>
      </w:r>
      <w:r w:rsidRPr="005D03E8">
        <w:rPr>
          <w:rFonts w:asciiTheme="majorBidi" w:hAnsiTheme="majorBidi" w:cstheme="majorBidi"/>
          <w:szCs w:val="24"/>
          <w:lang w:val="fr-CH"/>
        </w:rPr>
        <w:tab/>
        <w:t>Quels pourcentages de temps de disponibilité peuvent être obtenus dans la pratique en ce qui concerne la mise en œuvre de services DTTB et quelles marges sont nécessaires concernant les paramètres de planification pour atteindre ces pourcentages de temps de disponibilité?</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11</w:t>
      </w:r>
      <w:r w:rsidRPr="005D03E8">
        <w:rPr>
          <w:rFonts w:asciiTheme="majorBidi" w:hAnsiTheme="majorBidi" w:cstheme="majorBidi"/>
          <w:szCs w:val="24"/>
          <w:lang w:val="fr-CH"/>
        </w:rPr>
        <w:tab/>
        <w:t>Quels critères de planification peuvent être optimisés afin de faciliter la mise en œuvre de la radiodiffusion numérique de Terre, compte tenu des services existants?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12</w:t>
      </w:r>
      <w:r w:rsidRPr="005D03E8">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A961A3"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13</w:t>
      </w:r>
      <w:r w:rsidRPr="005D03E8">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A961A3" w:rsidRPr="00A961A3" w:rsidRDefault="00A961A3" w:rsidP="00A961A3">
      <w:pPr>
        <w:spacing w:line="240" w:lineRule="auto"/>
        <w:rPr>
          <w:rFonts w:asciiTheme="majorBidi" w:hAnsiTheme="majorBidi" w:cstheme="majorBidi"/>
          <w:lang w:val="fr-CH"/>
        </w:rPr>
      </w:pPr>
      <w:r w:rsidRPr="00A961A3">
        <w:rPr>
          <w:rFonts w:asciiTheme="majorBidi" w:hAnsiTheme="majorBidi" w:cstheme="majorBidi"/>
          <w:bCs/>
          <w:lang w:val="fr-CH"/>
        </w:rPr>
        <w:t>14</w:t>
      </w:r>
      <w:r w:rsidRPr="00A961A3">
        <w:rPr>
          <w:rFonts w:asciiTheme="majorBidi" w:hAnsiTheme="majorBidi" w:cstheme="majorBidi"/>
          <w:lang w:val="fr-CH"/>
        </w:rPr>
        <w:tab/>
        <w:t>Quelles méthodes de vérification radioélectrique convient-il d'utiliser pour la vérification et la validation des processus de planification de la radiodiffusion télévisuelle et sonore numérique?</w:t>
      </w:r>
    </w:p>
    <w:p w:rsidR="00A961A3" w:rsidRPr="005D03E8" w:rsidRDefault="00A961A3" w:rsidP="00A961A3">
      <w:pPr>
        <w:pStyle w:val="Call"/>
        <w:spacing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 xml:space="preserve">que les résultats de ces études devraient être inclus dans un ou plusieurs </w:t>
      </w:r>
      <w:r>
        <w:rPr>
          <w:rFonts w:asciiTheme="majorBidi" w:hAnsiTheme="majorBidi" w:cstheme="majorBidi"/>
          <w:szCs w:val="24"/>
          <w:lang w:val="fr-CH"/>
        </w:rPr>
        <w:t>R</w:t>
      </w:r>
      <w:r w:rsidRPr="005D03E8">
        <w:rPr>
          <w:rFonts w:asciiTheme="majorBidi" w:hAnsiTheme="majorBidi" w:cstheme="majorBidi"/>
          <w:szCs w:val="24"/>
          <w:lang w:val="fr-CH"/>
        </w:rPr>
        <w:t>apports et/ou une ou plusieurs Recommandations;</w:t>
      </w:r>
    </w:p>
    <w:p w:rsidR="00A961A3" w:rsidRPr="005D03E8" w:rsidRDefault="00A961A3" w:rsidP="00A961A3">
      <w:pPr>
        <w:spacing w:line="240" w:lineRule="auto"/>
        <w:rPr>
          <w:rFonts w:asciiTheme="majorBidi" w:hAnsiTheme="majorBidi" w:cstheme="majorBidi"/>
          <w:szCs w:val="24"/>
          <w:lang w:val="fr-CH"/>
        </w:rPr>
      </w:pPr>
      <w:r w:rsidRPr="005D03E8">
        <w:rPr>
          <w:rFonts w:asciiTheme="majorBidi" w:hAnsiTheme="majorBidi" w:cstheme="majorBidi"/>
          <w:szCs w:val="24"/>
          <w:lang w:val="fr-CH"/>
        </w:rPr>
        <w:t>2</w:t>
      </w:r>
      <w:r w:rsidRPr="005D03E8">
        <w:rPr>
          <w:rFonts w:asciiTheme="majorBidi" w:hAnsiTheme="majorBidi" w:cstheme="majorBidi"/>
          <w:szCs w:val="24"/>
          <w:lang w:val="fr-CH"/>
        </w:rPr>
        <w:tab/>
        <w:t>que ces études devraient être achevées d'ici à</w:t>
      </w:r>
      <w:r>
        <w:rPr>
          <w:rFonts w:asciiTheme="majorBidi" w:hAnsiTheme="majorBidi" w:cstheme="majorBidi"/>
          <w:szCs w:val="24"/>
          <w:lang w:val="fr-CH"/>
        </w:rPr>
        <w:t xml:space="preserve"> </w:t>
      </w:r>
      <w:r w:rsidRPr="005D03E8">
        <w:rPr>
          <w:rFonts w:asciiTheme="majorBidi" w:hAnsiTheme="majorBidi" w:cstheme="majorBidi"/>
          <w:szCs w:val="24"/>
          <w:lang w:val="fr-CH"/>
        </w:rPr>
        <w:t>2023.</w:t>
      </w:r>
    </w:p>
    <w:p w:rsidR="003A42C4" w:rsidRDefault="000A6AE9" w:rsidP="00BE66D6">
      <w:pPr>
        <w:spacing w:before="240" w:line="240" w:lineRule="auto"/>
        <w:jc w:val="left"/>
        <w:rPr>
          <w:rFonts w:asciiTheme="majorBidi" w:hAnsiTheme="majorBidi" w:cstheme="majorBidi"/>
          <w:szCs w:val="24"/>
          <w:lang w:val="fr-CH"/>
        </w:rPr>
      </w:pPr>
      <w:r>
        <w:rPr>
          <w:rFonts w:asciiTheme="majorBidi" w:hAnsiTheme="majorBidi" w:cstheme="majorBidi"/>
          <w:szCs w:val="24"/>
          <w:lang w:val="fr-CH"/>
        </w:rPr>
        <w:t>Catégorie:</w:t>
      </w:r>
      <w:r>
        <w:rPr>
          <w:rFonts w:asciiTheme="majorBidi" w:hAnsiTheme="majorBidi" w:cstheme="majorBidi"/>
          <w:szCs w:val="24"/>
          <w:lang w:val="fr-CH"/>
        </w:rPr>
        <w:tab/>
      </w:r>
      <w:r w:rsidR="00A961A3" w:rsidRPr="005D03E8">
        <w:rPr>
          <w:rFonts w:asciiTheme="majorBidi" w:hAnsiTheme="majorBidi" w:cstheme="majorBidi"/>
          <w:szCs w:val="24"/>
          <w:lang w:val="fr-CH"/>
        </w:rPr>
        <w:t>S3</w:t>
      </w:r>
      <w:bookmarkStart w:id="0" w:name="_GoBack"/>
      <w:bookmarkEnd w:id="0"/>
    </w:p>
    <w:sectPr w:rsidR="003A42C4" w:rsidSect="003A42C4">
      <w:headerReference w:type="even" r:id="rId8"/>
      <w:headerReference w:type="default" r:id="rId9"/>
      <w:headerReference w:type="first" r:id="rId10"/>
      <w:footnotePr>
        <w:numRestart w:val="eachPage"/>
      </w:footnotePr>
      <w:pgSz w:w="11907" w:h="16834" w:code="9"/>
      <w:pgMar w:top="992"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A3" w:rsidRDefault="00A961A3">
      <w:r>
        <w:t>____________________</w:t>
      </w:r>
    </w:p>
  </w:footnote>
  <w:footnote w:type="continuationSeparator" w:id="0">
    <w:p w:rsidR="00A961A3" w:rsidRDefault="00A961A3">
      <w:r>
        <w:continuationSeparator/>
      </w:r>
    </w:p>
  </w:footnote>
  <w:footnote w:id="1">
    <w:p w:rsidR="00A961A3" w:rsidRPr="00C26FA4" w:rsidRDefault="00A961A3" w:rsidP="00A961A3">
      <w:pPr>
        <w:pStyle w:val="FootnoteText"/>
        <w:rPr>
          <w:rFonts w:asciiTheme="majorBidi" w:hAnsiTheme="majorBidi" w:cstheme="majorBidi"/>
          <w:lang w:val="fr-CH"/>
        </w:rPr>
      </w:pPr>
      <w:r w:rsidRPr="00C26FA4">
        <w:rPr>
          <w:rStyle w:val="FootnoteReference"/>
          <w:rFonts w:asciiTheme="majorBidi" w:hAnsiTheme="majorBidi" w:cstheme="majorBidi"/>
          <w:lang w:val="fr-CH"/>
        </w:rPr>
        <w:t>1</w:t>
      </w:r>
      <w:r w:rsidRPr="00C26FA4">
        <w:rPr>
          <w:rFonts w:asciiTheme="majorBidi" w:hAnsiTheme="majorBidi" w:cstheme="majorBidi"/>
          <w:lang w:val="fr-CH"/>
        </w:rPr>
        <w:t xml:space="preserve"> </w:t>
      </w:r>
      <w:r w:rsidRPr="00C26FA4">
        <w:rPr>
          <w:rFonts w:asciiTheme="majorBidi" w:hAnsiTheme="majorBidi" w:cstheme="majorBidi"/>
          <w:lang w:val="fr-CH"/>
        </w:rPr>
        <w:tab/>
      </w:r>
      <w:r w:rsidRPr="00C26FA4">
        <w:rPr>
          <w:rFonts w:asciiTheme="majorBidi" w:hAnsiTheme="majorBidi" w:cstheme="majorBidi"/>
          <w:sz w:val="24"/>
          <w:szCs w:val="24"/>
          <w:lang w:val="fr-CH"/>
        </w:rPr>
        <w:t>Par exemple DVB-T (système B de DTTB de l'UIT-R).</w:t>
      </w:r>
    </w:p>
  </w:footnote>
  <w:footnote w:id="2">
    <w:p w:rsidR="00A961A3" w:rsidRPr="00A758B2" w:rsidRDefault="00A961A3" w:rsidP="00A961A3">
      <w:pPr>
        <w:pStyle w:val="FootnoteText"/>
        <w:rPr>
          <w:rFonts w:asciiTheme="majorBidi" w:hAnsiTheme="majorBidi" w:cstheme="majorBidi"/>
          <w:lang w:val="fr-CH"/>
        </w:rPr>
      </w:pPr>
      <w:r w:rsidRPr="00A758B2">
        <w:rPr>
          <w:rStyle w:val="FootnoteReference"/>
          <w:rFonts w:asciiTheme="majorBidi" w:hAnsiTheme="majorBidi" w:cstheme="majorBidi"/>
          <w:lang w:val="fr-CH"/>
        </w:rPr>
        <w:t>2</w:t>
      </w:r>
      <w:r w:rsidRPr="00A758B2">
        <w:rPr>
          <w:rFonts w:asciiTheme="majorBidi" w:hAnsiTheme="majorBidi" w:cstheme="majorBidi"/>
          <w:lang w:val="fr-CH"/>
        </w:rPr>
        <w:t xml:space="preserve"> </w:t>
      </w:r>
      <w:r w:rsidRPr="00A758B2">
        <w:rPr>
          <w:rFonts w:asciiTheme="majorBidi" w:hAnsiTheme="majorBidi" w:cstheme="majorBidi"/>
          <w:lang w:val="fr-CH"/>
        </w:rPr>
        <w:tab/>
      </w:r>
      <w:r w:rsidRPr="00A758B2">
        <w:rPr>
          <w:rFonts w:asciiTheme="majorBidi" w:hAnsiTheme="majorBidi" w:cstheme="majorBidi"/>
          <w:sz w:val="24"/>
          <w:szCs w:val="24"/>
          <w:lang w:val="fr-CH"/>
        </w:rPr>
        <w:t>Par exemple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2569F7" w:rsidRDefault="00A961A3"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A42C4">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AF3325" w:rsidRDefault="00A961A3"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A42C4">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tblInd w:w="-137" w:type="dxa"/>
      <w:tblLook w:val="04A0" w:firstRow="1" w:lastRow="0" w:firstColumn="1" w:lastColumn="0" w:noHBand="0" w:noVBand="1"/>
    </w:tblPr>
    <w:tblGrid>
      <w:gridCol w:w="4816"/>
      <w:gridCol w:w="5132"/>
    </w:tblGrid>
    <w:tr w:rsidR="00A961A3" w:rsidTr="002F563F">
      <w:tc>
        <w:tcPr>
          <w:tcW w:w="4808" w:type="dxa"/>
          <w:noWrap/>
          <w:tcMar>
            <w:left w:w="0" w:type="dxa"/>
          </w:tcMar>
        </w:tcPr>
        <w:p w:rsidR="00A961A3" w:rsidRDefault="00A961A3" w:rsidP="00A961A3">
          <w:pPr>
            <w:pStyle w:val="Header"/>
            <w:spacing w:before="120" w:line="360" w:lineRule="auto"/>
          </w:pPr>
        </w:p>
      </w:tc>
      <w:tc>
        <w:tcPr>
          <w:tcW w:w="5132" w:type="dxa"/>
          <w:noWrap/>
        </w:tcPr>
        <w:p w:rsidR="00A961A3" w:rsidRDefault="00A961A3" w:rsidP="00A961A3">
          <w:pPr>
            <w:pStyle w:val="Header"/>
            <w:spacing w:before="240" w:line="360" w:lineRule="auto"/>
            <w:jc w:val="right"/>
          </w:pPr>
        </w:p>
      </w:tc>
    </w:tr>
  </w:tbl>
  <w:p w:rsidR="00A961A3" w:rsidRPr="002357F9" w:rsidRDefault="00A961A3"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757DD"/>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666FF"/>
    <w:rsid w:val="0037309C"/>
    <w:rsid w:val="00380A6E"/>
    <w:rsid w:val="003836D4"/>
    <w:rsid w:val="00387AE4"/>
    <w:rsid w:val="003A1F49"/>
    <w:rsid w:val="003A42C4"/>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1061"/>
    <w:rsid w:val="0062748A"/>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C2F"/>
    <w:rsid w:val="00B8525E"/>
    <w:rsid w:val="00B86B02"/>
    <w:rsid w:val="00B90743"/>
    <w:rsid w:val="00B90C45"/>
    <w:rsid w:val="00B933BE"/>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A961A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A961A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uiPriority w:val="99"/>
    <w:locked/>
    <w:rsid w:val="00B53305"/>
    <w:rPr>
      <w:szCs w:val="22"/>
      <w:lang w:val="en-US" w:eastAsia="en-US"/>
    </w:rPr>
  </w:style>
  <w:style w:type="character" w:customStyle="1" w:styleId="TableheadChar">
    <w:name w:val="Table_head Char"/>
    <w:basedOn w:val="DefaultParagraphFont"/>
    <w:link w:val="Tablehead"/>
    <w:uiPriority w:val="99"/>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A96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961A3"/>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en-GB" w:eastAsia="en-US"/>
    </w:rPr>
  </w:style>
  <w:style w:type="paragraph" w:customStyle="1" w:styleId="call0">
    <w:name w:val="call"/>
    <w:basedOn w:val="Normal"/>
    <w:next w:val="Normal"/>
    <w:rsid w:val="00A961A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paragraph" w:customStyle="1" w:styleId="Styleenumlev19ptBefore0ptLinespacingsingle">
    <w:name w:val="Style enumlev1 + 9 pt Before:  0 pt Line spacing:  single"/>
    <w:basedOn w:val="enumlev1"/>
    <w:rsid w:val="00A961A3"/>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769B-C40A-4801-9330-FC404CF8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2</Pages>
  <Words>736</Words>
  <Characters>4485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2</cp:revision>
  <cp:lastPrinted>2013-03-08T10:15:00Z</cp:lastPrinted>
  <dcterms:created xsi:type="dcterms:W3CDTF">2019-11-11T12:11:00Z</dcterms:created>
  <dcterms:modified xsi:type="dcterms:W3CDTF">2019-11-11T12:11:00Z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