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340E" w14:textId="77777777" w:rsidR="008A1219" w:rsidRPr="008A1219" w:rsidRDefault="008A1219" w:rsidP="00EF575A">
      <w:pPr>
        <w:pStyle w:val="QuestionNoBR"/>
        <w:rPr>
          <w:lang w:val="en-US"/>
        </w:rPr>
      </w:pPr>
      <w:r w:rsidRPr="008A1219">
        <w:rPr>
          <w:lang w:val="en-US"/>
        </w:rPr>
        <w:t xml:space="preserve">QUESTION ITU-R </w:t>
      </w:r>
      <w:r w:rsidRPr="008A1219">
        <w:rPr>
          <w:lang w:val="en-US" w:eastAsia="ja-JP"/>
        </w:rPr>
        <w:t>77-9/5</w:t>
      </w:r>
      <w:r w:rsidRPr="008A1219">
        <w:rPr>
          <w:caps w:val="0"/>
          <w:position w:val="6"/>
          <w:sz w:val="18"/>
          <w:vertAlign w:val="superscript"/>
          <w:lang w:val="en-US"/>
        </w:rPr>
        <w:footnoteReference w:customMarkFollows="1" w:id="1"/>
        <w:t>*</w:t>
      </w:r>
    </w:p>
    <w:p w14:paraId="0EA5DAC0" w14:textId="77777777" w:rsidR="008A1219" w:rsidRDefault="008A1219" w:rsidP="00EF575A">
      <w:pPr>
        <w:overflowPunct/>
        <w:autoSpaceDE/>
        <w:autoSpaceDN/>
        <w:adjustRightInd/>
        <w:spacing w:before="240"/>
        <w:jc w:val="center"/>
        <w:textAlignment w:val="auto"/>
        <w:rPr>
          <w:rFonts w:asciiTheme="majorBidi" w:hAnsiTheme="majorBidi" w:cstheme="majorBidi"/>
          <w:b/>
          <w:sz w:val="28"/>
        </w:rPr>
      </w:pPr>
      <w:r w:rsidRPr="00511E8D">
        <w:rPr>
          <w:rFonts w:asciiTheme="majorBidi" w:hAnsiTheme="majorBidi" w:cstheme="majorBidi"/>
          <w:b/>
          <w:sz w:val="28"/>
        </w:rPr>
        <w:t>Consideration of the needs of developing countries in the development and implementation of the terrestrial component of IMT</w:t>
      </w:r>
    </w:p>
    <w:p w14:paraId="0BC5AD2D" w14:textId="77777777" w:rsidR="008A1219" w:rsidRPr="00511E8D" w:rsidRDefault="008A1219" w:rsidP="00EF575A">
      <w:pPr>
        <w:pStyle w:val="Questiondate"/>
        <w:rPr>
          <w:i/>
          <w:iCs/>
          <w:szCs w:val="24"/>
        </w:rPr>
      </w:pPr>
      <w:r w:rsidRPr="00511E8D">
        <w:rPr>
          <w:iCs/>
          <w:szCs w:val="24"/>
        </w:rPr>
        <w:t>(1986-1992-1993-1997-2000-2003-2007-2012-</w:t>
      </w:r>
      <w:r w:rsidRPr="00D74F6F">
        <w:rPr>
          <w:iCs/>
          <w:szCs w:val="24"/>
        </w:rPr>
        <w:t>2019-2023)</w:t>
      </w:r>
    </w:p>
    <w:p w14:paraId="39915E61" w14:textId="77777777" w:rsidR="008A1219" w:rsidRPr="00511E8D" w:rsidRDefault="008A1219" w:rsidP="00EF575A">
      <w:pPr>
        <w:spacing w:before="280"/>
        <w:jc w:val="both"/>
      </w:pPr>
      <w:r w:rsidRPr="00511E8D">
        <w:t>The ITU Radiocommunication Assembly,</w:t>
      </w:r>
    </w:p>
    <w:p w14:paraId="18DE9093" w14:textId="77777777" w:rsidR="008A1219" w:rsidRPr="00511E8D" w:rsidRDefault="008A1219" w:rsidP="00EF575A">
      <w:pPr>
        <w:pStyle w:val="Calltimesnewroman"/>
        <w:jc w:val="both"/>
      </w:pPr>
      <w:r w:rsidRPr="00511E8D">
        <w:t>considering</w:t>
      </w:r>
    </w:p>
    <w:p w14:paraId="2D5D0902" w14:textId="77777777" w:rsidR="008A1219" w:rsidRPr="00511E8D" w:rsidRDefault="008A1219" w:rsidP="00EF575A">
      <w:pPr>
        <w:jc w:val="both"/>
      </w:pPr>
      <w:r w:rsidRPr="00511E8D">
        <w:rPr>
          <w:i/>
          <w:iCs/>
        </w:rPr>
        <w:t>a)</w:t>
      </w:r>
      <w:r w:rsidRPr="00511E8D">
        <w:tab/>
        <w:t>the work carried out so far by the Radiocommunication Sector on mobile radiocommunication systems, in particular of International Mobile Telecommunications (IMT</w:t>
      </w:r>
      <w:proofErr w:type="gramStart"/>
      <w:r w:rsidRPr="00511E8D">
        <w:t>);</w:t>
      </w:r>
      <w:proofErr w:type="gramEnd"/>
    </w:p>
    <w:p w14:paraId="652F4EA4" w14:textId="77777777" w:rsidR="008A1219" w:rsidRPr="00511E8D" w:rsidRDefault="008A1219" w:rsidP="00EF575A">
      <w:pPr>
        <w:jc w:val="both"/>
        <w:rPr>
          <w:lang w:eastAsia="ja-JP"/>
        </w:rPr>
      </w:pPr>
      <w:r w:rsidRPr="00511E8D">
        <w:rPr>
          <w:i/>
          <w:iCs/>
        </w:rPr>
        <w:t>b)</w:t>
      </w:r>
      <w:r w:rsidRPr="00511E8D">
        <w:tab/>
      </w:r>
      <w:r w:rsidRPr="000C1AD7">
        <w:rPr>
          <w:lang w:eastAsia="ja-JP"/>
        </w:rPr>
        <w:t xml:space="preserve">the various ITU-R Recommendations on IMT, including those addressing the needs of developing </w:t>
      </w:r>
      <w:proofErr w:type="gramStart"/>
      <w:r w:rsidRPr="000C1AD7">
        <w:rPr>
          <w:lang w:eastAsia="ja-JP"/>
        </w:rPr>
        <w:t>countries</w:t>
      </w:r>
      <w:r w:rsidRPr="000C1AD7">
        <w:t>;</w:t>
      </w:r>
      <w:proofErr w:type="gramEnd"/>
    </w:p>
    <w:p w14:paraId="62E8DD44" w14:textId="77777777" w:rsidR="008A1219" w:rsidRPr="00511E8D" w:rsidRDefault="008A1219" w:rsidP="00EF575A">
      <w:pPr>
        <w:jc w:val="both"/>
      </w:pPr>
      <w:r w:rsidRPr="00511E8D">
        <w:rPr>
          <w:i/>
          <w:iCs/>
        </w:rPr>
        <w:t>c)</w:t>
      </w:r>
      <w:r w:rsidRPr="00511E8D">
        <w:tab/>
        <w:t>that different frequency bands are identified in the ITU Radio Regulations (RR) for use, on a worldwide</w:t>
      </w:r>
      <w:r w:rsidRPr="00511E8D">
        <w:rPr>
          <w:lang w:eastAsia="ja-JP"/>
        </w:rPr>
        <w:t>, regional or country</w:t>
      </w:r>
      <w:r w:rsidRPr="00511E8D">
        <w:t xml:space="preserve"> basis, by administrations wishing to implement IMT </w:t>
      </w:r>
      <w:proofErr w:type="gramStart"/>
      <w:r w:rsidRPr="00511E8D">
        <w:t>systems;</w:t>
      </w:r>
      <w:proofErr w:type="gramEnd"/>
    </w:p>
    <w:p w14:paraId="1A7D64EE" w14:textId="77777777" w:rsidR="008A1219" w:rsidRPr="00511E8D" w:rsidRDefault="008A1219" w:rsidP="00EF575A">
      <w:pPr>
        <w:jc w:val="both"/>
      </w:pPr>
      <w:r w:rsidRPr="00511E8D">
        <w:rPr>
          <w:i/>
          <w:iCs/>
        </w:rPr>
        <w:t>d)</w:t>
      </w:r>
      <w:r w:rsidRPr="00511E8D">
        <w:tab/>
        <w:t>Resolution 43 (Rev.</w:t>
      </w:r>
      <w:r w:rsidRPr="00511E8D">
        <w:rPr>
          <w:lang w:eastAsia="ja-JP"/>
        </w:rPr>
        <w:t xml:space="preserve"> </w:t>
      </w:r>
      <w:r w:rsidRPr="00511E8D">
        <w:rPr>
          <w:rFonts w:eastAsia="Malgun Gothic"/>
          <w:lang w:eastAsia="ko-KR"/>
        </w:rPr>
        <w:t>Buenos Aires</w:t>
      </w:r>
      <w:r w:rsidRPr="00511E8D">
        <w:t xml:space="preserve">, </w:t>
      </w:r>
      <w:r w:rsidRPr="00511E8D">
        <w:rPr>
          <w:lang w:eastAsia="ko-KR"/>
        </w:rPr>
        <w:t>2017</w:t>
      </w:r>
      <w:r w:rsidRPr="00511E8D">
        <w:t xml:space="preserve">), </w:t>
      </w:r>
      <w:r w:rsidRPr="000C1AD7">
        <w:t xml:space="preserve">of the World Telecommunication Development Conference on </w:t>
      </w:r>
      <w:r w:rsidRPr="00511E8D">
        <w:t>“Assistance in implementing International Mobile Telecommunications (IMT) and future networks</w:t>
      </w:r>
      <w:proofErr w:type="gramStart"/>
      <w:r w:rsidRPr="00511E8D">
        <w:t>”</w:t>
      </w:r>
      <w:r w:rsidRPr="000C1AD7">
        <w:t>;</w:t>
      </w:r>
      <w:proofErr w:type="gramEnd"/>
      <w:r w:rsidRPr="00511E8D">
        <w:t xml:space="preserve"> </w:t>
      </w:r>
    </w:p>
    <w:p w14:paraId="5795AF2A" w14:textId="77777777" w:rsidR="008A1219" w:rsidRPr="00511E8D" w:rsidRDefault="008A1219" w:rsidP="00EF575A">
      <w:pPr>
        <w:jc w:val="both"/>
      </w:pPr>
      <w:r w:rsidRPr="00511E8D">
        <w:rPr>
          <w:i/>
          <w:iCs/>
        </w:rPr>
        <w:t>e)</w:t>
      </w:r>
      <w:r w:rsidRPr="00511E8D">
        <w:tab/>
        <w:t xml:space="preserve">ITU-T Recommendations and ongoing work items that are relevant to this </w:t>
      </w:r>
      <w:proofErr w:type="gramStart"/>
      <w:r w:rsidRPr="00511E8D">
        <w:t>work;</w:t>
      </w:r>
      <w:proofErr w:type="gramEnd"/>
    </w:p>
    <w:p w14:paraId="246DBAA5" w14:textId="77777777" w:rsidR="008A1219" w:rsidRPr="00511E8D" w:rsidRDefault="008A1219" w:rsidP="00EF575A">
      <w:pPr>
        <w:jc w:val="both"/>
      </w:pPr>
      <w:r w:rsidRPr="00511E8D">
        <w:rPr>
          <w:i/>
          <w:iCs/>
        </w:rPr>
        <w:t>f)</w:t>
      </w:r>
      <w:r w:rsidRPr="00511E8D">
        <w:tab/>
        <w:t xml:space="preserve">the potential increase in </w:t>
      </w:r>
      <w:r w:rsidRPr="00511E8D">
        <w:rPr>
          <w:lang w:eastAsia="ko-KR"/>
        </w:rPr>
        <w:t>the pace</w:t>
      </w:r>
      <w:r w:rsidRPr="00511E8D">
        <w:t xml:space="preserve"> of deployment and provision of </w:t>
      </w:r>
      <w:r w:rsidRPr="00511E8D">
        <w:rPr>
          <w:lang w:eastAsia="ko-KR"/>
        </w:rPr>
        <w:t>broadband communications</w:t>
      </w:r>
      <w:r w:rsidRPr="00511E8D">
        <w:t xml:space="preserve"> services in the developing countries </w:t>
      </w:r>
      <w:proofErr w:type="gramStart"/>
      <w:r w:rsidRPr="00511E8D">
        <w:t>through the use of</w:t>
      </w:r>
      <w:proofErr w:type="gramEnd"/>
      <w:r w:rsidRPr="00511E8D">
        <w:t xml:space="preserve"> </w:t>
      </w:r>
      <w:r w:rsidRPr="00511E8D">
        <w:rPr>
          <w:lang w:eastAsia="ja-JP"/>
        </w:rPr>
        <w:t xml:space="preserve">cost-effective </w:t>
      </w:r>
      <w:r w:rsidRPr="00511E8D">
        <w:t>wireless access technolog</w:t>
      </w:r>
      <w:r w:rsidRPr="00511E8D">
        <w:rPr>
          <w:lang w:eastAsia="ko-KR"/>
        </w:rPr>
        <w:t>ies</w:t>
      </w:r>
      <w:r w:rsidRPr="00511E8D">
        <w:rPr>
          <w:lang w:eastAsia="ja-JP"/>
        </w:rPr>
        <w:t xml:space="preserve"> including IMT for both fixed and mobile users,</w:t>
      </w:r>
    </w:p>
    <w:p w14:paraId="209E245C" w14:textId="77777777" w:rsidR="008A1219" w:rsidRPr="005B2D6A" w:rsidRDefault="008A1219" w:rsidP="00EF575A">
      <w:pPr>
        <w:pStyle w:val="Calltimesnewroman"/>
        <w:jc w:val="both"/>
        <w:rPr>
          <w:i w:val="0"/>
          <w:iCs/>
          <w:lang w:val="en-GB"/>
        </w:rPr>
      </w:pPr>
      <w:r w:rsidRPr="005B2D6A">
        <w:rPr>
          <w:i w:val="0"/>
          <w:iCs/>
        </w:rPr>
        <w:t>decides</w:t>
      </w:r>
      <w:r w:rsidRPr="005B2D6A">
        <w:rPr>
          <w:i w:val="0"/>
          <w:iCs/>
          <w:lang w:val="en-GB"/>
        </w:rPr>
        <w:t xml:space="preserve"> that the following Question should be studied:</w:t>
      </w:r>
    </w:p>
    <w:p w14:paraId="6DE59DC8" w14:textId="77777777" w:rsidR="008A1219" w:rsidRPr="00511E8D" w:rsidRDefault="008A1219" w:rsidP="00EF575A">
      <w:pPr>
        <w:jc w:val="both"/>
      </w:pPr>
      <w:r w:rsidRPr="00511E8D">
        <w:rPr>
          <w:lang w:eastAsia="ja-JP"/>
        </w:rPr>
        <w:t xml:space="preserve">What are the optimal technical and operational characteristics for the terrestrial component of </w:t>
      </w:r>
      <w:r w:rsidRPr="00511E8D">
        <w:t>IMT to meet the need</w:t>
      </w:r>
      <w:r w:rsidRPr="00511E8D">
        <w:rPr>
          <w:lang w:eastAsia="ko-KR"/>
        </w:rPr>
        <w:t>s</w:t>
      </w:r>
      <w:r w:rsidRPr="00511E8D">
        <w:t xml:space="preserve"> of developing countries for cost effective broadband access to the global telecommunication networks? </w:t>
      </w:r>
    </w:p>
    <w:p w14:paraId="1CE302FC" w14:textId="77777777" w:rsidR="008A1219" w:rsidRPr="00511E8D" w:rsidRDefault="008A1219" w:rsidP="00EF575A">
      <w:pPr>
        <w:keepNext/>
        <w:keepLines/>
        <w:jc w:val="both"/>
      </w:pPr>
      <w:r w:rsidRPr="00511E8D">
        <w:t xml:space="preserve">NOTE 1 – </w:t>
      </w:r>
      <w:r w:rsidRPr="00511E8D">
        <w:rPr>
          <w:lang w:eastAsia="ja-JP"/>
        </w:rPr>
        <w:t xml:space="preserve">In carrying out the above study, </w:t>
      </w:r>
      <w:r w:rsidRPr="00511E8D">
        <w:t>particular attention should be given to the following items:</w:t>
      </w:r>
    </w:p>
    <w:p w14:paraId="4BF644CE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a)</w:t>
      </w:r>
      <w:r w:rsidRPr="00511E8D">
        <w:tab/>
        <w:t xml:space="preserve">the need to provide an economical, reliable and high-quality telecommunication </w:t>
      </w:r>
      <w:proofErr w:type="gramStart"/>
      <w:r w:rsidRPr="00511E8D">
        <w:t>infrastructure;</w:t>
      </w:r>
      <w:proofErr w:type="gramEnd"/>
    </w:p>
    <w:p w14:paraId="41BA62B6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b)</w:t>
      </w:r>
      <w:r w:rsidRPr="00511E8D">
        <w:tab/>
        <w:t xml:space="preserve">the need for modular design (easily expandable) for both hardware and software, and simple and low-cost terminals allowing flexible growth of number of users and coverage </w:t>
      </w:r>
      <w:proofErr w:type="gramStart"/>
      <w:r w:rsidRPr="00511E8D">
        <w:t>areas;</w:t>
      </w:r>
      <w:proofErr w:type="gramEnd"/>
    </w:p>
    <w:p w14:paraId="2669ABB9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c)</w:t>
      </w:r>
      <w:r w:rsidRPr="00511E8D">
        <w:tab/>
      </w:r>
      <w:r w:rsidRPr="00B90595">
        <w:rPr>
          <w:spacing w:val="-4"/>
        </w:rPr>
        <w:t xml:space="preserve">the evolution and demand for the applications provided by the </w:t>
      </w:r>
      <w:r w:rsidRPr="00B90595">
        <w:rPr>
          <w:spacing w:val="-4"/>
          <w:lang w:eastAsia="ja-JP"/>
        </w:rPr>
        <w:t xml:space="preserve">terrestrial component of </w:t>
      </w:r>
      <w:proofErr w:type="gramStart"/>
      <w:r w:rsidRPr="00B90595">
        <w:rPr>
          <w:spacing w:val="-4"/>
        </w:rPr>
        <w:t>IMT;</w:t>
      </w:r>
      <w:proofErr w:type="gramEnd"/>
    </w:p>
    <w:p w14:paraId="3EED9640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d)</w:t>
      </w:r>
      <w:r w:rsidRPr="00511E8D">
        <w:tab/>
        <w:t xml:space="preserve">harmonized and efficient use of frequency bands </w:t>
      </w:r>
      <w:r w:rsidRPr="00511E8D">
        <w:rPr>
          <w:rFonts w:eastAsia="Malgun Gothic"/>
        </w:rPr>
        <w:t xml:space="preserve">for urban, rural and remote areas </w:t>
      </w:r>
      <w:r w:rsidRPr="00511E8D">
        <w:t xml:space="preserve">to the extent </w:t>
      </w:r>
      <w:proofErr w:type="gramStart"/>
      <w:r w:rsidRPr="00511E8D">
        <w:t>possible;</w:t>
      </w:r>
      <w:proofErr w:type="gramEnd"/>
    </w:p>
    <w:p w14:paraId="3BA9D803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e)</w:t>
      </w:r>
      <w:r w:rsidRPr="00511E8D">
        <w:tab/>
        <w:t xml:space="preserve">propagation phenomena and associated conditions in these </w:t>
      </w:r>
      <w:proofErr w:type="gramStart"/>
      <w:r w:rsidRPr="00511E8D">
        <w:t>areas;</w:t>
      </w:r>
      <w:proofErr w:type="gramEnd"/>
    </w:p>
    <w:p w14:paraId="7DD0BEDB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lastRenderedPageBreak/>
        <w:t>f)</w:t>
      </w:r>
      <w:r w:rsidRPr="00511E8D">
        <w:tab/>
        <w:t xml:space="preserve">the possibility of using the equipment in a variety of environments including extremes of heat and cold, high humidity, dust, corrosive atmospheres and other environment </w:t>
      </w:r>
      <w:proofErr w:type="gramStart"/>
      <w:r w:rsidRPr="00511E8D">
        <w:t>hazards;</w:t>
      </w:r>
      <w:proofErr w:type="gramEnd"/>
    </w:p>
    <w:p w14:paraId="4C36DA9C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g)</w:t>
      </w:r>
      <w:r w:rsidRPr="00511E8D">
        <w:rPr>
          <w:i/>
          <w:iCs/>
        </w:rPr>
        <w:tab/>
      </w:r>
      <w:r w:rsidRPr="000C1AD7">
        <w:t xml:space="preserve">approaches and experiences of administrations in implementing the terrestrial component of IMT in various frequency ranges and various </w:t>
      </w:r>
      <w:proofErr w:type="gramStart"/>
      <w:r w:rsidRPr="000C1AD7">
        <w:t>environments;</w:t>
      </w:r>
      <w:proofErr w:type="gramEnd"/>
      <w:r w:rsidRPr="00511E8D">
        <w:rPr>
          <w:i/>
          <w:iCs/>
        </w:rPr>
        <w:t xml:space="preserve"> </w:t>
      </w:r>
    </w:p>
    <w:p w14:paraId="6F6D60AB" w14:textId="77777777" w:rsidR="008A1219" w:rsidRPr="00511E8D" w:rsidRDefault="008A1219" w:rsidP="00EF575A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511E8D">
        <w:rPr>
          <w:i/>
          <w:iCs/>
        </w:rPr>
        <w:t>h)</w:t>
      </w:r>
      <w:r w:rsidRPr="00511E8D">
        <w:tab/>
        <w:t xml:space="preserve">the need for common access to emergency services supported through the </w:t>
      </w:r>
      <w:r w:rsidRPr="00511E8D">
        <w:rPr>
          <w:lang w:eastAsia="ja-JP"/>
        </w:rPr>
        <w:t xml:space="preserve">terrestrial component of </w:t>
      </w:r>
      <w:r w:rsidRPr="00511E8D">
        <w:t>IMT,</w:t>
      </w:r>
    </w:p>
    <w:p w14:paraId="522283B2" w14:textId="77777777" w:rsidR="008A1219" w:rsidRPr="00511E8D" w:rsidRDefault="008A1219" w:rsidP="00EF575A">
      <w:pPr>
        <w:pStyle w:val="Calltimesnewroman"/>
        <w:jc w:val="both"/>
      </w:pPr>
      <w:r w:rsidRPr="00511E8D">
        <w:t xml:space="preserve">further </w:t>
      </w:r>
      <w:proofErr w:type="gramStart"/>
      <w:r w:rsidRPr="00511E8D">
        <w:t>decides</w:t>
      </w:r>
      <w:proofErr w:type="gramEnd"/>
    </w:p>
    <w:p w14:paraId="11231C02" w14:textId="77777777" w:rsidR="008A1219" w:rsidRPr="00511E8D" w:rsidRDefault="008A1219" w:rsidP="00EF575A">
      <w:pPr>
        <w:jc w:val="both"/>
      </w:pPr>
      <w:r w:rsidRPr="00511E8D">
        <w:rPr>
          <w:bCs/>
        </w:rPr>
        <w:t>1</w:t>
      </w:r>
      <w:r w:rsidRPr="00511E8D">
        <w:tab/>
        <w:t xml:space="preserve">that the results of the above studies should be included in one or more Recommendations, Reports, or </w:t>
      </w:r>
      <w:proofErr w:type="gramStart"/>
      <w:r w:rsidRPr="00511E8D">
        <w:t>Handbooks</w:t>
      </w:r>
      <w:r w:rsidRPr="00511E8D">
        <w:rPr>
          <w:position w:val="6"/>
          <w:sz w:val="18"/>
        </w:rPr>
        <w:footnoteReference w:customMarkFollows="1" w:id="2"/>
        <w:t>1</w:t>
      </w:r>
      <w:r w:rsidRPr="00511E8D">
        <w:t>;</w:t>
      </w:r>
      <w:proofErr w:type="gramEnd"/>
    </w:p>
    <w:p w14:paraId="0AF63220" w14:textId="77777777" w:rsidR="008A1219" w:rsidRPr="00511E8D" w:rsidRDefault="008A1219" w:rsidP="00EF575A">
      <w:pPr>
        <w:jc w:val="both"/>
        <w:rPr>
          <w:lang w:eastAsia="ja-JP"/>
        </w:rPr>
      </w:pPr>
      <w:r w:rsidRPr="00511E8D">
        <w:rPr>
          <w:lang w:eastAsia="ja-JP"/>
        </w:rPr>
        <w:t>2</w:t>
      </w:r>
      <w:r w:rsidRPr="00511E8D">
        <w:rPr>
          <w:lang w:eastAsia="ja-JP"/>
        </w:rPr>
        <w:tab/>
        <w:t xml:space="preserve">that work on the above studies be brought to the attention of </w:t>
      </w:r>
      <w:r w:rsidRPr="00511E8D">
        <w:rPr>
          <w:lang w:eastAsia="ko-KR"/>
        </w:rPr>
        <w:t xml:space="preserve">the relevant </w:t>
      </w:r>
      <w:r w:rsidRPr="00511E8D">
        <w:t>ITU</w:t>
      </w:r>
      <w:r>
        <w:noBreakHyphen/>
      </w:r>
      <w:r w:rsidRPr="00511E8D">
        <w:t xml:space="preserve">D </w:t>
      </w:r>
      <w:r w:rsidRPr="00511E8D">
        <w:rPr>
          <w:lang w:eastAsia="ko-KR"/>
        </w:rPr>
        <w:t>and ITU</w:t>
      </w:r>
      <w:r>
        <w:rPr>
          <w:lang w:eastAsia="ko-KR"/>
        </w:rPr>
        <w:noBreakHyphen/>
      </w:r>
      <w:r w:rsidRPr="00511E8D">
        <w:rPr>
          <w:lang w:eastAsia="ko-KR"/>
        </w:rPr>
        <w:t>T</w:t>
      </w:r>
      <w:r w:rsidRPr="00511E8D">
        <w:t xml:space="preserve"> Study </w:t>
      </w:r>
      <w:proofErr w:type="gramStart"/>
      <w:r w:rsidRPr="00511E8D">
        <w:t>Groups;</w:t>
      </w:r>
      <w:proofErr w:type="gramEnd"/>
    </w:p>
    <w:p w14:paraId="21EDAE59" w14:textId="77777777" w:rsidR="008A1219" w:rsidRPr="00511E8D" w:rsidRDefault="008A1219" w:rsidP="00EF575A">
      <w:pPr>
        <w:jc w:val="both"/>
      </w:pPr>
      <w:r w:rsidRPr="00511E8D">
        <w:rPr>
          <w:bCs/>
        </w:rPr>
        <w:t>3</w:t>
      </w:r>
      <w:r w:rsidRPr="00511E8D">
        <w:tab/>
        <w:t xml:space="preserve">that the results of the above studies should be completed by </w:t>
      </w:r>
      <w:r w:rsidRPr="00511E8D">
        <w:rPr>
          <w:lang w:eastAsia="ko-KR"/>
        </w:rPr>
        <w:t>2027</w:t>
      </w:r>
      <w:r w:rsidRPr="00511E8D">
        <w:t>.</w:t>
      </w:r>
    </w:p>
    <w:p w14:paraId="1337310B" w14:textId="47141387" w:rsidR="00D80A65" w:rsidRPr="008A1219" w:rsidRDefault="008A1219" w:rsidP="00EF575A">
      <w:pPr>
        <w:spacing w:before="480"/>
        <w:jc w:val="both"/>
        <w:rPr>
          <w:i/>
          <w:iCs/>
          <w:highlight w:val="yellow"/>
        </w:rPr>
      </w:pPr>
      <w:r w:rsidRPr="00511E8D">
        <w:rPr>
          <w:lang w:eastAsia="ja-JP"/>
        </w:rPr>
        <w:t>Category:  S2</w:t>
      </w:r>
    </w:p>
    <w:sectPr w:rsidR="00D80A65" w:rsidRPr="008A1219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B39C74E" w14:textId="77777777" w:rsidR="008A1219" w:rsidRPr="003E6D43" w:rsidRDefault="008A1219" w:rsidP="008A1219">
      <w:pPr>
        <w:pStyle w:val="FootnoteText"/>
        <w:tabs>
          <w:tab w:val="left" w:pos="426"/>
        </w:tabs>
        <w:rPr>
          <w:szCs w:val="24"/>
        </w:rPr>
      </w:pPr>
      <w:r>
        <w:rPr>
          <w:rStyle w:val="FootnoteReference"/>
        </w:rPr>
        <w:t>*</w:t>
      </w:r>
      <w:r w:rsidRPr="002D215C">
        <w:rPr>
          <w:szCs w:val="16"/>
        </w:rPr>
        <w:t xml:space="preserve"> </w:t>
      </w:r>
      <w:r w:rsidRPr="00F52C16">
        <w:rPr>
          <w:sz w:val="28"/>
        </w:rPr>
        <w:tab/>
      </w:r>
      <w:r w:rsidRPr="008C2DC8">
        <w:rPr>
          <w:szCs w:val="32"/>
        </w:rPr>
        <w:t>This Question should be brought to the attention of Radiocommunication Study Group 3, Telecommunication Standardization Study Group </w:t>
      </w:r>
      <w:proofErr w:type="gramStart"/>
      <w:r w:rsidRPr="008C2DC8">
        <w:rPr>
          <w:szCs w:val="32"/>
        </w:rPr>
        <w:t>13</w:t>
      </w:r>
      <w:proofErr w:type="gramEnd"/>
      <w:r w:rsidRPr="008C2DC8">
        <w:rPr>
          <w:szCs w:val="32"/>
        </w:rPr>
        <w:t xml:space="preserve"> and Telecommunication Development Study Group 1.</w:t>
      </w:r>
    </w:p>
  </w:footnote>
  <w:footnote w:id="2">
    <w:p w14:paraId="629FB6C1" w14:textId="77777777" w:rsidR="008A1219" w:rsidRPr="00511E8D" w:rsidRDefault="008A1219" w:rsidP="008A1219">
      <w:pPr>
        <w:pStyle w:val="FootnoteText"/>
        <w:rPr>
          <w:szCs w:val="24"/>
        </w:rPr>
      </w:pPr>
      <w:r w:rsidRPr="00511E8D">
        <w:rPr>
          <w:rStyle w:val="FootnoteReference"/>
        </w:rPr>
        <w:t>1</w:t>
      </w:r>
      <w:r w:rsidRPr="00511E8D">
        <w:t xml:space="preserve"> </w:t>
      </w:r>
      <w:r w:rsidRPr="00511E8D">
        <w:tab/>
      </w:r>
      <w:r w:rsidRPr="00511E8D">
        <w:rPr>
          <w:szCs w:val="32"/>
        </w:rPr>
        <w:t xml:space="preserve">The material developed </w:t>
      </w:r>
      <w:proofErr w:type="gramStart"/>
      <w:r w:rsidRPr="00511E8D">
        <w:rPr>
          <w:szCs w:val="32"/>
        </w:rPr>
        <w:t>as a result of</w:t>
      </w:r>
      <w:proofErr w:type="gramEnd"/>
      <w:r w:rsidRPr="00511E8D">
        <w:rPr>
          <w:szCs w:val="32"/>
        </w:rPr>
        <w:t xml:space="preserve"> the above may also be appropriate as an update of the </w:t>
      </w:r>
      <w:r w:rsidRPr="00511E8D">
        <w:rPr>
          <w:szCs w:val="32"/>
          <w:lang w:eastAsia="ja-JP"/>
        </w:rPr>
        <w:t xml:space="preserve">relevant </w:t>
      </w:r>
      <w:r w:rsidRPr="00511E8D">
        <w:rPr>
          <w:szCs w:val="32"/>
        </w:rPr>
        <w:t>Handbook</w:t>
      </w:r>
      <w:r w:rsidRPr="00511E8D">
        <w:rPr>
          <w:szCs w:val="32"/>
          <w:lang w:eastAsia="ja-JP"/>
        </w:rPr>
        <w:t>s</w:t>
      </w:r>
      <w:r w:rsidRPr="00511E8D">
        <w:rPr>
          <w:szCs w:val="32"/>
        </w:rPr>
        <w:t xml:space="preserve"> on</w:t>
      </w:r>
      <w:r w:rsidRPr="00511E8D">
        <w:rPr>
          <w:szCs w:val="32"/>
          <w:lang w:eastAsia="ja-JP"/>
        </w:rPr>
        <w:t xml:space="preserve"> IMT</w:t>
      </w:r>
      <w:r w:rsidRPr="00511E8D">
        <w:rPr>
          <w:szCs w:val="3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1219"/>
    <w:rsid w:val="008C2302"/>
    <w:rsid w:val="008C26B8"/>
    <w:rsid w:val="008F208F"/>
    <w:rsid w:val="00975B9C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EF575A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timesnewroman">
    <w:name w:val="Call + times new roman"/>
    <w:basedOn w:val="Normal"/>
    <w:rsid w:val="008A1219"/>
    <w:pPr>
      <w:keepNext/>
      <w:keepLines/>
      <w:spacing w:before="160"/>
      <w:ind w:left="1134"/>
    </w:pPr>
    <w:rPr>
      <w:rFonts w:eastAsiaTheme="minorEastAsia"/>
      <w:i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4</cp:revision>
  <cp:lastPrinted>2008-02-21T14:04:00Z</cp:lastPrinted>
  <dcterms:created xsi:type="dcterms:W3CDTF">2024-01-16T14:16:00Z</dcterms:created>
  <dcterms:modified xsi:type="dcterms:W3CDTF">2024-01-16T14:29:00Z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