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C0A4" w14:textId="6BBEEE8C" w:rsidR="002A3E42" w:rsidRPr="00820B46" w:rsidRDefault="002A3E42" w:rsidP="002A3E42">
      <w:pPr>
        <w:pStyle w:val="QuestionNo"/>
        <w:rPr>
          <w:sz w:val="18"/>
          <w:szCs w:val="18"/>
          <w:lang w:val="en-US"/>
        </w:rPr>
      </w:pPr>
      <w:r w:rsidRPr="002A3E42">
        <w:rPr>
          <w:sz w:val="24"/>
          <w:szCs w:val="24"/>
          <w:lang w:val="en-US"/>
        </w:rPr>
        <w:t>QUESTION ITU-R 62-2/5</w:t>
      </w:r>
      <w:r w:rsidR="00820B46">
        <w:rPr>
          <w:rStyle w:val="FootnoteReference"/>
          <w:szCs w:val="18"/>
          <w:vertAlign w:val="superscript"/>
          <w:lang w:val="en-US"/>
        </w:rPr>
        <w:footnoteReference w:customMarkFollows="1" w:id="1"/>
        <w:t>1</w:t>
      </w:r>
      <w:r w:rsidRPr="00820B46">
        <w:rPr>
          <w:sz w:val="18"/>
          <w:szCs w:val="18"/>
          <w:vertAlign w:val="superscript"/>
          <w:lang w:val="en-US"/>
        </w:rPr>
        <w:t>,</w:t>
      </w:r>
      <w:r w:rsidR="00942BBE">
        <w:rPr>
          <w:sz w:val="18"/>
          <w:szCs w:val="18"/>
          <w:vertAlign w:val="superscript"/>
          <w:lang w:val="en-US"/>
        </w:rPr>
        <w:t xml:space="preserve"> </w:t>
      </w:r>
      <w:r w:rsidR="00820B46">
        <w:rPr>
          <w:rStyle w:val="FootnoteReference"/>
          <w:szCs w:val="18"/>
          <w:vertAlign w:val="superscript"/>
          <w:lang w:val="en-US"/>
        </w:rPr>
        <w:footnoteReference w:customMarkFollows="1" w:id="2"/>
        <w:t>2</w:t>
      </w:r>
      <w:r w:rsidRPr="00820B46">
        <w:rPr>
          <w:sz w:val="18"/>
          <w:szCs w:val="18"/>
          <w:vertAlign w:val="superscript"/>
          <w:lang w:val="en-US"/>
        </w:rPr>
        <w:t>,</w:t>
      </w:r>
      <w:r w:rsidR="00942BBE">
        <w:rPr>
          <w:sz w:val="18"/>
          <w:szCs w:val="18"/>
          <w:vertAlign w:val="superscript"/>
          <w:lang w:val="en-US"/>
        </w:rPr>
        <w:t xml:space="preserve"> </w:t>
      </w:r>
      <w:r w:rsidR="00942BBE">
        <w:rPr>
          <w:rStyle w:val="FootnoteReference"/>
          <w:szCs w:val="18"/>
          <w:vertAlign w:val="superscript"/>
          <w:lang w:val="en-US"/>
        </w:rPr>
        <w:footnoteReference w:customMarkFollows="1" w:id="3"/>
        <w:t>3</w:t>
      </w:r>
    </w:p>
    <w:p w14:paraId="1CB003E9" w14:textId="77777777" w:rsidR="002A3E42" w:rsidRPr="002A3E42" w:rsidRDefault="002A3E42" w:rsidP="002A3E42">
      <w:pPr>
        <w:pStyle w:val="Questiontitle"/>
        <w:rPr>
          <w:rFonts w:ascii="Times New Roman" w:hAnsi="Times New Roman"/>
          <w:sz w:val="24"/>
          <w:szCs w:val="24"/>
        </w:rPr>
      </w:pPr>
      <w:r w:rsidRPr="002A3E42">
        <w:rPr>
          <w:rFonts w:ascii="Times New Roman" w:hAnsi="Times New Roman"/>
          <w:sz w:val="24"/>
          <w:szCs w:val="24"/>
        </w:rPr>
        <w:t>Interference to the aeronautical mobile and</w:t>
      </w:r>
      <w:r w:rsidRPr="002A3E42">
        <w:rPr>
          <w:rFonts w:ascii="Times New Roman" w:hAnsi="Times New Roman"/>
          <w:sz w:val="24"/>
          <w:szCs w:val="24"/>
        </w:rPr>
        <w:br/>
        <w:t>aeronautical radionavigation services</w:t>
      </w:r>
    </w:p>
    <w:p w14:paraId="2792BB31" w14:textId="77777777" w:rsidR="002A3E42" w:rsidRPr="002A3E42" w:rsidRDefault="002A3E42" w:rsidP="002A3E42">
      <w:pPr>
        <w:pStyle w:val="Questiondate"/>
        <w:rPr>
          <w:sz w:val="24"/>
          <w:szCs w:val="24"/>
        </w:rPr>
      </w:pPr>
      <w:r w:rsidRPr="002A3E42">
        <w:rPr>
          <w:sz w:val="24"/>
          <w:szCs w:val="24"/>
        </w:rPr>
        <w:t>(1982-1986-1990)</w:t>
      </w:r>
    </w:p>
    <w:p w14:paraId="432418F6" w14:textId="77777777" w:rsidR="002A3E42" w:rsidRPr="002A3E42" w:rsidRDefault="002A3E42" w:rsidP="002A3E42">
      <w:pPr>
        <w:pStyle w:val="Normalaftertitle0"/>
        <w:rPr>
          <w:szCs w:val="24"/>
        </w:rPr>
      </w:pPr>
      <w:r w:rsidRPr="002A3E42">
        <w:rPr>
          <w:szCs w:val="24"/>
        </w:rPr>
        <w:t>The ITU Radiocommunication Assembly,</w:t>
      </w:r>
    </w:p>
    <w:p w14:paraId="5ADE6281" w14:textId="77777777" w:rsidR="002A3E42" w:rsidRPr="002A3E42" w:rsidRDefault="002A3E42" w:rsidP="00820B46">
      <w:pPr>
        <w:pStyle w:val="Call"/>
      </w:pPr>
      <w:r w:rsidRPr="002A3E42">
        <w:t>considering</w:t>
      </w:r>
    </w:p>
    <w:p w14:paraId="2075DBD0" w14:textId="77777777" w:rsidR="002A3E42" w:rsidRPr="002A3E42" w:rsidRDefault="002A3E42" w:rsidP="00820B46">
      <w:r w:rsidRPr="00820B46">
        <w:rPr>
          <w:i/>
          <w:iCs/>
        </w:rPr>
        <w:t>a)</w:t>
      </w:r>
      <w:r w:rsidRPr="002A3E42">
        <w:tab/>
        <w:t>that the aeronautical radionavigation service is a safety service;</w:t>
      </w:r>
    </w:p>
    <w:p w14:paraId="647E7215" w14:textId="77777777" w:rsidR="002A3E42" w:rsidRPr="002A3E42" w:rsidRDefault="002A3E42" w:rsidP="00820B46">
      <w:r w:rsidRPr="00820B46">
        <w:rPr>
          <w:i/>
          <w:iCs/>
        </w:rPr>
        <w:t>b)</w:t>
      </w:r>
      <w:r w:rsidRPr="002A3E42">
        <w:tab/>
        <w:t>the increasing concern being expressed over the degree of control of harmful interference to the aeronautical mobile and aeronautical radionavigation services;</w:t>
      </w:r>
    </w:p>
    <w:p w14:paraId="61EB8052" w14:textId="77777777" w:rsidR="002A3E42" w:rsidRPr="002A3E42" w:rsidRDefault="002A3E42" w:rsidP="00820B46">
      <w:r w:rsidRPr="00820B46">
        <w:rPr>
          <w:i/>
          <w:iCs/>
        </w:rPr>
        <w:t>c)</w:t>
      </w:r>
      <w:r w:rsidRPr="002A3E42">
        <w:tab/>
        <w:t>that the types of radiation which can cause harmful interference can differ widely depending on the particular technical and operational characteristics of the services involved;</w:t>
      </w:r>
    </w:p>
    <w:p w14:paraId="22A6AAD3" w14:textId="77777777" w:rsidR="002A3E42" w:rsidRPr="002A3E42" w:rsidRDefault="002A3E42" w:rsidP="00820B46">
      <w:r w:rsidRPr="00820B46">
        <w:rPr>
          <w:i/>
          <w:iCs/>
        </w:rPr>
        <w:t>d)</w:t>
      </w:r>
      <w:r w:rsidRPr="002A3E42">
        <w:tab/>
        <w:t>that it may be possible in some cases to identify in detail the characteristics of the interfering radiation;</w:t>
      </w:r>
    </w:p>
    <w:p w14:paraId="6EF41CBE" w14:textId="77777777" w:rsidR="002A3E42" w:rsidRPr="002A3E42" w:rsidRDefault="002A3E42" w:rsidP="00820B46">
      <w:r w:rsidRPr="00820B46">
        <w:rPr>
          <w:i/>
          <w:iCs/>
        </w:rPr>
        <w:t>e)</w:t>
      </w:r>
      <w:r w:rsidRPr="002A3E42">
        <w:tab/>
        <w:t>that the radiations from many of the potential sources of harmful interference are the subject of standards and measurement methods developed by the International Electrotechnical Commission (IEC) and the International Special Committee on Radio Interference (CISPR);</w:t>
      </w:r>
    </w:p>
    <w:p w14:paraId="25FF98CA" w14:textId="77777777" w:rsidR="002A3E42" w:rsidRPr="002A3E42" w:rsidRDefault="002A3E42" w:rsidP="00820B46">
      <w:r w:rsidRPr="00820B46">
        <w:rPr>
          <w:i/>
          <w:iCs/>
        </w:rPr>
        <w:t>f)</w:t>
      </w:r>
      <w:r w:rsidRPr="002A3E42">
        <w:tab/>
        <w:t>that the practical control of harmful interference often needs to be effected by the national legislation of individual Administrations and it is common for the above-mentioned IEC/CISPR standards and measurement methods to be adopted in this context;</w:t>
      </w:r>
    </w:p>
    <w:p w14:paraId="59954949" w14:textId="77777777" w:rsidR="002A3E42" w:rsidRPr="002A3E42" w:rsidRDefault="002A3E42" w:rsidP="002A3E42">
      <w:pPr>
        <w:rPr>
          <w:szCs w:val="24"/>
        </w:rPr>
      </w:pPr>
      <w:r w:rsidRPr="00820B46">
        <w:rPr>
          <w:i/>
          <w:iCs/>
          <w:szCs w:val="24"/>
        </w:rPr>
        <w:t>g)</w:t>
      </w:r>
      <w:r w:rsidRPr="002A3E42">
        <w:rPr>
          <w:szCs w:val="24"/>
        </w:rPr>
        <w:tab/>
        <w:t>that there would be considerable practical advantages if there were a better understanding of the relationships between these IEC/CISPR test and measurement standards and the protection criteria for these services,</w:t>
      </w:r>
    </w:p>
    <w:p w14:paraId="4F294F6F" w14:textId="77777777" w:rsidR="002A3E42" w:rsidRPr="002A3E42" w:rsidRDefault="002A3E42" w:rsidP="00820B46">
      <w:pPr>
        <w:pStyle w:val="Call"/>
        <w:rPr>
          <w:szCs w:val="24"/>
        </w:rPr>
      </w:pPr>
      <w:r w:rsidRPr="002A3E42">
        <w:rPr>
          <w:szCs w:val="24"/>
        </w:rPr>
        <w:t xml:space="preserve">decides </w:t>
      </w:r>
      <w:r w:rsidRPr="002A3E42">
        <w:rPr>
          <w:i w:val="0"/>
          <w:szCs w:val="24"/>
        </w:rPr>
        <w:t>that the following Questions should be studied</w:t>
      </w:r>
    </w:p>
    <w:p w14:paraId="7ED92DF6" w14:textId="77777777" w:rsidR="002A3E42" w:rsidRPr="002A3E42" w:rsidRDefault="002A3E42" w:rsidP="002A3E42">
      <w:pPr>
        <w:rPr>
          <w:szCs w:val="24"/>
        </w:rPr>
      </w:pPr>
      <w:r w:rsidRPr="00820B46">
        <w:rPr>
          <w:bCs/>
          <w:szCs w:val="24"/>
        </w:rPr>
        <w:t>1</w:t>
      </w:r>
      <w:r w:rsidRPr="002A3E42">
        <w:rPr>
          <w:szCs w:val="24"/>
        </w:rPr>
        <w:tab/>
        <w:t>Are the IEC and the CISPR recommended limits and measurement methods adequate for the protection of these aeronautical services?</w:t>
      </w:r>
    </w:p>
    <w:p w14:paraId="6CC531FF" w14:textId="77777777" w:rsidR="002A3E42" w:rsidRPr="002A3E42" w:rsidRDefault="002A3E42" w:rsidP="002A3E42">
      <w:pPr>
        <w:rPr>
          <w:szCs w:val="24"/>
        </w:rPr>
      </w:pPr>
      <w:r w:rsidRPr="00820B46">
        <w:rPr>
          <w:bCs/>
          <w:szCs w:val="24"/>
        </w:rPr>
        <w:t>2</w:t>
      </w:r>
      <w:r w:rsidRPr="002A3E42">
        <w:rPr>
          <w:szCs w:val="24"/>
        </w:rPr>
        <w:tab/>
        <w:t>What methods can be recommended for stating detailed protection criteria taking into account the cumulative effects of interference, including that caused by other radio services, information technology and industrial, scientific and medical equipment (ISM)?</w:t>
      </w:r>
    </w:p>
    <w:p w14:paraId="641BF8BF" w14:textId="2E286FEC" w:rsidR="002A3E42" w:rsidRPr="002A3E42" w:rsidRDefault="002A3E42" w:rsidP="002A3E42">
      <w:pPr>
        <w:pStyle w:val="Call"/>
        <w:rPr>
          <w:szCs w:val="24"/>
        </w:rPr>
      </w:pPr>
      <w:r w:rsidRPr="002A3E42">
        <w:rPr>
          <w:szCs w:val="24"/>
        </w:rPr>
        <w:t>further decides</w:t>
      </w:r>
    </w:p>
    <w:p w14:paraId="2022B3FF" w14:textId="77777777" w:rsidR="002A3E42" w:rsidRPr="002A3E42" w:rsidRDefault="002A3E42" w:rsidP="002A3E42">
      <w:pPr>
        <w:rPr>
          <w:szCs w:val="24"/>
        </w:rPr>
      </w:pPr>
      <w:r w:rsidRPr="002A3E42">
        <w:rPr>
          <w:b/>
          <w:bCs/>
          <w:szCs w:val="24"/>
        </w:rPr>
        <w:t>1</w:t>
      </w:r>
      <w:r w:rsidRPr="002A3E42">
        <w:rPr>
          <w:szCs w:val="24"/>
        </w:rPr>
        <w:tab/>
        <w:t>that the results of the above studies should be included in one or more Recommendations, Reports, or Handbooks;</w:t>
      </w:r>
    </w:p>
    <w:p w14:paraId="6E5FF3BC" w14:textId="19D2C56E" w:rsidR="002A3E42" w:rsidRPr="002A3E42" w:rsidRDefault="002A3E42" w:rsidP="002A3E42">
      <w:pPr>
        <w:rPr>
          <w:szCs w:val="24"/>
        </w:rPr>
      </w:pPr>
      <w:r w:rsidRPr="002A3E42">
        <w:rPr>
          <w:b/>
          <w:bCs/>
          <w:szCs w:val="24"/>
        </w:rPr>
        <w:t>2</w:t>
      </w:r>
      <w:r w:rsidRPr="002A3E42">
        <w:rPr>
          <w:szCs w:val="24"/>
        </w:rPr>
        <w:tab/>
        <w:t>the above studies should be completed by 202</w:t>
      </w:r>
      <w:r w:rsidR="00942BBE">
        <w:rPr>
          <w:szCs w:val="24"/>
        </w:rPr>
        <w:t>7</w:t>
      </w:r>
      <w:r w:rsidRPr="002A3E42">
        <w:rPr>
          <w:szCs w:val="24"/>
        </w:rPr>
        <w:t>.</w:t>
      </w:r>
    </w:p>
    <w:p w14:paraId="721652AE" w14:textId="1146B3F3" w:rsidR="002A3E42" w:rsidRPr="002A3E42" w:rsidRDefault="002A3E42" w:rsidP="00942BBE">
      <w:pPr>
        <w:spacing w:before="360"/>
        <w:rPr>
          <w:szCs w:val="24"/>
          <w:lang w:eastAsia="ja-JP"/>
        </w:rPr>
      </w:pPr>
      <w:r w:rsidRPr="002A3E42">
        <w:rPr>
          <w:szCs w:val="24"/>
        </w:rPr>
        <w:t>Category:</w:t>
      </w:r>
      <w:r w:rsidR="00942BBE">
        <w:rPr>
          <w:szCs w:val="24"/>
        </w:rPr>
        <w:tab/>
      </w:r>
      <w:r w:rsidRPr="002A3E42">
        <w:rPr>
          <w:szCs w:val="24"/>
        </w:rPr>
        <w:t>S</w:t>
      </w:r>
      <w:r w:rsidRPr="002A3E42">
        <w:rPr>
          <w:szCs w:val="24"/>
          <w:lang w:eastAsia="ja-JP"/>
        </w:rPr>
        <w:t>2</w:t>
      </w:r>
    </w:p>
    <w:sectPr w:rsidR="002A3E42" w:rsidRPr="002A3E42"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544E8801" w14:textId="77722303" w:rsidR="00820B46" w:rsidRDefault="00820B46" w:rsidP="00820B46">
      <w:pPr>
        <w:pStyle w:val="FootnoteText"/>
        <w:ind w:left="255" w:hanging="255"/>
      </w:pPr>
      <w:r>
        <w:rPr>
          <w:rStyle w:val="FootnoteReference"/>
        </w:rPr>
        <w:t>1</w:t>
      </w:r>
      <w:r>
        <w:t xml:space="preserve"> </w:t>
      </w:r>
      <w:r>
        <w:tab/>
        <w:t>This Question should be brought to the attention of the International Civil Aviation Organization (ICAO), the International Electrotechnical Commission (IEC) and the International Special Committee on Radio Interference (CISPR). This Question should also be brought to the attention of Radiocommunication Study Group 1.</w:t>
      </w:r>
    </w:p>
  </w:footnote>
  <w:footnote w:id="2">
    <w:p w14:paraId="3B1C168B" w14:textId="1F55869E" w:rsidR="00820B46" w:rsidRPr="008F6225" w:rsidRDefault="00820B46" w:rsidP="002A3E42">
      <w:pPr>
        <w:pStyle w:val="FootnoteText"/>
        <w:rPr>
          <w:lang w:val="en-US"/>
        </w:rPr>
      </w:pPr>
      <w:r>
        <w:rPr>
          <w:rStyle w:val="FootnoteReference"/>
        </w:rPr>
        <w:t>2</w:t>
      </w:r>
      <w:r>
        <w:t xml:space="preserve"> </w:t>
      </w:r>
      <w:r>
        <w:rPr>
          <w:lang w:val="en-US"/>
        </w:rPr>
        <w:tab/>
      </w:r>
      <w:r w:rsidRPr="002A3E42">
        <w:rPr>
          <w:lang w:val="en-US"/>
        </w:rPr>
        <w:t>Former Question ITU-R 62-2/8.</w:t>
      </w:r>
    </w:p>
  </w:footnote>
  <w:footnote w:id="3">
    <w:p w14:paraId="16D25797" w14:textId="0607D927" w:rsidR="00942BBE" w:rsidRPr="00942BBE" w:rsidRDefault="00942BBE" w:rsidP="00942BBE">
      <w:pPr>
        <w:pStyle w:val="FootnoteText"/>
        <w:ind w:left="255" w:hanging="255"/>
        <w:rPr>
          <w:lang w:val="en-US"/>
        </w:rPr>
      </w:pPr>
      <w:r>
        <w:rPr>
          <w:rStyle w:val="FootnoteReference"/>
        </w:rPr>
        <w:t>3</w:t>
      </w:r>
      <w:r>
        <w:tab/>
      </w:r>
      <w:r w:rsidRPr="00171A89">
        <w:t>In the year 20</w:t>
      </w:r>
      <w:r>
        <w:t>23</w:t>
      </w:r>
      <w:r w:rsidRPr="00171A89">
        <w:t>, Radiocommunication Study Group 5 extended the completion date of studies for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3E42"/>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0B46"/>
    <w:rsid w:val="00822581"/>
    <w:rsid w:val="008309DD"/>
    <w:rsid w:val="0083227A"/>
    <w:rsid w:val="00866900"/>
    <w:rsid w:val="00876A8A"/>
    <w:rsid w:val="00881BA1"/>
    <w:rsid w:val="008C2302"/>
    <w:rsid w:val="008C26B8"/>
    <w:rsid w:val="008F208F"/>
    <w:rsid w:val="00942BBE"/>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uiPriority w:val="99"/>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call0">
    <w:name w:val="call"/>
    <w:basedOn w:val="Normal"/>
    <w:next w:val="Normal"/>
    <w:rsid w:val="002A3E4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FD82-3255-42F7-9357-585E64CB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2</Pages>
  <Words>298</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3</cp:revision>
  <cp:lastPrinted>2008-02-21T14:04:00Z</cp:lastPrinted>
  <dcterms:created xsi:type="dcterms:W3CDTF">2023-11-08T10:34:00Z</dcterms:created>
  <dcterms:modified xsi:type="dcterms:W3CDTF">2023-11-08T10:47:00Z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