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EEEB" w14:textId="77777777" w:rsidR="00610C4B" w:rsidRPr="00610C4B" w:rsidRDefault="00610C4B" w:rsidP="00610C4B">
      <w:pPr>
        <w:pStyle w:val="QuestionNo"/>
        <w:rPr>
          <w:rStyle w:val="FootnoteReference"/>
        </w:rPr>
      </w:pPr>
      <w:r w:rsidRPr="00927AF0">
        <w:rPr>
          <w:lang w:eastAsia="ja-JP"/>
        </w:rPr>
        <w:t>CUESTIÓN uIT-R 48-7/5</w:t>
      </w:r>
      <w:r w:rsidRPr="00610C4B">
        <w:rPr>
          <w:rStyle w:val="FootnoteReference"/>
        </w:rPr>
        <w:footnoteReference w:id="1"/>
      </w:r>
    </w:p>
    <w:p w14:paraId="1A899E71" w14:textId="77777777" w:rsidR="00610C4B" w:rsidRPr="00927AF0" w:rsidRDefault="00610C4B" w:rsidP="00610C4B">
      <w:pPr>
        <w:pStyle w:val="Questiontitle"/>
        <w:rPr>
          <w:lang w:eastAsia="ja-JP"/>
        </w:rPr>
      </w:pPr>
      <w:r w:rsidRPr="00927AF0">
        <w:rPr>
          <w:lang w:eastAsia="ja-JP"/>
        </w:rPr>
        <w:t xml:space="preserve">Técnicas y utilización de frecuencias en los servicios de </w:t>
      </w:r>
      <w:r w:rsidRPr="00927AF0">
        <w:rPr>
          <w:lang w:eastAsia="ja-JP"/>
        </w:rPr>
        <w:br/>
        <w:t>aficionados y aficionados por satélite</w:t>
      </w:r>
    </w:p>
    <w:p w14:paraId="2C900C33" w14:textId="77777777" w:rsidR="00610C4B" w:rsidRPr="001A12BF" w:rsidRDefault="00610C4B" w:rsidP="00610C4B">
      <w:pPr>
        <w:pStyle w:val="Questiondate"/>
        <w:rPr>
          <w:i/>
          <w:lang w:val="es-ES" w:eastAsia="zh-CN"/>
        </w:rPr>
      </w:pPr>
      <w:r w:rsidRPr="001A12BF">
        <w:rPr>
          <w:lang w:val="es-ES" w:eastAsia="zh-CN"/>
        </w:rPr>
        <w:t>(1978-1982-1990-1993-1998-2003-2007-2015)</w:t>
      </w:r>
    </w:p>
    <w:p w14:paraId="2D30CE61" w14:textId="77777777" w:rsidR="00610C4B" w:rsidRPr="00927AF0" w:rsidRDefault="00610C4B" w:rsidP="00610C4B">
      <w:pPr>
        <w:spacing w:before="320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>La Asamblea de Radiocomunicaciones de la UIT,</w:t>
      </w:r>
    </w:p>
    <w:p w14:paraId="446A2E83" w14:textId="77777777" w:rsidR="00610C4B" w:rsidRPr="00927AF0" w:rsidRDefault="00610C4B" w:rsidP="00610C4B">
      <w:pPr>
        <w:pStyle w:val="Call"/>
      </w:pPr>
      <w:r w:rsidRPr="00927AF0">
        <w:t>considerando</w:t>
      </w:r>
    </w:p>
    <w:p w14:paraId="3887382C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/>
        </w:rPr>
        <w:t>a)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el Reglamento de Radiocomunicaciones define un servicio de aficionados y un servicio de aficionados por satélite, les atribuye frecuencias con carácter exclusivo o compartido y estipula el cese de las emisiones de los satélites de aficionados;</w:t>
      </w:r>
    </w:p>
    <w:p w14:paraId="3682CEFF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/>
        </w:rPr>
        <w:t>b)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los servicios de aficionados y aficionados por satélite constituyen un beneficioso instrumento de formación individual, de intercomunicación y de estudios técnicos para los aficionados, esto es, para las personas debidamente calificadas y autorizadas de todo el mundo que se interesan en las técnicas radioeléctricas únicamente para mejorar sus conocimientos personales e intercambiar información sin fines de lucro;</w:t>
      </w:r>
    </w:p>
    <w:p w14:paraId="534BCC66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/>
        </w:rPr>
        <w:t>c)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paralelamente a sus objetivos básicos, los servicios de aficionados y aficionados por satélite asumen también una función precursora de nuevas técnicas de recepción y transmisión radioeléctricas, utilizando equipos poco costosos con antenas relativamente pequeñas;</w:t>
      </w:r>
    </w:p>
    <w:p w14:paraId="1DED5500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/>
        </w:rPr>
        <w:t>d)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ciertos factores dependientes de la frecuencia, determinan en gran medida la eficacia de las radiocomunicaciones en los servicios de aficionados y aficionados por satélite;</w:t>
      </w:r>
    </w:p>
    <w:p w14:paraId="34E2A2B7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2157FB">
        <w:rPr>
          <w:rFonts w:ascii="Times New Roman" w:hAnsi="Times New Roman" w:cs="Times New Roman"/>
          <w:i/>
          <w:iCs/>
          <w:szCs w:val="24"/>
          <w:lang w:val="es-ES_tradnl"/>
        </w:rPr>
        <w:t>e)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el servicio de aficionados y el servicio de aficionados por satélite siguen contribuyendo considerablemente a la observación y comprensión de los fenómenos de propagación y a las técnicas que explotan estos fenómenos;</w:t>
      </w:r>
    </w:p>
    <w:p w14:paraId="7589056B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/>
        </w:rPr>
        <w:t>f)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los operadores de estaciones de los servicios de aficionados y de aficionados por satélite siguen contribuyendo al desarrollo y la experimentación de técnicas que permiten un uso económico del espectro;</w:t>
      </w:r>
    </w:p>
    <w:p w14:paraId="24A1C9E4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/>
        </w:rPr>
        <w:t>g)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los servicios de aficionados y de aficionados por satélite proporcionan telecomunicaciones en caso de desastres naturales y otras catástrofes a causa de las cuales se interrumpen temporalmente los servicios normales de telecomunicación o son insuficientes para las operaciones de socorro, mientras se reparan las instalaciones;</w:t>
      </w:r>
    </w:p>
    <w:p w14:paraId="6DCAF895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4"/>
          <w:lang w:val="es-ES_tradnl"/>
        </w:rPr>
        <w:t>h)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los servicios de aficionados y de aficionados por satélite contribuyen a la formación de operadores y personal técnico, lo cual va sobre todo en beneficio de los países en desarrollo,</w:t>
      </w:r>
    </w:p>
    <w:p w14:paraId="1EAF5448" w14:textId="77777777" w:rsidR="00610C4B" w:rsidRPr="00610C4B" w:rsidRDefault="00610C4B" w:rsidP="00610C4B">
      <w:pPr>
        <w:pStyle w:val="Call"/>
        <w:rPr>
          <w:rFonts w:asciiTheme="majorBidi" w:hAnsiTheme="majorBidi" w:cstheme="majorBidi"/>
          <w:i w:val="0"/>
          <w:iCs/>
        </w:rPr>
      </w:pPr>
      <w:r w:rsidRPr="00927AF0">
        <w:t xml:space="preserve">decide </w:t>
      </w:r>
      <w:r w:rsidRPr="00610C4B">
        <w:rPr>
          <w:i w:val="0"/>
          <w:iCs/>
        </w:rPr>
        <w:t>poner en estudio las siguientes Cuestiones</w:t>
      </w:r>
    </w:p>
    <w:p w14:paraId="47411437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bCs/>
          <w:szCs w:val="24"/>
          <w:lang w:val="es-ES_tradnl"/>
        </w:rPr>
        <w:t>1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¿Cuáles son las características técnicas y de explotación más convenientes de los futuros sistemas de los servicios de aficionados y de aficionados por satélite?</w:t>
      </w:r>
    </w:p>
    <w:p w14:paraId="26B15574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bCs/>
          <w:szCs w:val="24"/>
          <w:lang w:val="es-ES_tradnl"/>
        </w:rPr>
        <w:t>2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¿Qué técnicas, especialmente las que explotan estos fenómenos de propagación y conservan espectro, se aplican o están en curso de investigación a estos servicios?</w:t>
      </w:r>
    </w:p>
    <w:p w14:paraId="7C2803F3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lastRenderedPageBreak/>
        <w:t>3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¿Cuáles de estas técnicas podrían interesar a otros servicios?</w:t>
      </w:r>
    </w:p>
    <w:p w14:paraId="262C860D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bCs/>
          <w:szCs w:val="24"/>
          <w:lang w:val="es-ES_tradnl"/>
        </w:rPr>
        <w:t>4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¿De qué forma estos servicios pueden contribuir en mayor medida a la formación de operadores y técnicos en los países en desarrollo?</w:t>
      </w:r>
    </w:p>
    <w:p w14:paraId="151F7578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bCs/>
          <w:szCs w:val="24"/>
          <w:lang w:val="es-ES_tradnl"/>
        </w:rPr>
        <w:t>5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¿Cuáles son los criterios apropiados para la compartición de frecuencias entre estaciones de los servicios de aficionados y aficionados por satélite y entre los servicios de aficionados y aficionados por satélite, con otros servicios de radiocomunicaciones?</w:t>
      </w:r>
    </w:p>
    <w:p w14:paraId="72EA40C7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bCs/>
          <w:szCs w:val="24"/>
          <w:lang w:val="es-ES_tradnl"/>
        </w:rPr>
        <w:t>6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¿Cuáles son las características técnicas y de explotación más idóneas de los sistemas de aficionados y de aficionados por satélite para realizar comunicaciones durante las catástrofes naturales?</w:t>
      </w:r>
    </w:p>
    <w:p w14:paraId="1FC3F760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bCs/>
          <w:szCs w:val="24"/>
          <w:lang w:val="es-ES_tradnl"/>
        </w:rPr>
        <w:t>7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¿Qué modificaciones se deben prever en su caso en las disposiciones sobre comunicación, características técnicas y calificación de los operadores del servicio de aficionados y de aficionados por satélite?</w:t>
      </w:r>
    </w:p>
    <w:p w14:paraId="3BF5D2B3" w14:textId="77777777" w:rsidR="00610C4B" w:rsidRPr="00927AF0" w:rsidRDefault="00610C4B" w:rsidP="00610C4B">
      <w:pPr>
        <w:pStyle w:val="Call"/>
      </w:pPr>
      <w:r w:rsidRPr="00927AF0">
        <w:t>decide también</w:t>
      </w:r>
    </w:p>
    <w:p w14:paraId="60A0F90A" w14:textId="77777777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bCs/>
          <w:szCs w:val="24"/>
          <w:lang w:val="es-ES_tradnl"/>
        </w:rPr>
        <w:t>1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los resultados de estos estudios se incluyan en una o varias Recomendaciones, Informes o Manuales;</w:t>
      </w:r>
    </w:p>
    <w:p w14:paraId="1A7ED093" w14:textId="10CF3C9C" w:rsidR="00610C4B" w:rsidRPr="00927AF0" w:rsidRDefault="00610C4B" w:rsidP="00610C4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bCs/>
          <w:szCs w:val="24"/>
          <w:lang w:val="es-ES_tradnl"/>
        </w:rPr>
        <w:t>2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dichos estudios se terminen en 20</w:t>
      </w:r>
      <w:r>
        <w:rPr>
          <w:rFonts w:ascii="Times New Roman" w:hAnsi="Times New Roman" w:cs="Times New Roman"/>
          <w:szCs w:val="24"/>
          <w:lang w:val="es-ES_tradnl"/>
        </w:rPr>
        <w:t>2</w:t>
      </w:r>
      <w:r w:rsidR="00EB31F0">
        <w:rPr>
          <w:rFonts w:ascii="Times New Roman" w:hAnsi="Times New Roman" w:cs="Times New Roman"/>
          <w:szCs w:val="24"/>
          <w:lang w:val="es-ES_tradnl"/>
        </w:rPr>
        <w:t>7</w:t>
      </w:r>
      <w:r w:rsidRPr="00927AF0">
        <w:rPr>
          <w:rFonts w:ascii="Times New Roman" w:hAnsi="Times New Roman" w:cs="Times New Roman"/>
          <w:szCs w:val="24"/>
          <w:lang w:val="es-ES_tradnl"/>
        </w:rPr>
        <w:t>.</w:t>
      </w:r>
    </w:p>
    <w:p w14:paraId="0E144603" w14:textId="77777777" w:rsidR="00610C4B" w:rsidRPr="00927AF0" w:rsidRDefault="00610C4B" w:rsidP="00610C4B">
      <w:pPr>
        <w:spacing w:before="360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>Categoría: S2</w:t>
      </w:r>
    </w:p>
    <w:p w14:paraId="3ACE93D1" w14:textId="77777777" w:rsidR="00610C4B" w:rsidRPr="007147A7" w:rsidRDefault="00610C4B" w:rsidP="00610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6F83AD42" w14:textId="232952FF" w:rsidR="00BA3F70" w:rsidRPr="00075D61" w:rsidRDefault="00BA3F70" w:rsidP="00075D61"/>
    <w:sectPr w:rsidR="00BA3F70" w:rsidRPr="00075D61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220991A5" w14:textId="28D1B874" w:rsidR="00610C4B" w:rsidRPr="00FF53A4" w:rsidRDefault="00610C4B" w:rsidP="00610C4B">
      <w:pPr>
        <w:pStyle w:val="FootnoteText"/>
        <w:rPr>
          <w:szCs w:val="24"/>
          <w:lang w:val="es-ES"/>
        </w:rPr>
      </w:pPr>
      <w:r>
        <w:rPr>
          <w:rStyle w:val="FootnoteReference"/>
        </w:rPr>
        <w:footnoteRef/>
      </w:r>
      <w:r>
        <w:rPr>
          <w:lang w:val="es-ES"/>
        </w:rPr>
        <w:tab/>
      </w:r>
      <w:r w:rsidRPr="00FF53A4">
        <w:rPr>
          <w:rFonts w:asciiTheme="majorBidi" w:hAnsiTheme="majorBidi" w:cstheme="majorBidi"/>
          <w:szCs w:val="24"/>
          <w:lang w:val="es-ES"/>
        </w:rPr>
        <w:t>En el año 2019, la Comisión de Estudio 5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0C4B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B31F0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C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ind w:left="1134" w:hanging="1134"/>
      <w:jc w:val="left"/>
      <w:outlineLvl w:val="0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rtheading">
    <w:name w:val="Art_heading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Times New Roman Bold" w:hAnsi="Times New Roman Bold" w:cs="Times New Roman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1134"/>
      <w:jc w:val="left"/>
    </w:pPr>
    <w:rPr>
      <w:rFonts w:ascii="Times New Roman" w:hAnsi="Times New Roman" w:cs="Times New Roman"/>
      <w:i/>
      <w:szCs w:val="20"/>
      <w:lang w:val="en-GB"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line="240" w:lineRule="auto"/>
      <w:ind w:left="1134" w:hanging="113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center" w:pos="4820"/>
        <w:tab w:val="right" w:pos="9639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4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ascii="Times New Roman" w:hAnsi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Note">
    <w:name w:val="Not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566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righ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righ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 w:hanging="113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ftitle">
    <w:name w:val="Ref_title"/>
    <w:basedOn w:val="Normal"/>
    <w:next w:val="Reftext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0" w:after="80" w:line="240" w:lineRule="auto"/>
      <w:jc w:val="center"/>
    </w:pPr>
    <w:rPr>
      <w:rFonts w:ascii="Times New Roman Bold" w:hAnsi="Times New Roman Bold" w:cs="Times New Roman Bold"/>
      <w:b/>
      <w:sz w:val="20"/>
      <w:szCs w:val="20"/>
      <w:lang w:val="en-GB"/>
    </w:rPr>
  </w:style>
  <w:style w:type="paragraph" w:customStyle="1" w:styleId="Tablelegend">
    <w:name w:val="Tabl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871"/>
        <w:tab w:val="left" w:pos="2268"/>
      </w:tabs>
      <w:spacing w:before="40" w:after="4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ableNo">
    <w:name w:val="Table_No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 w:line="240" w:lineRule="auto"/>
      <w:jc w:val="center"/>
    </w:pPr>
    <w:rPr>
      <w:rFonts w:ascii="Times New Roman Bold" w:hAnsi="Times New Roman Bold" w:cs="Times New Roman"/>
      <w:b/>
      <w:sz w:val="20"/>
      <w:szCs w:val="20"/>
      <w:lang w:val="en-GB"/>
    </w:rPr>
  </w:style>
  <w:style w:type="paragraph" w:customStyle="1" w:styleId="Tableref">
    <w:name w:val="Table_ref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line="240" w:lineRule="auto"/>
      <w:jc w:val="center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794"/>
        <w:tab w:val="clear" w:pos="1191"/>
        <w:tab w:val="clear" w:pos="1588"/>
        <w:tab w:val="clear" w:pos="1985"/>
        <w:tab w:val="right" w:pos="9781"/>
      </w:tabs>
      <w:spacing w:before="120" w:line="240" w:lineRule="auto"/>
      <w:jc w:val="left"/>
    </w:pPr>
    <w:rPr>
      <w:rFonts w:ascii="Times New Roman" w:hAnsi="Times New Roman" w:cs="Times New Roman"/>
      <w:b/>
      <w:szCs w:val="20"/>
      <w:lang w:val="en-GB"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 w:line="240" w:lineRule="auto"/>
      <w:ind w:left="567" w:hanging="567"/>
      <w:jc w:val="left"/>
    </w:pPr>
    <w:rPr>
      <w:rFonts w:ascii="Times New Roman" w:hAnsi="Times New Roman" w:cs="Times New Roman"/>
      <w:szCs w:val="20"/>
      <w:lang w:val="en-GB"/>
    </w:r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" w:hAnsi="Times New Roman" w:cs="Times New Roman"/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 Bold" w:hAnsi="Times New Roman Bold" w:cs="Times New Roman Bold"/>
      <w:b/>
      <w:szCs w:val="20"/>
      <w:lang w:val="en-GB" w:eastAsia="zh-CN"/>
    </w:rPr>
  </w:style>
  <w:style w:type="paragraph" w:customStyle="1" w:styleId="Figure">
    <w:name w:val="Figur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40" w:line="240" w:lineRule="auto"/>
      <w:jc w:val="center"/>
    </w:pPr>
    <w:rPr>
      <w:rFonts w:ascii="Times New Roman" w:hAnsi="Times New Roman" w:cs="Times New Roman"/>
      <w:noProof/>
      <w:szCs w:val="20"/>
      <w:lang w:val="en-GB"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 w:line="240" w:lineRule="auto"/>
      <w:jc w:val="center"/>
    </w:pPr>
    <w:rPr>
      <w:rFonts w:ascii="Times New Roman Bold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ascii="Times New Roman" w:hAnsi="Times New Roman" w:cs="Times New Roman"/>
      <w:b/>
      <w:noProof/>
      <w:sz w:val="20"/>
      <w:szCs w:val="20"/>
      <w:lang w:val="en-GB"/>
    </w:rPr>
  </w:style>
  <w:style w:type="paragraph" w:styleId="NormalIndent">
    <w:name w:val="Normal Inden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hAnsi="Times New Roman" w:cs="Times New Roman"/>
      <w:szCs w:val="20"/>
      <w:lang w:val="en-GB"/>
    </w:r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849"/>
      <w:jc w:val="left"/>
    </w:pPr>
    <w:rPr>
      <w:rFonts w:ascii="Times New Roman" w:hAnsi="Times New Roman" w:cs="Times New Roman"/>
      <w:szCs w:val="20"/>
      <w:lang w:val="en-GB"/>
    </w:r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2"/>
      <w:jc w:val="left"/>
    </w:pPr>
    <w:rPr>
      <w:rFonts w:ascii="Times New Roman" w:hAnsi="Times New Roman" w:cs="Times New Roman"/>
      <w:szCs w:val="20"/>
      <w:lang w:val="en-GB"/>
    </w:r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415"/>
      <w:jc w:val="left"/>
    </w:pPr>
    <w:rPr>
      <w:rFonts w:ascii="Times New Roman" w:hAnsi="Times New Roman" w:cs="Times New Roman"/>
      <w:szCs w:val="20"/>
      <w:lang w:val="en-GB"/>
    </w:r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698"/>
      <w:jc w:val="left"/>
    </w:pPr>
    <w:rPr>
      <w:rFonts w:ascii="Times New Roman" w:hAnsi="Times New Roman"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Proposal">
    <w:name w:val="Proposal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hAnsi="Times New Roman Bold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ind w:left="170" w:hanging="170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rFonts w:ascii="Times New Roman" w:hAnsi="Times New Roman" w:cs="Times New Roman"/>
      <w:sz w:val="28"/>
      <w:szCs w:val="20"/>
      <w:lang w:val="en-GB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hAnsiTheme="minorHAnsi" w:cstheme="minorHAnsi"/>
      <w:b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 w:line="240" w:lineRule="auto"/>
      <w:jc w:val="left"/>
    </w:pPr>
    <w:rPr>
      <w:rFonts w:ascii="Times New Roman" w:hAnsi="Times New Roman" w:cs="Times New Roman"/>
      <w:i/>
      <w:iCs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544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Chamova, Alisa</cp:lastModifiedBy>
  <cp:revision>3</cp:revision>
  <cp:lastPrinted>2008-02-21T14:04:00Z</cp:lastPrinted>
  <dcterms:created xsi:type="dcterms:W3CDTF">2023-10-12T09:36:00Z</dcterms:created>
  <dcterms:modified xsi:type="dcterms:W3CDTF">2023-10-12T09:38:00Z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