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064" w14:textId="69EA53DC" w:rsidR="00B779AF" w:rsidRPr="006D01BF" w:rsidRDefault="00B779AF">
      <w:pPr>
        <w:pStyle w:val="QuestionNo"/>
        <w:rPr>
          <w:rtl/>
        </w:rPr>
        <w:pPrChange w:id="0" w:author="Al-Talouzi, Lamis" w:date="2015-07-28T10:07:00Z">
          <w:pPr>
            <w:pStyle w:val="enumlev2"/>
            <w:spacing w:before="0"/>
          </w:pPr>
        </w:pPrChange>
      </w:pPr>
      <w:r w:rsidRPr="006D01BF">
        <w:rPr>
          <w:rtl/>
        </w:rPr>
        <w:t>ال</w:t>
      </w:r>
      <w:r w:rsidRPr="006D01BF">
        <w:rPr>
          <w:rFonts w:hint="cs"/>
          <w:rtl/>
        </w:rPr>
        <w:t>‍</w:t>
      </w:r>
      <w:r w:rsidRPr="006D01BF">
        <w:rPr>
          <w:rtl/>
        </w:rPr>
        <w:t xml:space="preserve">مسألة </w:t>
      </w:r>
      <w:r w:rsidRPr="006D01BF">
        <w:rPr>
          <w:lang w:val="fr-CH"/>
        </w:rPr>
        <w:t>ITU-R 48-</w:t>
      </w:r>
      <w:r w:rsidRPr="006D01BF">
        <w:rPr>
          <w:lang w:val="en-GB"/>
        </w:rPr>
        <w:t>7</w:t>
      </w:r>
      <w:r w:rsidRPr="006D01BF">
        <w:rPr>
          <w:lang w:val="fr-CH"/>
        </w:rPr>
        <w:t>/5</w:t>
      </w:r>
      <w:r w:rsidR="00315246">
        <w:rPr>
          <w:rStyle w:val="FootnoteReference"/>
          <w:lang w:val="fr-CH"/>
        </w:rPr>
        <w:footnoteReference w:id="1"/>
      </w:r>
    </w:p>
    <w:p w14:paraId="2BCE6C81" w14:textId="77777777" w:rsidR="00B779AF" w:rsidRPr="006D01BF" w:rsidRDefault="00B779AF" w:rsidP="00B779AF">
      <w:pPr>
        <w:pStyle w:val="QuestionTitle"/>
        <w:rPr>
          <w:rtl/>
        </w:rPr>
      </w:pPr>
      <w:r w:rsidRPr="006D01BF">
        <w:rPr>
          <w:rFonts w:hint="cs"/>
          <w:rtl/>
        </w:rPr>
        <w:t>التقنيات والترددات المستعملة في خدمة الهواة</w:t>
      </w:r>
      <w:r w:rsidRPr="006D01BF">
        <w:rPr>
          <w:rtl/>
        </w:rPr>
        <w:br/>
      </w:r>
      <w:r w:rsidRPr="006D01BF">
        <w:rPr>
          <w:rFonts w:hint="cs"/>
          <w:rtl/>
        </w:rPr>
        <w:t>وخدمة الهواة الساتلية</w:t>
      </w:r>
    </w:p>
    <w:p w14:paraId="292551FA" w14:textId="77777777" w:rsidR="00B779AF" w:rsidRPr="006D01BF" w:rsidRDefault="00B779AF" w:rsidP="00B779AF">
      <w:pPr>
        <w:pStyle w:val="Date"/>
        <w:rPr>
          <w:lang w:val="en-GB"/>
        </w:rPr>
      </w:pPr>
      <w:r w:rsidRPr="006D01BF">
        <w:rPr>
          <w:lang w:val="en-GB"/>
        </w:rPr>
        <w:t>(2015-2007-2003-1998-1993-1990-1982-1978)</w:t>
      </w:r>
    </w:p>
    <w:p w14:paraId="17C6B7BE" w14:textId="77777777" w:rsidR="00B779AF" w:rsidRPr="006D01BF" w:rsidRDefault="00B779AF" w:rsidP="00B779AF">
      <w:pPr>
        <w:pStyle w:val="Normalaftertitle"/>
        <w:rPr>
          <w:lang w:val="en-GB"/>
        </w:rPr>
      </w:pPr>
      <w:r w:rsidRPr="006D01BF">
        <w:rPr>
          <w:rFonts w:hint="cs"/>
          <w:rtl/>
        </w:rPr>
        <w:t>إن جمعية الاتصالات الراديوية للاتحاد الدولي للاتصالات،</w:t>
      </w:r>
    </w:p>
    <w:p w14:paraId="3D83B849" w14:textId="77777777" w:rsidR="00B779AF" w:rsidRPr="006D01BF" w:rsidRDefault="00B779AF" w:rsidP="00B779AF">
      <w:pPr>
        <w:pStyle w:val="Call"/>
        <w:rPr>
          <w:rtl/>
        </w:rPr>
      </w:pPr>
      <w:r w:rsidRPr="006D01BF">
        <w:rPr>
          <w:rFonts w:hint="cs"/>
          <w:rtl/>
        </w:rPr>
        <w:t>إذ تضع في اعتبارها</w:t>
      </w:r>
    </w:p>
    <w:p w14:paraId="01418E35" w14:textId="77777777" w:rsidR="00B779AF" w:rsidRPr="006D01BF" w:rsidRDefault="00B779AF" w:rsidP="00B779AF">
      <w:pPr>
        <w:rPr>
          <w:lang w:val="en-GB"/>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لوائح الراديو تحدد خدمة الهواة وخدمة الهواة الساتلية وتخصص ترددات لهما على أساس حصري أو مشترك، وتعمل على وقف الإرسالات من سواتل الهواة؛</w:t>
      </w:r>
    </w:p>
    <w:p w14:paraId="4AF937E2" w14:textId="77777777" w:rsidR="00B779AF" w:rsidRPr="006D01BF" w:rsidRDefault="00B779AF" w:rsidP="00B779AF">
      <w:pPr>
        <w:rPr>
          <w:rtl/>
        </w:rPr>
      </w:pPr>
      <w:r w:rsidRPr="006D01BF">
        <w:rPr>
          <w:rFonts w:hint="cs"/>
          <w:i/>
          <w:iCs/>
          <w:rtl/>
        </w:rPr>
        <w:t>ب)</w:t>
      </w:r>
      <w:r w:rsidRPr="006D01BF">
        <w:rPr>
          <w:rFonts w:hint="cs"/>
          <w:rtl/>
        </w:rPr>
        <w:tab/>
        <w:t>أن خدمتي الهواة والهواة الساتلية توفران منافع من قبيل التدريب الذاتي والاتصال البيني والتقصي التقني يضطلع بها الهواة، بمعنى آخر أشخاص مؤهلون ومرخص لهم في أنحاء العالم لا يعيرون اهتماماً إلى التقنيات الراديوية إلا لتطوير المهارات الشخصية وتبادل المعلومات من دون أي منفعة مادية؛</w:t>
      </w:r>
    </w:p>
    <w:p w14:paraId="55E1AE85" w14:textId="77777777" w:rsidR="00B779AF" w:rsidRPr="006D01BF" w:rsidRDefault="00B779AF" w:rsidP="00B779AF">
      <w:pPr>
        <w:rPr>
          <w:rtl/>
        </w:rPr>
      </w:pPr>
      <w:r w:rsidRPr="006D01BF">
        <w:rPr>
          <w:rFonts w:hint="cs"/>
          <w:i/>
          <w:iCs/>
          <w:rtl/>
        </w:rPr>
        <w:t>ج)</w:t>
      </w:r>
      <w:r w:rsidRPr="006D01BF">
        <w:rPr>
          <w:rFonts w:hint="cs"/>
          <w:rtl/>
        </w:rPr>
        <w:tab/>
        <w:t>أنه، مما له علاقة بالأهداف الأساسية لخدمتي الهواة والهواة الساتلية، أطلقت هاتان الخدمتان تقنيات جديدة ومبتكرة للاستقبال أو الإرسال الراديوي باستخدام تجهيزات غير باهظة ذات هوائيات صغيرة نسبياً؛</w:t>
      </w:r>
    </w:p>
    <w:p w14:paraId="4DF10C51" w14:textId="77777777" w:rsidR="00B779AF" w:rsidRPr="006D01BF" w:rsidRDefault="00B779AF" w:rsidP="00B779AF">
      <w:pPr>
        <w:rPr>
          <w:rtl/>
        </w:rPr>
      </w:pPr>
      <w:r w:rsidRPr="006D01BF">
        <w:rPr>
          <w:rFonts w:hint="cs"/>
          <w:i/>
          <w:iCs/>
          <w:rtl/>
        </w:rPr>
        <w:t>د )</w:t>
      </w:r>
      <w:r w:rsidRPr="006D01BF">
        <w:rPr>
          <w:rFonts w:hint="cs"/>
          <w:rtl/>
        </w:rPr>
        <w:tab/>
        <w:t>أن العوامل التي تتوقف على الترددات تبين، إلى حد كبير، فعالية الاتصالات الراديوية في خدمتي الهواة والهواة</w:t>
      </w:r>
      <w:r>
        <w:rPr>
          <w:rFonts w:hint="eastAsia"/>
          <w:rtl/>
        </w:rPr>
        <w:t> </w:t>
      </w:r>
      <w:r w:rsidRPr="006D01BF">
        <w:rPr>
          <w:rFonts w:hint="cs"/>
          <w:rtl/>
        </w:rPr>
        <w:t>الساتلية؛</w:t>
      </w:r>
    </w:p>
    <w:p w14:paraId="33725DC3" w14:textId="77777777" w:rsidR="00B779AF" w:rsidRPr="006D01BF" w:rsidRDefault="00B779AF" w:rsidP="00B779AF">
      <w:pPr>
        <w:rPr>
          <w:rtl/>
        </w:rPr>
      </w:pPr>
      <w:r w:rsidRPr="006D01BF">
        <w:rPr>
          <w:rFonts w:hint="cs"/>
          <w:i/>
          <w:iCs/>
          <w:rtl/>
        </w:rPr>
        <w:t>ﻫ</w:t>
      </w:r>
      <w:r w:rsidRPr="006D01BF">
        <w:rPr>
          <w:rFonts w:hint="eastAsia"/>
          <w:i/>
          <w:iCs/>
          <w:rtl/>
        </w:rPr>
        <w:t> )</w:t>
      </w:r>
      <w:r w:rsidRPr="006D01BF">
        <w:rPr>
          <w:rFonts w:hint="eastAsia"/>
          <w:rtl/>
        </w:rPr>
        <w:tab/>
        <w:t xml:space="preserve">أن خدمتي الهواة والهواة الساتلية ما زالتا تقدمان مساهمات ذات </w:t>
      </w:r>
      <w:r w:rsidRPr="006D01BF">
        <w:rPr>
          <w:rFonts w:hint="cs"/>
          <w:rtl/>
        </w:rPr>
        <w:t>أهمية</w:t>
      </w:r>
      <w:r w:rsidRPr="006D01BF">
        <w:rPr>
          <w:rFonts w:hint="eastAsia"/>
          <w:rtl/>
        </w:rPr>
        <w:t xml:space="preserve"> في مجال رصد </w:t>
      </w:r>
      <w:r w:rsidRPr="006D01BF">
        <w:rPr>
          <w:rFonts w:hint="cs"/>
          <w:rtl/>
        </w:rPr>
        <w:t>ظواهر</w:t>
      </w:r>
      <w:r w:rsidRPr="006D01BF">
        <w:rPr>
          <w:rFonts w:hint="eastAsia"/>
          <w:rtl/>
        </w:rPr>
        <w:t xml:space="preserve"> الانتشار وفهمها</w:t>
      </w:r>
      <w:r w:rsidRPr="006D01BF">
        <w:rPr>
          <w:rFonts w:hint="cs"/>
          <w:rtl/>
        </w:rPr>
        <w:t xml:space="preserve"> والتقنيات التي تستفيد من هذه الظواهر</w:t>
      </w:r>
      <w:r w:rsidRPr="006D01BF">
        <w:rPr>
          <w:rFonts w:hint="eastAsia"/>
          <w:rtl/>
        </w:rPr>
        <w:t>؛</w:t>
      </w:r>
    </w:p>
    <w:p w14:paraId="4583CF9E" w14:textId="77777777" w:rsidR="00B779AF" w:rsidRPr="006D01BF" w:rsidRDefault="00B779AF" w:rsidP="00B779AF">
      <w:pPr>
        <w:rPr>
          <w:rtl/>
        </w:rPr>
      </w:pPr>
      <w:r w:rsidRPr="006D01BF">
        <w:rPr>
          <w:rFonts w:hint="cs"/>
          <w:i/>
          <w:iCs/>
          <w:rtl/>
        </w:rPr>
        <w:t>و )</w:t>
      </w:r>
      <w:r w:rsidRPr="006D01BF">
        <w:rPr>
          <w:rFonts w:hint="cs"/>
          <w:rtl/>
        </w:rPr>
        <w:tab/>
        <w:t>أن مشغلي محطتي الهواة والهواة الساتلية يواصلون المساهمة في تنمية وإظهار تقنيات المحافظة على الطيف من خلال طيف الترددات الراديوية؛</w:t>
      </w:r>
    </w:p>
    <w:p w14:paraId="6CC0A8B4" w14:textId="77777777" w:rsidR="00B779AF" w:rsidRPr="006D01BF" w:rsidRDefault="00B779AF" w:rsidP="00B779AF">
      <w:pPr>
        <w:rPr>
          <w:rtl/>
        </w:rPr>
      </w:pPr>
      <w:r w:rsidRPr="006D01BF">
        <w:rPr>
          <w:rFonts w:hint="cs"/>
          <w:i/>
          <w:iCs/>
          <w:rtl/>
        </w:rPr>
        <w:t>ز )</w:t>
      </w:r>
      <w:r w:rsidRPr="006D01BF">
        <w:rPr>
          <w:rFonts w:hint="cs"/>
          <w:rtl/>
        </w:rPr>
        <w:tab/>
        <w:t>أن خدمتي الهواة والهواة الساتلية توفران الاتصالات أثناء حدوث الكوارث الطبيعية أو أحداث كارثية أخرى عندما تنقطع الاتصالات العادية بشكل مؤقت أو لا تتناسب واحتياجات عمليات الإغاثة البشرية؛</w:t>
      </w:r>
    </w:p>
    <w:p w14:paraId="3614E618" w14:textId="77777777" w:rsidR="00B779AF" w:rsidRPr="006D01BF" w:rsidRDefault="00B779AF" w:rsidP="00B779AF">
      <w:pPr>
        <w:rPr>
          <w:rtl/>
        </w:rPr>
      </w:pPr>
      <w:r w:rsidRPr="006D01BF">
        <w:rPr>
          <w:rFonts w:hint="cs"/>
          <w:i/>
          <w:iCs/>
          <w:rtl/>
        </w:rPr>
        <w:t>ح)</w:t>
      </w:r>
      <w:r w:rsidRPr="006D01BF">
        <w:rPr>
          <w:rFonts w:hint="cs"/>
          <w:rtl/>
        </w:rPr>
        <w:tab/>
        <w:t>أن خدمتي الهواة والهواة الساتلية تساهمان في تدريب المشغلين والموظفين التقنيين، وذلك يعود بمنفعة خاصة على</w:t>
      </w:r>
      <w:r w:rsidRPr="006D01BF">
        <w:rPr>
          <w:rFonts w:hint="eastAsia"/>
          <w:rtl/>
        </w:rPr>
        <w:t> </w:t>
      </w:r>
      <w:r w:rsidRPr="006D01BF">
        <w:rPr>
          <w:rFonts w:hint="cs"/>
          <w:rtl/>
        </w:rPr>
        <w:t>البلدان</w:t>
      </w:r>
      <w:r w:rsidRPr="006D01BF">
        <w:rPr>
          <w:rFonts w:hint="eastAsia"/>
          <w:rtl/>
        </w:rPr>
        <w:t> </w:t>
      </w:r>
      <w:r w:rsidRPr="006D01BF">
        <w:rPr>
          <w:rFonts w:hint="cs"/>
          <w:rtl/>
        </w:rPr>
        <w:t>النامية،</w:t>
      </w:r>
    </w:p>
    <w:p w14:paraId="5ACC055A" w14:textId="77777777" w:rsidR="00B779AF" w:rsidRPr="006D01BF" w:rsidRDefault="00B779AF" w:rsidP="00B779AF">
      <w:pPr>
        <w:pStyle w:val="Call"/>
        <w:rPr>
          <w:rtl/>
        </w:rPr>
      </w:pPr>
      <w:r w:rsidRPr="006D01BF">
        <w:rPr>
          <w:rFonts w:hint="cs"/>
          <w:rtl/>
        </w:rPr>
        <w:t xml:space="preserve">تقرر </w:t>
      </w:r>
      <w:r w:rsidRPr="00537661">
        <w:rPr>
          <w:rFonts w:hint="cs"/>
          <w:i w:val="0"/>
          <w:iCs w:val="0"/>
          <w:rtl/>
        </w:rPr>
        <w:t>طرح المسائل التالية للدراسة</w:t>
      </w:r>
    </w:p>
    <w:p w14:paraId="5FF63758" w14:textId="77777777" w:rsidR="00B779AF" w:rsidRPr="006D01BF" w:rsidRDefault="00B779AF" w:rsidP="00B779AF">
      <w:pPr>
        <w:rPr>
          <w:rtl/>
        </w:rPr>
      </w:pPr>
      <w:r w:rsidRPr="006D01BF">
        <w:rPr>
          <w:lang w:val="fr-CH"/>
        </w:rPr>
        <w:t>1</w:t>
      </w:r>
      <w:r w:rsidRPr="006D01BF">
        <w:rPr>
          <w:rFonts w:hint="cs"/>
          <w:rtl/>
        </w:rPr>
        <w:tab/>
        <w:t>ما هي الخصائص التقنية والتشغيلية المطلوبة للأنظمة المستقبلية لخدمتي الهواة والهواة الساتلية؟</w:t>
      </w:r>
    </w:p>
    <w:p w14:paraId="03B60928" w14:textId="77777777" w:rsidR="00B779AF" w:rsidRPr="006D01BF" w:rsidRDefault="00B779AF" w:rsidP="00B779AF">
      <w:pPr>
        <w:rPr>
          <w:rtl/>
        </w:rPr>
      </w:pPr>
      <w:r w:rsidRPr="006D01BF">
        <w:rPr>
          <w:lang w:val="fr-CH"/>
        </w:rPr>
        <w:t>2</w:t>
      </w:r>
      <w:r w:rsidRPr="006D01BF">
        <w:rPr>
          <w:rFonts w:hint="cs"/>
          <w:rtl/>
        </w:rPr>
        <w:tab/>
        <w:t>ما هي التقنيات المطبقة أو المتقصّى عنها في هاتين الخدمتين، وخصوصاً التقنيات التي تستفيد من ظواهر الانتشار مع الحفاظ على</w:t>
      </w:r>
      <w:r>
        <w:rPr>
          <w:rFonts w:hint="eastAsia"/>
          <w:rtl/>
        </w:rPr>
        <w:t> </w:t>
      </w:r>
      <w:r w:rsidRPr="006D01BF">
        <w:rPr>
          <w:rFonts w:hint="cs"/>
          <w:rtl/>
        </w:rPr>
        <w:t>الطيف؟</w:t>
      </w:r>
    </w:p>
    <w:p w14:paraId="798A035E" w14:textId="77777777" w:rsidR="00B779AF" w:rsidRPr="006D01BF" w:rsidRDefault="00B779AF" w:rsidP="00B779AF">
      <w:pPr>
        <w:rPr>
          <w:rtl/>
        </w:rPr>
      </w:pPr>
      <w:r w:rsidRPr="006D01BF">
        <w:rPr>
          <w:lang w:val="en-GB"/>
        </w:rPr>
        <w:lastRenderedPageBreak/>
        <w:t>3</w:t>
      </w:r>
      <w:r w:rsidRPr="006D01BF">
        <w:rPr>
          <w:lang w:val="en-GB"/>
        </w:rPr>
        <w:tab/>
      </w:r>
      <w:r w:rsidRPr="006D01BF">
        <w:rPr>
          <w:rFonts w:hint="cs"/>
          <w:rtl/>
        </w:rPr>
        <w:t>أي هذه التقنيات قد تكون ذات منفعة للخدمات الأخرى؟</w:t>
      </w:r>
    </w:p>
    <w:p w14:paraId="3EB0240F" w14:textId="77777777" w:rsidR="00B779AF" w:rsidRPr="006D01BF" w:rsidRDefault="00B779AF" w:rsidP="00B779AF">
      <w:pPr>
        <w:rPr>
          <w:rtl/>
        </w:rPr>
      </w:pPr>
      <w:r w:rsidRPr="006D01BF">
        <w:rPr>
          <w:lang w:val="en-GB"/>
        </w:rPr>
        <w:t>4</w:t>
      </w:r>
      <w:r w:rsidRPr="006D01BF">
        <w:rPr>
          <w:rFonts w:hint="cs"/>
          <w:rtl/>
        </w:rPr>
        <w:tab/>
        <w:t>كيف يمكن لخدمتي الهواة والهواة الساتلية تقديم مساهمات أكبر لتدريب المشغلين والتقنيين في البلدان</w:t>
      </w:r>
      <w:r w:rsidRPr="006D01BF">
        <w:rPr>
          <w:rFonts w:hint="eastAsia"/>
          <w:rtl/>
        </w:rPr>
        <w:t> </w:t>
      </w:r>
      <w:r w:rsidRPr="006D01BF">
        <w:rPr>
          <w:rFonts w:hint="cs"/>
          <w:rtl/>
        </w:rPr>
        <w:t>النامية؟</w:t>
      </w:r>
    </w:p>
    <w:p w14:paraId="0664377B" w14:textId="77777777" w:rsidR="00B779AF" w:rsidRPr="006D01BF" w:rsidRDefault="00B779AF" w:rsidP="00B779AF">
      <w:pPr>
        <w:rPr>
          <w:rtl/>
        </w:rPr>
      </w:pPr>
      <w:r w:rsidRPr="006D01BF">
        <w:rPr>
          <w:lang w:val="fr-CH"/>
        </w:rPr>
        <w:t>5</w:t>
      </w:r>
      <w:r w:rsidRPr="006D01BF">
        <w:rPr>
          <w:rFonts w:hint="cs"/>
          <w:rtl/>
        </w:rPr>
        <w:tab/>
        <w:t>ما هي المعايير المناسبة لتقاسم الترددات بين المحطات في خدمتي الهواة والهواة الساتلية، وبين خدمتي الهواة والهواة الساتلية وخدمات الاتصالات الراديوية الأخرى؟</w:t>
      </w:r>
    </w:p>
    <w:p w14:paraId="4DB12FF7" w14:textId="77777777" w:rsidR="00B779AF" w:rsidRPr="006D01BF" w:rsidRDefault="00B779AF" w:rsidP="00B779AF">
      <w:pPr>
        <w:rPr>
          <w:rtl/>
        </w:rPr>
      </w:pPr>
      <w:r w:rsidRPr="006D01BF">
        <w:rPr>
          <w:lang w:val="fr-CH"/>
        </w:rPr>
        <w:t>6</w:t>
      </w:r>
      <w:r w:rsidRPr="006D01BF">
        <w:rPr>
          <w:rFonts w:hint="cs"/>
          <w:rtl/>
        </w:rPr>
        <w:tab/>
        <w:t>ما هي الخصائص التقنية والتشغيلية الأنسب لأنظمة خدمتي الهواة والهواة الساتلية من أجل الاتصالات أثناء وقوع الكوارث</w:t>
      </w:r>
      <w:r>
        <w:rPr>
          <w:rFonts w:hint="eastAsia"/>
          <w:rtl/>
        </w:rPr>
        <w:t> </w:t>
      </w:r>
      <w:r w:rsidRPr="006D01BF">
        <w:rPr>
          <w:rFonts w:hint="cs"/>
          <w:rtl/>
        </w:rPr>
        <w:t>الطبيعية؟</w:t>
      </w:r>
    </w:p>
    <w:p w14:paraId="2189FF1C" w14:textId="77777777" w:rsidR="00B779AF" w:rsidRPr="006D01BF" w:rsidRDefault="00B779AF" w:rsidP="00B779AF">
      <w:pPr>
        <w:rPr>
          <w:rtl/>
        </w:rPr>
      </w:pPr>
      <w:r w:rsidRPr="006D01BF">
        <w:rPr>
          <w:lang w:val="fr-CH"/>
        </w:rPr>
        <w:t>7</w:t>
      </w:r>
      <w:r w:rsidRPr="006D01BF">
        <w:rPr>
          <w:rFonts w:hint="cs"/>
          <w:rtl/>
        </w:rPr>
        <w:tab/>
        <w:t>ما هي التعديلات، إن وجدت، التي ينبغي النظر فيها في الأحكام التي تعالج الاتصالات والخصائص التقنية ومؤهلات المشغلين في خدمتي الهواة والهواة الساتلية؟</w:t>
      </w:r>
    </w:p>
    <w:p w14:paraId="460C899F" w14:textId="77777777" w:rsidR="00B779AF" w:rsidRPr="006D01BF" w:rsidRDefault="00B779AF" w:rsidP="00B779AF">
      <w:pPr>
        <w:pStyle w:val="Call"/>
        <w:rPr>
          <w:rtl/>
        </w:rPr>
      </w:pPr>
      <w:r w:rsidRPr="006D01BF">
        <w:rPr>
          <w:rFonts w:hint="cs"/>
          <w:rtl/>
        </w:rPr>
        <w:t>تقرر كذلك</w:t>
      </w:r>
    </w:p>
    <w:p w14:paraId="6A08784B" w14:textId="77777777" w:rsidR="00B779AF" w:rsidRPr="006D01BF" w:rsidRDefault="00B779AF" w:rsidP="00B779AF">
      <w:pPr>
        <w:rPr>
          <w:rtl/>
        </w:rPr>
      </w:pPr>
      <w:r w:rsidRPr="006D01BF">
        <w:rPr>
          <w:lang w:val="fr-CH"/>
        </w:rPr>
        <w:t>1</w:t>
      </w:r>
      <w:r w:rsidRPr="006D01BF">
        <w:rPr>
          <w:rFonts w:hint="cs"/>
          <w:rtl/>
        </w:rPr>
        <w:tab/>
        <w:t>إدراج نتائج الدراسات سالفة الذكر في توصية أو تقرير أو كتيّب واحد أو أكثر؛</w:t>
      </w:r>
    </w:p>
    <w:p w14:paraId="61FBC5C9" w14:textId="2E17DFC1" w:rsidR="00B779AF" w:rsidRPr="006D01BF" w:rsidRDefault="00B779AF" w:rsidP="00B779AF">
      <w:pPr>
        <w:rPr>
          <w:rtl/>
        </w:rPr>
      </w:pPr>
      <w:r w:rsidRPr="006D01BF">
        <w:rPr>
          <w:lang w:val="fr-CH"/>
        </w:rPr>
        <w:t>2</w:t>
      </w:r>
      <w:r w:rsidRPr="006D01BF">
        <w:rPr>
          <w:rFonts w:hint="cs"/>
          <w:rtl/>
        </w:rPr>
        <w:tab/>
        <w:t xml:space="preserve">ضرورة إنجاز الدراسات سالفة الذكر بحلول عام </w:t>
      </w:r>
      <w:r w:rsidRPr="006D01BF">
        <w:rPr>
          <w:lang w:val="fr-CH"/>
        </w:rPr>
        <w:t>20</w:t>
      </w:r>
      <w:r w:rsidR="00315246">
        <w:rPr>
          <w:lang w:val="fr-CH"/>
        </w:rPr>
        <w:t>2</w:t>
      </w:r>
      <w:r w:rsidR="00080348">
        <w:rPr>
          <w:lang w:val="fr-CH"/>
        </w:rPr>
        <w:t>7</w:t>
      </w:r>
      <w:r w:rsidRPr="006D01BF">
        <w:rPr>
          <w:rFonts w:hint="cs"/>
          <w:rtl/>
        </w:rPr>
        <w:t>.</w:t>
      </w:r>
    </w:p>
    <w:p w14:paraId="12DFA97B" w14:textId="77777777" w:rsidR="00B779AF" w:rsidRDefault="00B779AF" w:rsidP="00B779AF">
      <w:pPr>
        <w:spacing w:before="360"/>
        <w:rPr>
          <w:rtl/>
          <w:lang w:val="fr-CH"/>
        </w:rPr>
      </w:pPr>
      <w:r w:rsidRPr="006D01BF">
        <w:rPr>
          <w:rFonts w:hint="cs"/>
          <w:rtl/>
        </w:rPr>
        <w:t xml:space="preserve">الفئة: </w:t>
      </w:r>
      <w:r w:rsidRPr="006D01BF">
        <w:rPr>
          <w:lang w:val="fr-CH"/>
        </w:rPr>
        <w:t>S2</w:t>
      </w:r>
    </w:p>
    <w:p w14:paraId="29759805" w14:textId="77777777" w:rsidR="00CC001C" w:rsidRDefault="00CC001C" w:rsidP="00B779AF"/>
    <w:sectPr w:rsidR="00CC001C" w:rsidSect="00AF204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FFE8" w14:textId="77777777" w:rsidR="00B779AF" w:rsidRDefault="00B779AF" w:rsidP="00B779AF">
      <w:pPr>
        <w:spacing w:before="0" w:line="240" w:lineRule="auto"/>
      </w:pPr>
      <w:r>
        <w:separator/>
      </w:r>
    </w:p>
  </w:endnote>
  <w:endnote w:type="continuationSeparator" w:id="0">
    <w:p w14:paraId="2390E69F" w14:textId="77777777" w:rsidR="00B779AF" w:rsidRDefault="00B779AF" w:rsidP="00B779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5B4" w14:textId="77777777" w:rsidR="00B779AF" w:rsidRDefault="00B77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F455" w14:textId="77777777" w:rsidR="00B779AF" w:rsidRDefault="00B77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DF8E" w14:textId="77777777" w:rsidR="00B779AF" w:rsidRDefault="00B7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C478" w14:textId="77777777" w:rsidR="00B779AF" w:rsidRDefault="00B779AF" w:rsidP="00B779AF">
      <w:pPr>
        <w:spacing w:before="0" w:line="240" w:lineRule="auto"/>
      </w:pPr>
      <w:r>
        <w:separator/>
      </w:r>
    </w:p>
  </w:footnote>
  <w:footnote w:type="continuationSeparator" w:id="0">
    <w:p w14:paraId="2FEE6506" w14:textId="77777777" w:rsidR="00B779AF" w:rsidRDefault="00B779AF" w:rsidP="00B779AF">
      <w:pPr>
        <w:spacing w:before="0" w:line="240" w:lineRule="auto"/>
      </w:pPr>
      <w:r>
        <w:continuationSeparator/>
      </w:r>
    </w:p>
  </w:footnote>
  <w:footnote w:id="1">
    <w:p w14:paraId="2FA4FC9B" w14:textId="677B91FC" w:rsidR="00315246" w:rsidRPr="006013B5" w:rsidRDefault="00315246" w:rsidP="00315246">
      <w:pPr>
        <w:rPr>
          <w:rFonts w:asciiTheme="majorBidi" w:hAnsiTheme="majorBidi" w:cstheme="majorBidi"/>
          <w:lang w:val="es-ES"/>
        </w:rPr>
      </w:pPr>
      <w:r>
        <w:rPr>
          <w:rStyle w:val="FootnoteReference"/>
        </w:rPr>
        <w:footnoteRef/>
      </w:r>
      <w:r>
        <w:t xml:space="preserve"> </w:t>
      </w:r>
      <w:r w:rsidRPr="006013B5">
        <w:rPr>
          <w:rFonts w:asciiTheme="majorBidi" w:hAnsiTheme="majorBidi" w:cstheme="majorBidi"/>
          <w:rtl/>
          <w:lang w:bidi="ar-EG"/>
        </w:rPr>
        <w:t xml:space="preserve">قامت لجنة الدراسات </w:t>
      </w:r>
      <w:r w:rsidRPr="00CD245F">
        <w:rPr>
          <w:rFonts w:asciiTheme="majorBidi" w:hAnsiTheme="majorBidi" w:cstheme="majorBidi"/>
          <w:lang w:val="es-ES" w:bidi="ar-EG"/>
        </w:rPr>
        <w:t>5</w:t>
      </w:r>
      <w:r w:rsidRPr="006013B5">
        <w:rPr>
          <w:rFonts w:asciiTheme="majorBidi" w:hAnsiTheme="majorBidi" w:cstheme="majorBidi"/>
          <w:rtl/>
          <w:lang w:bidi="ar-EG"/>
        </w:rPr>
        <w:t xml:space="preserve"> للاتصالات الراديوية في عام </w:t>
      </w:r>
      <w:r w:rsidRPr="00CD245F">
        <w:rPr>
          <w:rFonts w:asciiTheme="majorBidi" w:hAnsiTheme="majorBidi" w:cstheme="majorBidi"/>
          <w:lang w:val="es-ES" w:bidi="ar-EG"/>
        </w:rPr>
        <w:t>2019</w:t>
      </w:r>
      <w:r w:rsidRPr="006013B5">
        <w:rPr>
          <w:rFonts w:asciiTheme="majorBidi" w:hAnsiTheme="majorBidi" w:cstheme="majorBidi"/>
          <w:rtl/>
          <w:lang w:bidi="ar-EG"/>
        </w:rPr>
        <w:t xml:space="preserve"> بتمديد تاريخ إنجاز الدراسات المتعلقة بهذه المسألة.</w:t>
      </w:r>
    </w:p>
    <w:p w14:paraId="5DA00DE4" w14:textId="40BF8F98" w:rsidR="00315246" w:rsidRDefault="003152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671" w14:textId="77777777" w:rsidR="00B779AF" w:rsidRDefault="00B77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3E66" w14:textId="77777777" w:rsidR="00B779AF" w:rsidRDefault="00B779AF">
    <w:pPr>
      <w:pStyle w:val="Header"/>
      <w:jc w:val="center"/>
    </w:pPr>
    <w:r>
      <w:t xml:space="preserve"> </w:t>
    </w:r>
    <w:sdt>
      <w:sdtPr>
        <w:rPr>
          <w:rtl/>
        </w:rPr>
        <w:id w:val="-2118973415"/>
        <w:docPartObj>
          <w:docPartGallery w:val="Page Numbers (Top of Page)"/>
          <w:docPartUnique/>
        </w:docPartObj>
      </w:sdtPr>
      <w:sdtEndPr>
        <w:rPr>
          <w:noProof/>
        </w:rPr>
      </w:sdtEndPr>
      <w:sdtContent>
        <w:r>
          <w:t>-</w:t>
        </w:r>
        <w:r w:rsidRPr="00B779AF">
          <w:rPr>
            <w:sz w:val="18"/>
            <w:szCs w:val="18"/>
          </w:rPr>
          <w:fldChar w:fldCharType="begin"/>
        </w:r>
        <w:r w:rsidRPr="00B779AF">
          <w:rPr>
            <w:sz w:val="18"/>
            <w:szCs w:val="18"/>
          </w:rPr>
          <w:instrText xml:space="preserve"> PAGE   \* MERGEFORMAT </w:instrText>
        </w:r>
        <w:r w:rsidRPr="00B779AF">
          <w:rPr>
            <w:sz w:val="18"/>
            <w:szCs w:val="18"/>
          </w:rPr>
          <w:fldChar w:fldCharType="separate"/>
        </w:r>
        <w:r w:rsidR="00AF2047">
          <w:rPr>
            <w:noProof/>
            <w:sz w:val="18"/>
            <w:szCs w:val="18"/>
            <w:rtl/>
          </w:rPr>
          <w:t>2</w:t>
        </w:r>
        <w:r w:rsidRPr="00B779AF">
          <w:rPr>
            <w:noProof/>
            <w:sz w:val="18"/>
            <w:szCs w:val="18"/>
          </w:rPr>
          <w:fldChar w:fldCharType="end"/>
        </w:r>
        <w:r>
          <w:rPr>
            <w:noProof/>
          </w:rPr>
          <w:t xml:space="preserve">- </w:t>
        </w:r>
      </w:sdtContent>
    </w:sdt>
  </w:p>
  <w:p w14:paraId="779FB6AD" w14:textId="77777777" w:rsidR="00B779AF" w:rsidRDefault="00B77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61C4" w14:textId="77777777" w:rsidR="00B779AF" w:rsidRDefault="00B779A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AF"/>
    <w:rsid w:val="00080348"/>
    <w:rsid w:val="00315246"/>
    <w:rsid w:val="00AF2047"/>
    <w:rsid w:val="00B779A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0231"/>
  <w15:chartTrackingRefBased/>
  <w15:docId w15:val="{523F6AC5-B8D4-4BF2-9D4D-5AD1ED1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A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B779AF"/>
    <w:pPr>
      <w:keepNext/>
      <w:spacing w:before="160"/>
      <w:ind w:left="1588" w:hanging="794"/>
    </w:pPr>
    <w:rPr>
      <w:i/>
      <w:iCs/>
    </w:rPr>
  </w:style>
  <w:style w:type="paragraph" w:styleId="Date">
    <w:name w:val="Date"/>
    <w:basedOn w:val="Normal"/>
    <w:next w:val="Normal"/>
    <w:link w:val="DateChar"/>
    <w:uiPriority w:val="99"/>
    <w:unhideWhenUsed/>
    <w:rsid w:val="00B779AF"/>
    <w:pPr>
      <w:keepNext/>
      <w:spacing w:after="120"/>
      <w:jc w:val="right"/>
    </w:pPr>
  </w:style>
  <w:style w:type="character" w:customStyle="1" w:styleId="DateChar">
    <w:name w:val="Date Char"/>
    <w:basedOn w:val="DefaultParagraphFont"/>
    <w:link w:val="Date"/>
    <w:uiPriority w:val="99"/>
    <w:rsid w:val="00B779AF"/>
    <w:rPr>
      <w:rFonts w:ascii="Calibri" w:hAnsi="Calibri" w:cs="Traditional Arabic"/>
      <w:szCs w:val="30"/>
      <w:lang w:val="en-US"/>
    </w:rPr>
  </w:style>
  <w:style w:type="paragraph" w:customStyle="1" w:styleId="enumlev2">
    <w:name w:val="enumlev 2"/>
    <w:basedOn w:val="Normal"/>
    <w:qFormat/>
    <w:rsid w:val="00B779AF"/>
    <w:pPr>
      <w:tabs>
        <w:tab w:val="clear" w:pos="1361"/>
      </w:tabs>
      <w:spacing w:before="80"/>
      <w:ind w:left="1588" w:hanging="794"/>
      <w:outlineLvl w:val="1"/>
    </w:pPr>
  </w:style>
  <w:style w:type="paragraph" w:customStyle="1" w:styleId="Normalaftertitle">
    <w:name w:val="Normal after title"/>
    <w:basedOn w:val="Normal"/>
    <w:qFormat/>
    <w:rsid w:val="00B779AF"/>
    <w:pPr>
      <w:keepNext/>
      <w:spacing w:before="360"/>
    </w:pPr>
    <w:rPr>
      <w:lang w:bidi="ar-SY"/>
    </w:rPr>
  </w:style>
  <w:style w:type="paragraph" w:customStyle="1" w:styleId="QuestionNo">
    <w:name w:val="Question_No"/>
    <w:basedOn w:val="Normal"/>
    <w:qFormat/>
    <w:rsid w:val="00B779AF"/>
    <w:pPr>
      <w:keepNext/>
      <w:keepLines/>
      <w:spacing w:before="360" w:after="120"/>
      <w:jc w:val="center"/>
    </w:pPr>
    <w:rPr>
      <w:sz w:val="26"/>
      <w:szCs w:val="36"/>
    </w:rPr>
  </w:style>
  <w:style w:type="paragraph" w:customStyle="1" w:styleId="QuestionTitle">
    <w:name w:val="Question_Title"/>
    <w:basedOn w:val="QuestionNo"/>
    <w:qFormat/>
    <w:rsid w:val="00B779AF"/>
    <w:pPr>
      <w:spacing w:before="120" w:after="360"/>
    </w:pPr>
    <w:rPr>
      <w:b/>
      <w:bCs/>
      <w:sz w:val="28"/>
      <w:szCs w:val="40"/>
      <w:lang w:val="en-GB"/>
    </w:rPr>
  </w:style>
  <w:style w:type="paragraph" w:styleId="Header">
    <w:name w:val="header"/>
    <w:basedOn w:val="Normal"/>
    <w:link w:val="HeaderChar"/>
    <w:uiPriority w:val="99"/>
    <w:unhideWhenUsed/>
    <w:rsid w:val="00B779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B779AF"/>
    <w:rPr>
      <w:rFonts w:ascii="Calibri" w:hAnsi="Calibri" w:cs="Traditional Arabic"/>
      <w:szCs w:val="30"/>
      <w:lang w:val="en-US"/>
    </w:rPr>
  </w:style>
  <w:style w:type="paragraph" w:styleId="Footer">
    <w:name w:val="footer"/>
    <w:basedOn w:val="Normal"/>
    <w:link w:val="FooterChar"/>
    <w:uiPriority w:val="99"/>
    <w:unhideWhenUsed/>
    <w:rsid w:val="00B779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B779AF"/>
    <w:rPr>
      <w:rFonts w:ascii="Calibri" w:hAnsi="Calibri" w:cs="Traditional Arabic"/>
      <w:szCs w:val="30"/>
      <w:lang w:val="en-US"/>
    </w:rPr>
  </w:style>
  <w:style w:type="paragraph" w:styleId="FootnoteText">
    <w:name w:val="footnote text"/>
    <w:basedOn w:val="Normal"/>
    <w:link w:val="FootnoteTextChar"/>
    <w:uiPriority w:val="99"/>
    <w:semiHidden/>
    <w:unhideWhenUsed/>
    <w:rsid w:val="0031524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15246"/>
    <w:rPr>
      <w:rFonts w:ascii="Calibri" w:hAnsi="Calibri" w:cs="Traditional Arabic"/>
      <w:sz w:val="20"/>
      <w:szCs w:val="20"/>
      <w:lang w:val="en-US"/>
    </w:rPr>
  </w:style>
  <w:style w:type="character" w:styleId="FootnoteReference">
    <w:name w:val="footnote reference"/>
    <w:basedOn w:val="DefaultParagraphFont"/>
    <w:uiPriority w:val="99"/>
    <w:semiHidden/>
    <w:unhideWhenUsed/>
    <w:rsid w:val="00315246"/>
    <w:rPr>
      <w:vertAlign w:val="superscript"/>
    </w:rPr>
  </w:style>
  <w:style w:type="table" w:styleId="TableGrid">
    <w:name w:val="Table Grid"/>
    <w:basedOn w:val="TableNormal"/>
    <w:rsid w:val="00315246"/>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9AB5-FA08-47B8-92AF-2C4E0029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389</Words>
  <Characters>2144</Characters>
  <Application>Microsoft Office Word</Application>
  <DocSecurity>0</DocSecurity>
  <Lines>17</Lines>
  <Paragraphs>5</Paragraphs>
  <ScaleCrop>false</ScaleCrop>
  <Company>ITU</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4</cp:revision>
  <dcterms:created xsi:type="dcterms:W3CDTF">2015-10-12T15:12:00Z</dcterms:created>
  <dcterms:modified xsi:type="dcterms:W3CDTF">2023-10-12T09:36:00Z</dcterms:modified>
</cp:coreProperties>
</file>