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9C48" w14:textId="77777777" w:rsidR="00B97C88" w:rsidRDefault="00B97C88" w:rsidP="00B97C88">
      <w:pPr>
        <w:keepNext/>
        <w:keepLines/>
        <w:spacing w:before="360" w:line="240" w:lineRule="auto"/>
        <w:jc w:val="center"/>
        <w:rPr>
          <w:rFonts w:ascii="Times New Roman" w:hAnsi="Times New Roman" w:cs="Times New Roman"/>
          <w:caps/>
          <w:sz w:val="28"/>
          <w:szCs w:val="20"/>
          <w:lang w:val="es-ES" w:eastAsia="ja-JP"/>
        </w:rPr>
      </w:pPr>
      <w:r>
        <w:rPr>
          <w:rFonts w:ascii="Times New Roman" w:hAnsi="Times New Roman" w:cs="Times New Roman"/>
          <w:caps/>
          <w:sz w:val="28"/>
          <w:szCs w:val="20"/>
          <w:lang w:val="es-ES"/>
        </w:rPr>
        <w:t>CUESTIÓN UIT-R 264/5</w:t>
      </w:r>
    </w:p>
    <w:p w14:paraId="207A1BFF" w14:textId="77777777" w:rsidR="00B97C88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jc w:val="center"/>
        <w:rPr>
          <w:rFonts w:asciiTheme="majorBidi" w:hAnsiTheme="majorBidi" w:cstheme="majorBidi"/>
          <w:b/>
          <w:sz w:val="28"/>
          <w:lang w:val="es-ES"/>
        </w:rPr>
      </w:pPr>
      <w:r>
        <w:rPr>
          <w:rFonts w:asciiTheme="majorBidi" w:hAnsiTheme="majorBidi" w:cstheme="majorBidi"/>
          <w:b/>
          <w:sz w:val="28"/>
          <w:lang w:val="es-ES"/>
        </w:rPr>
        <w:t>Estudios relativos a los sistemas de transporte inteligentes, incluidos los vehículos conectados y automatizados y las aplicaciones futuras</w:t>
      </w:r>
    </w:p>
    <w:p w14:paraId="2AA3CD2C" w14:textId="77777777" w:rsidR="00B97C88" w:rsidRPr="001A12BB" w:rsidRDefault="00B97C88" w:rsidP="00B97C8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right"/>
        <w:rPr>
          <w:rFonts w:ascii="Times New Roman" w:eastAsia="MS Mincho" w:hAnsi="Times New Roman" w:cs="Times New Roman"/>
          <w:szCs w:val="20"/>
          <w:lang w:val="es-ES"/>
        </w:rPr>
      </w:pPr>
      <w:r w:rsidRPr="001A12BB">
        <w:rPr>
          <w:rFonts w:ascii="Times New Roman" w:eastAsia="MS Mincho" w:hAnsi="Times New Roman" w:cs="Times New Roman"/>
          <w:szCs w:val="20"/>
          <w:lang w:val="es-ES"/>
        </w:rPr>
        <w:t>(2023)</w:t>
      </w:r>
    </w:p>
    <w:p w14:paraId="6902EAE5" w14:textId="77777777" w:rsidR="00B97C88" w:rsidRPr="001A12BB" w:rsidRDefault="00B97C88" w:rsidP="00B97C88">
      <w:pPr>
        <w:spacing w:before="240" w:line="240" w:lineRule="auto"/>
        <w:rPr>
          <w:rFonts w:asciiTheme="majorBidi" w:hAnsiTheme="majorBidi" w:cstheme="majorBidi"/>
          <w:szCs w:val="24"/>
          <w:lang w:val="es-ES"/>
        </w:rPr>
      </w:pPr>
      <w:r w:rsidRPr="001A12BB">
        <w:rPr>
          <w:rFonts w:asciiTheme="majorBidi" w:hAnsiTheme="majorBidi" w:cstheme="majorBidi"/>
          <w:szCs w:val="24"/>
          <w:lang w:val="es-ES"/>
        </w:rPr>
        <w:t>La Asamblea de Radiocomunicaciones de la UIT,</w:t>
      </w:r>
    </w:p>
    <w:p w14:paraId="2FFA5232" w14:textId="77777777" w:rsidR="00B97C88" w:rsidRPr="001A12BB" w:rsidRDefault="00B97C88" w:rsidP="00B97C88">
      <w:pPr>
        <w:keepNext/>
        <w:keepLines/>
        <w:spacing w:line="240" w:lineRule="auto"/>
        <w:ind w:left="794"/>
        <w:rPr>
          <w:rFonts w:asciiTheme="majorBidi" w:hAnsiTheme="majorBidi" w:cstheme="majorBidi"/>
          <w:i/>
          <w:szCs w:val="20"/>
          <w:lang w:val="es-ES"/>
        </w:rPr>
      </w:pPr>
      <w:r w:rsidRPr="001A12BB">
        <w:rPr>
          <w:rFonts w:asciiTheme="majorBidi" w:hAnsiTheme="majorBidi" w:cstheme="majorBidi"/>
          <w:i/>
          <w:szCs w:val="20"/>
          <w:lang w:val="es-ES"/>
        </w:rPr>
        <w:t>considerando</w:t>
      </w:r>
    </w:p>
    <w:p w14:paraId="31301D6F" w14:textId="77777777" w:rsidR="00B97C88" w:rsidRPr="001A12BB" w:rsidRDefault="00B97C88" w:rsidP="00B97C88">
      <w:pPr>
        <w:spacing w:before="120" w:line="240" w:lineRule="auto"/>
        <w:rPr>
          <w:rFonts w:asciiTheme="majorBidi" w:hAnsiTheme="majorBidi" w:cstheme="majorBidi"/>
          <w:szCs w:val="24"/>
          <w:lang w:val="es-ES" w:eastAsia="ja-JP"/>
        </w:rPr>
      </w:pPr>
      <w:r w:rsidRPr="001A12BB">
        <w:rPr>
          <w:rFonts w:asciiTheme="majorBidi" w:hAnsiTheme="majorBidi" w:cstheme="majorBidi"/>
          <w:i/>
          <w:iCs/>
          <w:szCs w:val="24"/>
          <w:lang w:val="es-ES" w:eastAsia="ja-JP"/>
        </w:rPr>
        <w:t>a)</w:t>
      </w:r>
      <w:r w:rsidRPr="001A12BB">
        <w:rPr>
          <w:rFonts w:asciiTheme="majorBidi" w:hAnsiTheme="majorBidi" w:cstheme="majorBidi"/>
          <w:szCs w:val="24"/>
          <w:lang w:val="es-ES" w:eastAsia="ja-JP"/>
        </w:rPr>
        <w:tab/>
        <w:t>que existen en todo el mundo unos 1 500 millones de vehículos, incluidos camiones y autobuses;</w:t>
      </w:r>
    </w:p>
    <w:p w14:paraId="1DE5F9ED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iCs/>
          <w:szCs w:val="20"/>
          <w:lang w:val="es-ES" w:eastAsia="ko-KR"/>
        </w:rPr>
      </w:pP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ko-KR"/>
        </w:rPr>
        <w:t>b)</w:t>
      </w: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ko-KR"/>
        </w:rPr>
        <w:tab/>
      </w:r>
      <w:r w:rsidRPr="001A12BB">
        <w:rPr>
          <w:rFonts w:ascii="Times New Roman" w:eastAsia="MS Mincho" w:hAnsi="Times New Roman" w:cs="Times New Roman"/>
          <w:szCs w:val="20"/>
          <w:lang w:val="es-ES"/>
        </w:rPr>
        <w:t>que es necesario incorporar nuevas tecnologías, incluidas las de radiocomunicaciones, en los sistemas de transporte terrestres;</w:t>
      </w:r>
    </w:p>
    <w:p w14:paraId="1AB1C155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val="es-ES" w:eastAsia="ko-KR"/>
        </w:rPr>
      </w:pP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ko-KR"/>
        </w:rPr>
        <w:t>c)</w:t>
      </w: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ko-KR"/>
        </w:rPr>
        <w:tab/>
      </w:r>
      <w:bookmarkStart w:id="0" w:name="_Hlk120128335"/>
      <w:r w:rsidRPr="001A12BB">
        <w:rPr>
          <w:rFonts w:ascii="Times New Roman" w:eastAsia="MS Mincho" w:hAnsi="Times New Roman" w:cs="Times New Roman"/>
          <w:szCs w:val="20"/>
          <w:lang w:val="es-ES" w:eastAsia="ko-KR"/>
        </w:rPr>
        <w:t>que las tecnologías de la información y la comunicación se integran en los vehículos para ofrecer las comunicaciones de los sistemas de transporte inteligentes (STI) evolutivos destinadas a mejorar la gestión del tráfico y ayudar a la conducción segura;</w:t>
      </w:r>
      <w:r w:rsidRPr="001A12BB" w:rsidDel="00E6544E">
        <w:rPr>
          <w:rFonts w:ascii="Times New Roman" w:eastAsia="MS Mincho" w:hAnsi="Times New Roman" w:cs="Times New Roman"/>
          <w:i/>
          <w:iCs/>
          <w:szCs w:val="20"/>
          <w:lang w:val="es-ES"/>
        </w:rPr>
        <w:t xml:space="preserve"> </w:t>
      </w:r>
      <w:bookmarkEnd w:id="0"/>
    </w:p>
    <w:p w14:paraId="30529141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iCs/>
          <w:szCs w:val="20"/>
          <w:lang w:val="es-ES" w:eastAsia="ko-KR"/>
        </w:rPr>
      </w:pP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ko-KR"/>
        </w:rPr>
        <w:t>d)</w:t>
      </w:r>
      <w:r w:rsidRPr="001A12BB">
        <w:rPr>
          <w:rFonts w:ascii="Times New Roman" w:eastAsia="MS Mincho" w:hAnsi="Times New Roman" w:cs="Times New Roman"/>
          <w:iCs/>
          <w:szCs w:val="20"/>
          <w:lang w:val="es-ES" w:eastAsia="ko-KR"/>
        </w:rPr>
        <w:tab/>
        <w:t>que el establecimiento de normas internacionales facilitará el despliegue mundial de STI y permitirá hacer economías de escala en el suministro al público de equipos y servicios STI</w:t>
      </w:r>
      <w:r w:rsidRPr="001A12BB">
        <w:rPr>
          <w:rFonts w:ascii="Times New Roman" w:eastAsia="MS Mincho" w:hAnsi="Times New Roman" w:cs="Times New Roman"/>
          <w:szCs w:val="20"/>
          <w:lang w:val="es-ES"/>
        </w:rPr>
        <w:t>;</w:t>
      </w:r>
      <w:r w:rsidRPr="001A12BB" w:rsidDel="00E6544E">
        <w:rPr>
          <w:rFonts w:ascii="Times New Roman" w:eastAsia="MS Mincho" w:hAnsi="Times New Roman" w:cs="Times New Roman"/>
          <w:i/>
          <w:iCs/>
          <w:szCs w:val="20"/>
          <w:lang w:val="es-ES"/>
        </w:rPr>
        <w:t xml:space="preserve"> </w:t>
      </w:r>
    </w:p>
    <w:p w14:paraId="6A9B2701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algun Gothic" w:hAnsi="Times New Roman" w:cs="Times New Roman"/>
          <w:iCs/>
          <w:szCs w:val="20"/>
          <w:lang w:val="es-ES" w:eastAsia="ko-KR"/>
        </w:rPr>
      </w:pPr>
      <w:r w:rsidRPr="001A12BB">
        <w:rPr>
          <w:rFonts w:ascii="Times New Roman" w:eastAsia="MS Mincho" w:hAnsi="Times New Roman" w:cs="Times New Roman"/>
          <w:i/>
          <w:szCs w:val="20"/>
          <w:lang w:val="es-ES"/>
        </w:rPr>
        <w:t>e)</w:t>
      </w:r>
      <w:r w:rsidRPr="001A12BB">
        <w:rPr>
          <w:rFonts w:ascii="Times New Roman" w:eastAsia="MS Mincho" w:hAnsi="Times New Roman" w:cs="Times New Roman"/>
          <w:i/>
          <w:szCs w:val="20"/>
          <w:lang w:val="es-ES"/>
        </w:rPr>
        <w:tab/>
      </w:r>
      <w:r w:rsidRPr="001A12BB">
        <w:rPr>
          <w:rFonts w:asciiTheme="majorBidi" w:hAnsiTheme="majorBidi" w:cstheme="majorBidi"/>
          <w:szCs w:val="24"/>
          <w:lang w:val="es-ES"/>
        </w:rPr>
        <w:t>que, tras la normalización inicial de los sistemas de transporte inteligentes (STI), se han mejorado y se seguirán mejorando con el correr del tiempo las especificaciones de los STI</w:t>
      </w:r>
      <w:r w:rsidRPr="001A12BB">
        <w:rPr>
          <w:rFonts w:ascii="Times New Roman" w:eastAsia="MS Mincho" w:hAnsi="Times New Roman" w:cs="Times New Roman"/>
          <w:szCs w:val="24"/>
          <w:lang w:val="es-ES" w:eastAsia="ja-JP"/>
        </w:rPr>
        <w:t>;</w:t>
      </w:r>
    </w:p>
    <w:p w14:paraId="5D343AA3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algun Gothic" w:hAnsi="Times New Roman" w:cs="Times New Roman"/>
          <w:iCs/>
          <w:szCs w:val="20"/>
          <w:lang w:val="es-ES" w:eastAsia="ko-KR"/>
        </w:rPr>
      </w:pP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ko-KR"/>
        </w:rPr>
        <w:t>f)</w:t>
      </w: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ko-KR"/>
        </w:rPr>
        <w:tab/>
      </w:r>
      <w:r w:rsidRPr="001A12BB">
        <w:rPr>
          <w:rFonts w:ascii="Times New Roman" w:eastAsia="MS Mincho" w:hAnsi="Times New Roman" w:cs="Times New Roman"/>
          <w:szCs w:val="20"/>
          <w:lang w:val="es-ES" w:eastAsia="ko-KR"/>
        </w:rPr>
        <w:t>que la introducción de vehículos conectados y automatizados (VCA) está propiciada por nuevos tipos de tecnologías de radiocomunicación y detección</w:t>
      </w:r>
      <w:r w:rsidRPr="001A12BB">
        <w:rPr>
          <w:rFonts w:ascii="Times New Roman" w:eastAsia="MS Mincho" w:hAnsi="Times New Roman" w:cs="Times New Roman"/>
          <w:szCs w:val="24"/>
          <w:lang w:val="es-ES"/>
        </w:rPr>
        <w:t>;</w:t>
      </w:r>
    </w:p>
    <w:p w14:paraId="37BA60EC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val="es-ES"/>
        </w:rPr>
      </w:pPr>
      <w:r w:rsidRPr="001A12BB">
        <w:rPr>
          <w:rFonts w:ascii="Times New Roman" w:eastAsia="MS Mincho" w:hAnsi="Times New Roman" w:cs="Times New Roman"/>
          <w:i/>
          <w:iCs/>
          <w:szCs w:val="24"/>
          <w:lang w:val="es-ES" w:eastAsia="ko-KR"/>
        </w:rPr>
        <w:t>g)</w:t>
      </w:r>
      <w:r w:rsidRPr="001A12BB">
        <w:rPr>
          <w:rFonts w:ascii="Times New Roman" w:eastAsia="MS Mincho" w:hAnsi="Times New Roman" w:cs="Times New Roman"/>
          <w:i/>
          <w:iCs/>
          <w:szCs w:val="24"/>
          <w:lang w:val="es-ES" w:eastAsia="ko-KR"/>
        </w:rPr>
        <w:tab/>
      </w:r>
      <w:r w:rsidRPr="001A12BB">
        <w:rPr>
          <w:rFonts w:ascii="Times New Roman" w:eastAsia="MS Mincho" w:hAnsi="Times New Roman" w:cs="Times New Roman"/>
          <w:szCs w:val="24"/>
          <w:lang w:val="es-ES" w:eastAsia="ko-KR"/>
        </w:rPr>
        <w:t>que los VCA pueden contribuir a reducir el número de colisiones y, por lo tanto, también el número de muertes y lesiones por accidentes de tráfico</w:t>
      </w:r>
      <w:r w:rsidRPr="001A12BB">
        <w:rPr>
          <w:rFonts w:ascii="Times New Roman" w:eastAsia="MS Mincho" w:hAnsi="Times New Roman" w:cs="Times New Roman"/>
          <w:szCs w:val="24"/>
          <w:lang w:val="es-ES" w:eastAsia="ja-JP"/>
        </w:rPr>
        <w:t>;</w:t>
      </w:r>
    </w:p>
    <w:p w14:paraId="0425122F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iCs/>
          <w:szCs w:val="20"/>
          <w:lang w:val="es-ES" w:eastAsia="ko-KR"/>
        </w:rPr>
      </w:pP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ko-KR"/>
        </w:rPr>
        <w:t>h)</w:t>
      </w: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ko-KR"/>
        </w:rPr>
        <w:tab/>
      </w:r>
      <w:r w:rsidRPr="001A12BB">
        <w:rPr>
          <w:rFonts w:ascii="Times New Roman" w:eastAsia="MS Mincho" w:hAnsi="Times New Roman" w:cs="Times New Roman"/>
          <w:szCs w:val="20"/>
          <w:lang w:val="es-ES" w:eastAsia="ko-KR"/>
        </w:rPr>
        <w:t>que ya se utilizan o se prevé utilizar VCA en diversas regiones</w:t>
      </w:r>
      <w:r w:rsidRPr="001A12BB">
        <w:rPr>
          <w:rFonts w:ascii="Times New Roman" w:eastAsia="MS Mincho" w:hAnsi="Times New Roman" w:cs="Times New Roman"/>
          <w:szCs w:val="24"/>
          <w:lang w:val="es-ES"/>
        </w:rPr>
        <w:t>;</w:t>
      </w:r>
    </w:p>
    <w:p w14:paraId="1D373D63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4"/>
          <w:lang w:val="es-ES"/>
        </w:rPr>
      </w:pP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zh-CN"/>
        </w:rPr>
        <w:t>i</w:t>
      </w: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ko-KR"/>
        </w:rPr>
        <w:t>)</w:t>
      </w: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ko-KR"/>
        </w:rPr>
        <w:tab/>
      </w:r>
      <w:r w:rsidRPr="001A12BB">
        <w:rPr>
          <w:rFonts w:ascii="Times New Roman" w:eastAsia="MS Mincho" w:hAnsi="Times New Roman" w:cs="Times New Roman"/>
          <w:szCs w:val="20"/>
          <w:lang w:val="es-ES" w:eastAsia="ko-KR"/>
        </w:rPr>
        <w:t>que las radiocomunicaciones para STI, incluidos los VCA, pueden realizarse utilizando las bandas de frecuencias atribuidas al servicio móvil terrestre</w:t>
      </w:r>
      <w:r w:rsidRPr="001A12BB">
        <w:rPr>
          <w:rFonts w:ascii="Times New Roman" w:eastAsia="MS Mincho" w:hAnsi="Times New Roman" w:cs="Times New Roman"/>
          <w:szCs w:val="24"/>
          <w:lang w:val="es-ES"/>
        </w:rPr>
        <w:t>;</w:t>
      </w:r>
    </w:p>
    <w:p w14:paraId="6B3ACE29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4"/>
          <w:lang w:val="es-ES"/>
        </w:rPr>
      </w:pPr>
      <w:r w:rsidRPr="001A12BB">
        <w:rPr>
          <w:rFonts w:ascii="Times New Roman" w:eastAsia="MS Mincho" w:hAnsi="Times New Roman" w:cs="Times New Roman"/>
          <w:i/>
          <w:iCs/>
          <w:szCs w:val="24"/>
          <w:lang w:val="es-ES"/>
        </w:rPr>
        <w:t>j</w:t>
      </w:r>
      <w:r w:rsidRPr="001A12BB">
        <w:rPr>
          <w:rFonts w:ascii="Times New Roman" w:eastAsia="MS Mincho" w:hAnsi="Times New Roman" w:cs="Times New Roman"/>
          <w:szCs w:val="24"/>
          <w:lang w:val="es-ES"/>
        </w:rPr>
        <w:t>)</w:t>
      </w:r>
      <w:r w:rsidRPr="001A12BB">
        <w:rPr>
          <w:rFonts w:ascii="Times New Roman" w:eastAsia="MS Mincho" w:hAnsi="Times New Roman" w:cs="Times New Roman"/>
          <w:szCs w:val="24"/>
          <w:lang w:val="es-ES"/>
        </w:rPr>
        <w:tab/>
        <w:t>que podrá ser necesario definir requisitos específicos para el funcionamiento seguro de determinadas aplicaciones de STI para la seguridad vial esenciales;</w:t>
      </w:r>
    </w:p>
    <w:p w14:paraId="4A03FADF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val="es-ES"/>
        </w:rPr>
      </w:pPr>
      <w:r w:rsidRPr="001A12BB">
        <w:rPr>
          <w:rFonts w:ascii="Times New Roman" w:eastAsia="MS Mincho" w:hAnsi="Times New Roman" w:cs="Times New Roman"/>
          <w:i/>
          <w:iCs/>
          <w:szCs w:val="24"/>
          <w:lang w:val="es-ES" w:eastAsia="ja-JP"/>
        </w:rPr>
        <w:t>k)</w:t>
      </w:r>
      <w:r w:rsidRPr="001A12BB">
        <w:rPr>
          <w:rFonts w:ascii="Times New Roman" w:eastAsia="MS Mincho" w:hAnsi="Times New Roman" w:cs="Times New Roman"/>
          <w:szCs w:val="24"/>
          <w:lang w:val="es-ES" w:eastAsia="ja-JP"/>
        </w:rPr>
        <w:tab/>
        <w:t>que los STI han evolucionado con el tiempo y que su evolución continúa en términos de tecnología y aplicaciones</w:t>
      </w:r>
      <w:r w:rsidRPr="001A12BB">
        <w:rPr>
          <w:rFonts w:ascii="Times New Roman" w:eastAsia="MS Mincho" w:hAnsi="Times New Roman" w:cs="Times New Roman"/>
          <w:szCs w:val="20"/>
          <w:lang w:val="es-ES"/>
        </w:rPr>
        <w:t>;</w:t>
      </w:r>
    </w:p>
    <w:p w14:paraId="15BC2025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4"/>
          <w:lang w:val="es-ES" w:eastAsia="ja-JP"/>
        </w:rPr>
      </w:pPr>
      <w:r w:rsidRPr="001A12BB">
        <w:rPr>
          <w:rFonts w:ascii="Times New Roman" w:eastAsia="MS Mincho" w:hAnsi="Times New Roman" w:cs="Times New Roman"/>
          <w:i/>
          <w:iCs/>
          <w:szCs w:val="20"/>
          <w:lang w:val="es-ES"/>
        </w:rPr>
        <w:t>l)</w:t>
      </w:r>
      <w:r w:rsidRPr="001A12BB">
        <w:rPr>
          <w:rFonts w:ascii="Times New Roman" w:eastAsia="MS Mincho" w:hAnsi="Times New Roman" w:cs="Times New Roman"/>
          <w:szCs w:val="20"/>
          <w:lang w:val="es-ES"/>
        </w:rPr>
        <w:tab/>
        <w:t>que la tecnología de ondas milimétricas puede ser beneficiosa para los STI, incluidos los VCA y las aplicaciones futuras;</w:t>
      </w:r>
    </w:p>
    <w:p w14:paraId="6D29EAD4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4"/>
          <w:lang w:val="es-ES"/>
        </w:rPr>
      </w:pP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zh-CN"/>
        </w:rPr>
        <w:t>m</w:t>
      </w: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ko-KR"/>
        </w:rPr>
        <w:t>)</w:t>
      </w:r>
      <w:r w:rsidRPr="001A12BB">
        <w:rPr>
          <w:rFonts w:ascii="Times New Roman" w:eastAsia="MS Mincho" w:hAnsi="Times New Roman" w:cs="Times New Roman"/>
          <w:szCs w:val="24"/>
          <w:lang w:val="es-ES"/>
        </w:rPr>
        <w:tab/>
        <w:t>que en el marco de la Cuestión UIT-R 205-6/5 se han llevado a cabo estudios sobre los sistemas de transporte inteligentes;</w:t>
      </w:r>
    </w:p>
    <w:p w14:paraId="7C22BA7A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4"/>
          <w:lang w:val="es-ES"/>
        </w:rPr>
      </w:pPr>
      <w:r w:rsidRPr="001A12BB">
        <w:rPr>
          <w:rFonts w:ascii="Times New Roman" w:eastAsia="MS Mincho" w:hAnsi="Times New Roman" w:cs="Times New Roman"/>
          <w:i/>
          <w:szCs w:val="20"/>
          <w:lang w:val="es-ES"/>
        </w:rPr>
        <w:t>n)</w:t>
      </w:r>
      <w:r w:rsidRPr="001A12BB">
        <w:rPr>
          <w:rFonts w:ascii="Times New Roman" w:eastAsia="MS Mincho" w:hAnsi="Times New Roman" w:cs="Times New Roman"/>
          <w:i/>
          <w:szCs w:val="20"/>
          <w:lang w:val="es-ES"/>
        </w:rPr>
        <w:tab/>
      </w:r>
      <w:r w:rsidRPr="001A12BB">
        <w:rPr>
          <w:rFonts w:ascii="Times New Roman" w:eastAsia="MS Mincho" w:hAnsi="Times New Roman" w:cs="Times New Roman"/>
          <w:iCs/>
          <w:szCs w:val="20"/>
          <w:lang w:val="es-ES"/>
        </w:rPr>
        <w:t>que en el marco de la Cuestión UIT-R 261/5 se han llevado a cabo estudios sobre los vehículos conectados y automatizados</w:t>
      </w:r>
      <w:r w:rsidRPr="001A12BB">
        <w:rPr>
          <w:rFonts w:ascii="Times New Roman" w:eastAsia="MS Mincho" w:hAnsi="Times New Roman" w:cs="Times New Roman"/>
          <w:szCs w:val="24"/>
          <w:lang w:val="es-ES"/>
        </w:rPr>
        <w:t>;</w:t>
      </w:r>
    </w:p>
    <w:p w14:paraId="5B58D713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i/>
          <w:szCs w:val="20"/>
          <w:lang w:val="es-ES"/>
        </w:rPr>
      </w:pPr>
      <w:r w:rsidRPr="001A12BB">
        <w:rPr>
          <w:rFonts w:ascii="Times New Roman" w:eastAsia="MS Mincho" w:hAnsi="Times New Roman" w:cs="Times New Roman"/>
          <w:i/>
          <w:szCs w:val="20"/>
          <w:lang w:val="es-ES"/>
        </w:rPr>
        <w:t>o)</w:t>
      </w:r>
      <w:r w:rsidRPr="001A12BB">
        <w:rPr>
          <w:rFonts w:ascii="Times New Roman" w:eastAsia="MS Mincho" w:hAnsi="Times New Roman" w:cs="Times New Roman"/>
          <w:i/>
          <w:szCs w:val="20"/>
          <w:lang w:val="es-ES"/>
        </w:rPr>
        <w:tab/>
      </w:r>
      <w:r w:rsidRPr="001A12BB">
        <w:rPr>
          <w:rFonts w:ascii="Times New Roman" w:eastAsia="MS Mincho" w:hAnsi="Times New Roman" w:cs="Times New Roman"/>
          <w:iCs/>
          <w:szCs w:val="20"/>
          <w:lang w:val="es-ES"/>
        </w:rPr>
        <w:t xml:space="preserve">que las Cuestiones UIT-R 205/5 y UIT-R 261/5 en vigor, así como sus versiones anteriores, han dado como resultado Informes, Recomendaciones y Manuales UIT-R sobre distintos aspectos de los sistemas de transporte inteligentes y los vehículos conectados y automatizados, como se indica en los </w:t>
      </w:r>
      <w:r w:rsidRPr="001A12BB">
        <w:rPr>
          <w:rFonts w:ascii="Times New Roman" w:eastAsia="MS Mincho" w:hAnsi="Times New Roman" w:cs="Times New Roman"/>
          <w:i/>
          <w:szCs w:val="20"/>
          <w:lang w:val="es-ES"/>
        </w:rPr>
        <w:t>observando</w:t>
      </w:r>
      <w:r w:rsidRPr="001A12BB">
        <w:rPr>
          <w:rFonts w:ascii="Times New Roman" w:eastAsia="SimSun" w:hAnsi="Times New Roman" w:cs="Times New Roman"/>
          <w:szCs w:val="24"/>
          <w:lang w:val="es-ES"/>
        </w:rPr>
        <w:t xml:space="preserve"> </w:t>
      </w:r>
      <w:r w:rsidRPr="001A12BB">
        <w:rPr>
          <w:rFonts w:ascii="Times New Roman" w:eastAsia="SimSun" w:hAnsi="Times New Roman" w:cs="Times New Roman"/>
          <w:i/>
          <w:iCs/>
          <w:szCs w:val="24"/>
          <w:lang w:val="es-ES"/>
        </w:rPr>
        <w:t>b)</w:t>
      </w:r>
      <w:r w:rsidRPr="001A12BB">
        <w:rPr>
          <w:rFonts w:ascii="Times New Roman" w:eastAsia="SimSun" w:hAnsi="Times New Roman" w:cs="Times New Roman"/>
          <w:szCs w:val="24"/>
          <w:lang w:val="es-ES"/>
        </w:rPr>
        <w:t xml:space="preserve"> y </w:t>
      </w:r>
      <w:r w:rsidRPr="001A12BB">
        <w:rPr>
          <w:rFonts w:ascii="Times New Roman" w:eastAsia="SimSun" w:hAnsi="Times New Roman" w:cs="Times New Roman"/>
          <w:i/>
          <w:iCs/>
          <w:szCs w:val="24"/>
          <w:lang w:val="es-ES"/>
        </w:rPr>
        <w:t>c)</w:t>
      </w:r>
      <w:r w:rsidRPr="001A12BB">
        <w:rPr>
          <w:rFonts w:ascii="Times New Roman" w:eastAsia="SimSun" w:hAnsi="Times New Roman" w:cs="Times New Roman"/>
          <w:szCs w:val="24"/>
          <w:lang w:val="es-ES"/>
        </w:rPr>
        <w:t>,</w:t>
      </w:r>
    </w:p>
    <w:p w14:paraId="7A3FDE5F" w14:textId="77777777" w:rsidR="00B97C88" w:rsidRPr="001A12BB" w:rsidRDefault="00B97C88" w:rsidP="00B97C8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851"/>
        <w:rPr>
          <w:rFonts w:ascii="Times New Roman" w:eastAsiaTheme="minorEastAsia" w:hAnsi="Times New Roman" w:cs="Times New Roman"/>
          <w:i/>
          <w:lang w:val="es-ES"/>
        </w:rPr>
      </w:pPr>
      <w:r w:rsidRPr="001A12BB">
        <w:rPr>
          <w:rFonts w:ascii="Times New Roman" w:eastAsiaTheme="minorEastAsia" w:hAnsi="Times New Roman" w:cs="Times New Roman"/>
          <w:i/>
          <w:lang w:val="es-ES"/>
        </w:rPr>
        <w:lastRenderedPageBreak/>
        <w:t>observando</w:t>
      </w:r>
    </w:p>
    <w:p w14:paraId="7F42E6FB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4"/>
          <w:lang w:val="es-ES" w:eastAsia="zh-CN"/>
        </w:rPr>
      </w:pPr>
      <w:r w:rsidRPr="001A12BB">
        <w:rPr>
          <w:rFonts w:ascii="Times New Roman" w:eastAsia="MS Mincho" w:hAnsi="Times New Roman" w:cs="Times New Roman"/>
          <w:i/>
          <w:iCs/>
          <w:szCs w:val="24"/>
          <w:lang w:val="es-ES" w:eastAsia="zh-CN"/>
        </w:rPr>
        <w:t>a)</w:t>
      </w:r>
      <w:r w:rsidRPr="001A12BB">
        <w:rPr>
          <w:rFonts w:ascii="Times New Roman" w:eastAsia="MS Mincho" w:hAnsi="Times New Roman" w:cs="Times New Roman"/>
          <w:szCs w:val="24"/>
          <w:lang w:val="es-ES" w:eastAsia="zh-CN"/>
        </w:rPr>
        <w:tab/>
        <w:t xml:space="preserve">que la Conferencia preparó la Recomendación </w:t>
      </w:r>
      <w:r w:rsidRPr="001A12BB">
        <w:rPr>
          <w:rFonts w:ascii="Times New Roman" w:eastAsia="MS Mincho" w:hAnsi="Times New Roman" w:cs="Times New Roman"/>
          <w:b/>
          <w:bCs/>
          <w:szCs w:val="24"/>
          <w:lang w:val="es-ES" w:eastAsia="zh-CN"/>
        </w:rPr>
        <w:t>208 (CMR-19)</w:t>
      </w:r>
      <w:r w:rsidRPr="001A12BB">
        <w:rPr>
          <w:rFonts w:ascii="Times New Roman" w:eastAsia="MS Mincho" w:hAnsi="Times New Roman" w:cs="Times New Roman"/>
          <w:szCs w:val="24"/>
          <w:lang w:val="es-ES" w:eastAsia="zh-CN"/>
        </w:rPr>
        <w:t xml:space="preserve"> a fin de armonizar las bandas de frecuencias para las aplicaciones de los STI evolutivos en las atribuciones al servicio móvil;</w:t>
      </w:r>
    </w:p>
    <w:p w14:paraId="44A430C8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val="es-ES" w:eastAsia="zh-CN"/>
        </w:rPr>
      </w:pP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zh-CN"/>
        </w:rPr>
        <w:t>b)</w:t>
      </w:r>
      <w:r w:rsidRPr="001A12BB">
        <w:rPr>
          <w:rFonts w:ascii="Times New Roman" w:eastAsia="MS Mincho" w:hAnsi="Times New Roman" w:cs="Times New Roman"/>
          <w:szCs w:val="20"/>
          <w:lang w:val="es-ES" w:eastAsia="zh-CN"/>
        </w:rPr>
        <w:tab/>
        <w:t>que en el marco del punto 1.18 del orden del día de la CMR-15 se prepararon la Recomendación UIT-R M.2057 y el Informe UIT</w:t>
      </w:r>
      <w:r w:rsidRPr="001A12BB">
        <w:rPr>
          <w:rFonts w:ascii="Times New Roman" w:eastAsia="MS Mincho" w:hAnsi="Times New Roman" w:cs="Times New Roman"/>
          <w:szCs w:val="20"/>
          <w:lang w:val="es-ES" w:eastAsia="zh-CN"/>
        </w:rPr>
        <w:noBreakHyphen/>
        <w:t>R M.2322;</w:t>
      </w:r>
    </w:p>
    <w:p w14:paraId="69F03D66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val="es-ES" w:eastAsia="zh-CN"/>
        </w:rPr>
      </w:pP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zh-CN"/>
        </w:rPr>
        <w:t>c)</w:t>
      </w:r>
      <w:r w:rsidRPr="001A12BB">
        <w:rPr>
          <w:rFonts w:ascii="Times New Roman" w:eastAsia="MS Mincho" w:hAnsi="Times New Roman" w:cs="Times New Roman"/>
          <w:szCs w:val="20"/>
          <w:lang w:val="es-ES" w:eastAsia="zh-CN"/>
        </w:rPr>
        <w:tab/>
        <w:t>que en el marco de la Cuestión UIT-R 252/5 se preparó el Informe UIT-R F.2394;</w:t>
      </w:r>
    </w:p>
    <w:p w14:paraId="40705C9A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SimSun" w:hAnsi="Times New Roman" w:cs="Times New Roman"/>
          <w:szCs w:val="24"/>
          <w:lang w:val="es-ES"/>
        </w:rPr>
      </w:pP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ja-JP"/>
        </w:rPr>
        <w:t>d)</w:t>
      </w: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zh-CN"/>
        </w:rPr>
        <w:tab/>
      </w:r>
      <w:r w:rsidRPr="001A12BB">
        <w:rPr>
          <w:rFonts w:ascii="Times New Roman" w:eastAsia="MS Mincho" w:hAnsi="Times New Roman" w:cs="Times New Roman"/>
          <w:iCs/>
          <w:szCs w:val="20"/>
          <w:lang w:val="es-ES"/>
        </w:rPr>
        <w:t xml:space="preserve">que las Cuestiones UIT-R 205/5 y UIT-R 261/5 en vigor, así como sus versiones anteriores, </w:t>
      </w:r>
      <w:r w:rsidRPr="00935E56">
        <w:rPr>
          <w:rFonts w:ascii="Times New Roman" w:eastAsia="MS Mincho" w:hAnsi="Times New Roman" w:cs="Times New Roman"/>
          <w:iCs/>
          <w:spacing w:val="-4"/>
          <w:szCs w:val="20"/>
          <w:lang w:val="es-ES"/>
        </w:rPr>
        <w:t>han dado como resultado</w:t>
      </w:r>
      <w:r w:rsidRPr="00935E56">
        <w:rPr>
          <w:rFonts w:ascii="Times New Roman" w:eastAsia="SimSun" w:hAnsi="Times New Roman" w:cs="Times New Roman"/>
          <w:spacing w:val="-4"/>
          <w:szCs w:val="24"/>
          <w:lang w:val="es-ES"/>
        </w:rPr>
        <w:t xml:space="preserve"> las siguientes Recomendaciones e Informes UIT-R: Recomendaciones UIT-R</w:t>
      </w:r>
      <w:r w:rsidRPr="001A12BB">
        <w:rPr>
          <w:rFonts w:ascii="Times New Roman" w:eastAsia="SimSun" w:hAnsi="Times New Roman" w:cs="Times New Roman"/>
          <w:szCs w:val="24"/>
          <w:lang w:val="es-ES"/>
        </w:rPr>
        <w:t xml:space="preserve"> M.1452, ITU-R M.1453, ITU-R M.1890, ITU</w:t>
      </w:r>
      <w:r w:rsidRPr="001A12BB">
        <w:rPr>
          <w:rFonts w:ascii="Times New Roman" w:eastAsia="SimSun" w:hAnsi="Times New Roman" w:cs="Times New Roman"/>
          <w:szCs w:val="24"/>
          <w:lang w:val="es-ES"/>
        </w:rPr>
        <w:noBreakHyphen/>
        <w:t>R M.2084, ITU-R M.2121, e Informes UIT-R M.2228, ITU-R M.2444, ITU</w:t>
      </w:r>
      <w:r w:rsidRPr="001A12BB">
        <w:rPr>
          <w:rFonts w:ascii="Times New Roman" w:eastAsia="SimSun" w:hAnsi="Times New Roman" w:cs="Times New Roman"/>
          <w:szCs w:val="24"/>
          <w:lang w:val="es-ES"/>
        </w:rPr>
        <w:noBreakHyphen/>
        <w:t>R M.2445, ITU-R M.2534-0;</w:t>
      </w:r>
    </w:p>
    <w:p w14:paraId="319D6506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i/>
          <w:iCs/>
          <w:szCs w:val="20"/>
          <w:lang w:val="es-ES" w:eastAsia="zh-CN"/>
        </w:rPr>
      </w:pP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zh-CN"/>
        </w:rPr>
        <w:t>e)</w:t>
      </w: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zh-CN"/>
        </w:rPr>
        <w:tab/>
      </w:r>
      <w:r w:rsidRPr="001A12BB">
        <w:rPr>
          <w:rFonts w:ascii="Times New Roman" w:eastAsia="MS Mincho" w:hAnsi="Times New Roman" w:cs="Times New Roman"/>
          <w:szCs w:val="20"/>
          <w:lang w:val="es-ES" w:eastAsia="zh-CN"/>
        </w:rPr>
        <w:t>que el Volumen 4 del Manual sobre el servicio móvil terrestre contiene información sobre los sistemas de transporte inteligentes</w:t>
      </w:r>
      <w:r w:rsidRPr="001A12BB">
        <w:rPr>
          <w:rFonts w:ascii="Times New Roman" w:eastAsia="MS Mincho" w:hAnsi="Times New Roman" w:cs="Times New Roman"/>
          <w:szCs w:val="24"/>
          <w:lang w:val="es-ES" w:eastAsia="ja-JP"/>
        </w:rPr>
        <w:t>,</w:t>
      </w:r>
    </w:p>
    <w:p w14:paraId="7E39724A" w14:textId="77777777" w:rsidR="00B97C88" w:rsidRPr="001A12BB" w:rsidRDefault="00B97C88" w:rsidP="00B97C8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line="240" w:lineRule="auto"/>
        <w:ind w:left="851"/>
        <w:rPr>
          <w:rFonts w:ascii="Times New Roman" w:eastAsia="MS Mincho" w:hAnsi="Times New Roman" w:cs="Times New Roman"/>
          <w:i/>
          <w:szCs w:val="20"/>
          <w:lang w:val="es-ES"/>
        </w:rPr>
      </w:pPr>
      <w:r w:rsidRPr="001A12BB">
        <w:rPr>
          <w:rFonts w:ascii="Times New Roman" w:eastAsiaTheme="minorEastAsia" w:hAnsi="Times New Roman" w:cs="Times New Roman"/>
          <w:i/>
          <w:lang w:val="es-ES"/>
        </w:rPr>
        <w:t>decide</w:t>
      </w:r>
      <w:r w:rsidRPr="001A12BB">
        <w:rPr>
          <w:rFonts w:ascii="Times New Roman" w:eastAsia="MS Mincho" w:hAnsi="Times New Roman" w:cs="Times New Roman"/>
          <w:i/>
          <w:szCs w:val="20"/>
          <w:lang w:val="es-ES"/>
        </w:rPr>
        <w:t xml:space="preserve"> </w:t>
      </w:r>
    </w:p>
    <w:p w14:paraId="7CE27C49" w14:textId="77777777" w:rsidR="00B97C88" w:rsidRPr="001A12BB" w:rsidRDefault="00B97C88" w:rsidP="00B97C8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line="240" w:lineRule="auto"/>
        <w:rPr>
          <w:rFonts w:ascii="Times New Roman" w:eastAsia="MS Mincho" w:hAnsi="Times New Roman" w:cs="Times New Roman"/>
          <w:szCs w:val="20"/>
          <w:lang w:val="es-ES"/>
        </w:rPr>
      </w:pPr>
      <w:r w:rsidRPr="001A12BB">
        <w:rPr>
          <w:rFonts w:ascii="Times New Roman" w:eastAsia="MS Mincho" w:hAnsi="Times New Roman" w:cs="Times New Roman"/>
          <w:szCs w:val="20"/>
          <w:lang w:val="es-ES"/>
        </w:rPr>
        <w:t xml:space="preserve">poner a estudio las siguientes Cuestiones, habida cuenta de la información disponible en las publicaciones de la UIT existentes sobre STI, incluidos los VCA, enumeradas en el </w:t>
      </w:r>
      <w:r w:rsidRPr="001A12BB">
        <w:rPr>
          <w:rFonts w:ascii="Times New Roman" w:eastAsia="MS Mincho" w:hAnsi="Times New Roman" w:cs="Times New Roman"/>
          <w:i/>
          <w:iCs/>
          <w:szCs w:val="20"/>
          <w:lang w:val="es-ES"/>
        </w:rPr>
        <w:t>observando</w:t>
      </w:r>
    </w:p>
    <w:p w14:paraId="17C70305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rPr>
          <w:rFonts w:ascii="Times New Roman" w:eastAsia="MS Mincho" w:hAnsi="Times New Roman" w:cs="Times New Roman"/>
          <w:szCs w:val="20"/>
          <w:lang w:val="es-ES"/>
        </w:rPr>
      </w:pPr>
      <w:r w:rsidRPr="001A12BB">
        <w:rPr>
          <w:rFonts w:ascii="Times New Roman" w:eastAsia="MS Mincho" w:hAnsi="Times New Roman" w:cs="Times New Roman"/>
          <w:szCs w:val="20"/>
          <w:lang w:val="es-ES"/>
        </w:rPr>
        <w:t>1</w:t>
      </w:r>
      <w:r w:rsidRPr="001A12BB">
        <w:rPr>
          <w:rFonts w:ascii="Times New Roman" w:eastAsia="MS Mincho" w:hAnsi="Times New Roman" w:cs="Times New Roman"/>
          <w:szCs w:val="20"/>
          <w:lang w:val="es-ES"/>
        </w:rPr>
        <w:tab/>
      </w:r>
      <w:bookmarkStart w:id="1" w:name="_Hlk120125006"/>
      <w:proofErr w:type="gramStart"/>
      <w:r w:rsidRPr="001A12BB">
        <w:rPr>
          <w:rFonts w:ascii="Times New Roman" w:eastAsia="MS Mincho" w:hAnsi="Times New Roman" w:cs="Times New Roman"/>
          <w:szCs w:val="20"/>
          <w:lang w:val="es-ES"/>
        </w:rPr>
        <w:t>Para</w:t>
      </w:r>
      <w:proofErr w:type="gramEnd"/>
      <w:r w:rsidRPr="001A12BB">
        <w:rPr>
          <w:rFonts w:ascii="Times New Roman" w:eastAsia="MS Mincho" w:hAnsi="Times New Roman" w:cs="Times New Roman"/>
          <w:szCs w:val="20"/>
          <w:lang w:val="es-ES"/>
        </w:rPr>
        <w:t xml:space="preserve"> los STI en general: </w:t>
      </w:r>
      <w:bookmarkEnd w:id="1"/>
    </w:p>
    <w:p w14:paraId="48CB8C17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608"/>
          <w:tab w:val="left" w:pos="3345"/>
        </w:tabs>
        <w:spacing w:before="80" w:line="240" w:lineRule="auto"/>
        <w:ind w:left="851" w:hanging="851"/>
        <w:rPr>
          <w:rFonts w:ascii="Times New Roman" w:eastAsia="MS Mincho" w:hAnsi="Times New Roman" w:cs="Times New Roman"/>
          <w:szCs w:val="20"/>
          <w:lang w:val="es-ES"/>
        </w:rPr>
      </w:pPr>
      <w:r w:rsidRPr="001A12BB">
        <w:rPr>
          <w:rFonts w:ascii="Times New Roman" w:eastAsia="MS Mincho" w:hAnsi="Times New Roman" w:cs="Times New Roman"/>
          <w:szCs w:val="20"/>
          <w:lang w:val="es-ES" w:eastAsia="ja-JP"/>
        </w:rPr>
        <w:t>–</w:t>
      </w:r>
      <w:r w:rsidRPr="001A12BB">
        <w:rPr>
          <w:rFonts w:ascii="Times New Roman" w:eastAsia="MS Mincho" w:hAnsi="Times New Roman" w:cs="Times New Roman"/>
          <w:szCs w:val="20"/>
          <w:lang w:val="es-ES" w:eastAsia="ja-JP"/>
        </w:rPr>
        <w:tab/>
        <w:t>¿Qué requisitos de radiocomunicaciones y espectro para los servicios y elementos funcionales de los STI podrían beneficiar de normalización internacional? y ¿en qué medida pueden utilizarse los servicios de telecomunicaciones móviles evolutivos para ofrecer servicios STI?</w:t>
      </w:r>
    </w:p>
    <w:p w14:paraId="43CA2DD0" w14:textId="77777777" w:rsidR="00B97C88" w:rsidRPr="001A12BB" w:rsidRDefault="00B97C88" w:rsidP="00B97C8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608"/>
          <w:tab w:val="left" w:pos="3345"/>
        </w:tabs>
        <w:spacing w:before="80" w:line="240" w:lineRule="auto"/>
        <w:ind w:left="1138" w:hanging="1138"/>
        <w:rPr>
          <w:rFonts w:ascii="Times New Roman" w:eastAsia="MS Mincho" w:hAnsi="Times New Roman" w:cs="Times New Roman"/>
          <w:i/>
          <w:iCs/>
          <w:szCs w:val="20"/>
          <w:lang w:val="es-ES"/>
        </w:rPr>
      </w:pPr>
      <w:r w:rsidRPr="001A12BB">
        <w:rPr>
          <w:rFonts w:ascii="Times New Roman" w:eastAsia="MS Mincho" w:hAnsi="Times New Roman" w:cs="Times New Roman"/>
          <w:szCs w:val="20"/>
          <w:lang w:val="es-ES"/>
        </w:rPr>
        <w:t>2</w:t>
      </w:r>
      <w:r w:rsidRPr="001A12BB">
        <w:rPr>
          <w:rFonts w:ascii="Times New Roman" w:eastAsia="MS Mincho" w:hAnsi="Times New Roman" w:cs="Times New Roman"/>
          <w:szCs w:val="20"/>
          <w:lang w:val="es-ES"/>
        </w:rPr>
        <w:tab/>
      </w:r>
      <w:bookmarkStart w:id="2" w:name="_Hlk120125075"/>
      <w:proofErr w:type="gramStart"/>
      <w:r w:rsidRPr="001A12BB">
        <w:rPr>
          <w:rFonts w:ascii="Times New Roman" w:eastAsia="MS Mincho" w:hAnsi="Times New Roman" w:cs="Times New Roman"/>
          <w:szCs w:val="20"/>
          <w:lang w:val="es-ES"/>
        </w:rPr>
        <w:t>Para</w:t>
      </w:r>
      <w:proofErr w:type="gramEnd"/>
      <w:r w:rsidRPr="001A12BB">
        <w:rPr>
          <w:rFonts w:ascii="Times New Roman" w:eastAsia="MS Mincho" w:hAnsi="Times New Roman" w:cs="Times New Roman"/>
          <w:szCs w:val="20"/>
          <w:lang w:val="es-ES"/>
        </w:rPr>
        <w:t xml:space="preserve"> las aplicaciones STI para VCA en particular:</w:t>
      </w:r>
      <w:bookmarkEnd w:id="2"/>
    </w:p>
    <w:p w14:paraId="3E4C6E23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608"/>
          <w:tab w:val="left" w:pos="3345"/>
        </w:tabs>
        <w:spacing w:before="80" w:line="240" w:lineRule="auto"/>
        <w:ind w:left="851" w:hanging="851"/>
        <w:rPr>
          <w:rFonts w:ascii="Times New Roman" w:eastAsia="MS Mincho" w:hAnsi="Times New Roman" w:cs="Times New Roman"/>
          <w:szCs w:val="20"/>
          <w:lang w:val="es-ES" w:eastAsia="ja-JP"/>
        </w:rPr>
      </w:pPr>
      <w:r w:rsidRPr="001A12BB">
        <w:rPr>
          <w:rFonts w:ascii="Times New Roman" w:eastAsia="MS Mincho" w:hAnsi="Times New Roman" w:cs="Times New Roman"/>
          <w:szCs w:val="20"/>
          <w:lang w:val="es-ES" w:eastAsia="ja-JP"/>
        </w:rPr>
        <w:t>–</w:t>
      </w:r>
      <w:r w:rsidRPr="001A12BB">
        <w:rPr>
          <w:rFonts w:ascii="Times New Roman" w:eastAsia="MS Mincho" w:hAnsi="Times New Roman" w:cs="Times New Roman"/>
          <w:szCs w:val="20"/>
          <w:lang w:val="es-ES" w:eastAsia="ja-JP"/>
        </w:rPr>
        <w:tab/>
        <w:t>¿Qué requisitos de radiocomunicaciones y espectro, incluida la conectividad de radiocomunicaciones en banda ancha y/o de baja latencia, y qué características operativas de los sistemas de radiocomunicaciones pueden soportar los VCA?</w:t>
      </w:r>
    </w:p>
    <w:p w14:paraId="152A0BEF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608"/>
          <w:tab w:val="left" w:pos="3345"/>
        </w:tabs>
        <w:spacing w:before="80" w:line="240" w:lineRule="auto"/>
        <w:ind w:left="851" w:hanging="851"/>
        <w:rPr>
          <w:rFonts w:ascii="Times New Roman" w:eastAsia="MS Mincho" w:hAnsi="Times New Roman" w:cs="Times New Roman"/>
          <w:szCs w:val="20"/>
          <w:lang w:val="es-ES" w:eastAsia="nl-NL"/>
        </w:rPr>
      </w:pPr>
      <w:r w:rsidRPr="001A12BB">
        <w:rPr>
          <w:rFonts w:ascii="Times New Roman" w:eastAsia="MS Mincho" w:hAnsi="Times New Roman" w:cs="Times New Roman"/>
          <w:szCs w:val="20"/>
          <w:lang w:val="es-ES" w:eastAsia="ja-JP"/>
        </w:rPr>
        <w:t>–</w:t>
      </w:r>
      <w:r w:rsidRPr="001A12BB">
        <w:rPr>
          <w:rFonts w:ascii="Times New Roman" w:eastAsia="MS Mincho" w:hAnsi="Times New Roman" w:cs="Times New Roman"/>
          <w:szCs w:val="20"/>
          <w:lang w:val="es-ES" w:eastAsia="ja-JP"/>
        </w:rPr>
        <w:tab/>
        <w:t xml:space="preserve">¿Qué requisitos de </w:t>
      </w:r>
      <w:proofErr w:type="spellStart"/>
      <w:r w:rsidRPr="001A12BB">
        <w:rPr>
          <w:rFonts w:ascii="Times New Roman" w:eastAsia="MS Mincho" w:hAnsi="Times New Roman" w:cs="Times New Roman"/>
          <w:szCs w:val="20"/>
          <w:lang w:val="es-ES" w:eastAsia="ja-JP"/>
        </w:rPr>
        <w:t>interfuncionamiento</w:t>
      </w:r>
      <w:proofErr w:type="spellEnd"/>
      <w:r w:rsidRPr="001A12BB">
        <w:rPr>
          <w:rFonts w:ascii="Times New Roman" w:eastAsia="MS Mincho" w:hAnsi="Times New Roman" w:cs="Times New Roman"/>
          <w:szCs w:val="20"/>
          <w:lang w:val="es-ES" w:eastAsia="ja-JP"/>
        </w:rPr>
        <w:t xml:space="preserve"> de las radiocomunicaciones directas </w:t>
      </w:r>
      <w:r w:rsidRPr="001A12BB">
        <w:rPr>
          <w:rFonts w:ascii="Times New Roman" w:eastAsia="MS Mincho" w:hAnsi="Times New Roman" w:cs="Times New Roman"/>
          <w:i/>
          <w:iCs/>
          <w:szCs w:val="20"/>
          <w:lang w:val="es-ES" w:eastAsia="ja-JP"/>
        </w:rPr>
        <w:t xml:space="preserve">ad hoc </w:t>
      </w:r>
      <w:r w:rsidRPr="001A12BB">
        <w:rPr>
          <w:rFonts w:ascii="Times New Roman" w:eastAsia="MS Mincho" w:hAnsi="Times New Roman" w:cs="Times New Roman"/>
          <w:szCs w:val="20"/>
          <w:lang w:val="es-ES" w:eastAsia="ja-JP"/>
        </w:rPr>
        <w:t>con las radiocomunicaciones conectadas por red celular se necesitan para ofrecer aplicaciones STI a los VCA de manera eficiente y sostenible</w:t>
      </w:r>
      <w:r w:rsidRPr="001A12BB">
        <w:rPr>
          <w:rFonts w:ascii="Times New Roman" w:eastAsia="MS Mincho" w:hAnsi="Times New Roman" w:cs="Times New Roman"/>
          <w:szCs w:val="20"/>
          <w:lang w:val="es-ES" w:eastAsia="nl-NL"/>
        </w:rPr>
        <w:t>?</w:t>
      </w:r>
    </w:p>
    <w:p w14:paraId="091893CA" w14:textId="77777777" w:rsidR="00B97C88" w:rsidRPr="001A12BB" w:rsidRDefault="00B97C88" w:rsidP="00B97C88">
      <w:pPr>
        <w:keepNext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608"/>
          <w:tab w:val="left" w:pos="3345"/>
        </w:tabs>
        <w:spacing w:before="80" w:line="240" w:lineRule="auto"/>
        <w:ind w:left="851" w:hanging="851"/>
        <w:rPr>
          <w:rFonts w:ascii="Times New Roman" w:eastAsia="MS Mincho" w:hAnsi="Times New Roman" w:cs="Times New Roman"/>
          <w:spacing w:val="-2"/>
          <w:szCs w:val="20"/>
          <w:lang w:val="es-ES" w:eastAsia="nl-NL"/>
        </w:rPr>
      </w:pPr>
      <w:r w:rsidRPr="001A12BB">
        <w:rPr>
          <w:rFonts w:ascii="Times New Roman" w:eastAsia="MS Mincho" w:hAnsi="Times New Roman" w:cs="Times New Roman"/>
          <w:szCs w:val="20"/>
          <w:lang w:val="es-ES"/>
        </w:rPr>
        <w:t>3</w:t>
      </w:r>
      <w:r w:rsidRPr="001A12BB">
        <w:rPr>
          <w:rFonts w:ascii="Times New Roman" w:eastAsia="MS Mincho" w:hAnsi="Times New Roman" w:cs="Times New Roman"/>
          <w:szCs w:val="20"/>
          <w:lang w:val="es-ES"/>
        </w:rPr>
        <w:tab/>
      </w:r>
      <w:proofErr w:type="gramStart"/>
      <w:r w:rsidRPr="001A12BB">
        <w:rPr>
          <w:rFonts w:ascii="Times New Roman" w:eastAsia="MS Mincho" w:hAnsi="Times New Roman" w:cs="Times New Roman"/>
          <w:szCs w:val="20"/>
          <w:lang w:val="es-ES"/>
        </w:rPr>
        <w:t>Para</w:t>
      </w:r>
      <w:proofErr w:type="gramEnd"/>
      <w:r w:rsidRPr="001A12BB">
        <w:rPr>
          <w:rFonts w:ascii="Times New Roman" w:eastAsia="MS Mincho" w:hAnsi="Times New Roman" w:cs="Times New Roman"/>
          <w:szCs w:val="20"/>
          <w:lang w:val="es-ES"/>
        </w:rPr>
        <w:t xml:space="preserve"> las aplicaciones futuras y otras aplicaciones de STI distintas de las de los </w:t>
      </w:r>
      <w:r w:rsidRPr="001A12BB">
        <w:rPr>
          <w:rFonts w:ascii="Times New Roman" w:eastAsia="MS Mincho" w:hAnsi="Times New Roman" w:cs="Times New Roman"/>
          <w:i/>
          <w:iCs/>
          <w:szCs w:val="20"/>
          <w:lang w:val="es-ES"/>
        </w:rPr>
        <w:t xml:space="preserve">decide </w:t>
      </w:r>
      <w:r w:rsidRPr="001A12BB">
        <w:rPr>
          <w:rFonts w:ascii="Times New Roman" w:eastAsia="MS Mincho" w:hAnsi="Times New Roman" w:cs="Times New Roman"/>
          <w:szCs w:val="20"/>
          <w:lang w:val="es-ES"/>
        </w:rPr>
        <w:t>1 y 2 anteriores</w:t>
      </w:r>
      <w:r w:rsidRPr="001A12BB">
        <w:rPr>
          <w:rFonts w:ascii="Times New Roman" w:eastAsia="MS Mincho" w:hAnsi="Times New Roman" w:cs="Times New Roman"/>
          <w:spacing w:val="-2"/>
          <w:szCs w:val="20"/>
          <w:lang w:val="es-ES"/>
        </w:rPr>
        <w:t>:</w:t>
      </w:r>
    </w:p>
    <w:p w14:paraId="0EEA5632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608"/>
          <w:tab w:val="left" w:pos="3345"/>
        </w:tabs>
        <w:spacing w:before="80" w:line="240" w:lineRule="auto"/>
        <w:ind w:left="851" w:hanging="851"/>
        <w:rPr>
          <w:rFonts w:ascii="Times New Roman" w:eastAsia="MS Mincho" w:hAnsi="Times New Roman" w:cs="Times New Roman"/>
          <w:szCs w:val="20"/>
          <w:lang w:val="es-ES" w:eastAsia="ja-JP"/>
        </w:rPr>
      </w:pPr>
      <w:r w:rsidRPr="001A12BB">
        <w:rPr>
          <w:rFonts w:ascii="Times New Roman" w:eastAsia="MS Mincho" w:hAnsi="Times New Roman" w:cs="Times New Roman"/>
          <w:szCs w:val="20"/>
          <w:lang w:val="es-ES" w:eastAsia="ja-JP"/>
        </w:rPr>
        <w:t>–</w:t>
      </w:r>
      <w:r w:rsidRPr="001A12BB">
        <w:rPr>
          <w:rFonts w:ascii="Times New Roman" w:eastAsia="MS Mincho" w:hAnsi="Times New Roman" w:cs="Times New Roman"/>
          <w:szCs w:val="20"/>
          <w:lang w:val="es-ES" w:eastAsia="ja-JP"/>
        </w:rPr>
        <w:tab/>
        <w:t xml:space="preserve">¿Cuáles son los objetivos, aplicaciones, requisitos de radiocomunicación y espectro y problemas técnicos y operativos, incluido el funcionamiento seguro, asociados a las aplicaciones futuras e incipientes utilizadas para los STI, incluidos los VCA? </w:t>
      </w:r>
    </w:p>
    <w:p w14:paraId="4EF97D47" w14:textId="77777777" w:rsidR="00B97C88" w:rsidRPr="001A12BB" w:rsidRDefault="00B97C88" w:rsidP="00B97C8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268"/>
        </w:tabs>
        <w:spacing w:line="240" w:lineRule="auto"/>
        <w:ind w:left="851"/>
        <w:rPr>
          <w:rFonts w:ascii="Times New Roman" w:eastAsiaTheme="minorEastAsia" w:hAnsi="Times New Roman" w:cs="Times New Roman"/>
          <w:i/>
          <w:lang w:val="es-ES"/>
        </w:rPr>
      </w:pPr>
      <w:r w:rsidRPr="001A12BB">
        <w:rPr>
          <w:rFonts w:ascii="Times New Roman" w:eastAsiaTheme="minorEastAsia" w:hAnsi="Times New Roman" w:cs="Times New Roman"/>
          <w:i/>
          <w:lang w:val="es-ES"/>
        </w:rPr>
        <w:t>decide también</w:t>
      </w:r>
    </w:p>
    <w:p w14:paraId="5447E0B6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val="es-ES"/>
        </w:rPr>
      </w:pPr>
      <w:r w:rsidRPr="001A12BB">
        <w:rPr>
          <w:rFonts w:ascii="Times New Roman" w:eastAsia="MS Mincho" w:hAnsi="Times New Roman" w:cs="Times New Roman"/>
          <w:bCs/>
          <w:szCs w:val="20"/>
          <w:lang w:val="es-ES"/>
        </w:rPr>
        <w:t>1</w:t>
      </w:r>
      <w:r w:rsidRPr="001A12BB">
        <w:rPr>
          <w:rFonts w:ascii="Times New Roman" w:eastAsia="MS Mincho" w:hAnsi="Times New Roman" w:cs="Times New Roman"/>
          <w:szCs w:val="20"/>
          <w:lang w:val="es-ES"/>
        </w:rPr>
        <w:tab/>
        <w:t xml:space="preserve">que los Informes y/o Recomendaciones UIT-R existentes, enumerados en el </w:t>
      </w:r>
      <w:r w:rsidRPr="001A12BB">
        <w:rPr>
          <w:rFonts w:ascii="Times New Roman" w:eastAsia="MS Mincho" w:hAnsi="Times New Roman" w:cs="Times New Roman"/>
          <w:i/>
          <w:iCs/>
          <w:szCs w:val="20"/>
          <w:lang w:val="es-ES"/>
        </w:rPr>
        <w:t>observando</w:t>
      </w:r>
      <w:r w:rsidRPr="001A12BB">
        <w:rPr>
          <w:rFonts w:ascii="Times New Roman" w:eastAsia="MS Mincho" w:hAnsi="Times New Roman" w:cs="Times New Roman"/>
          <w:szCs w:val="20"/>
          <w:lang w:val="es-ES"/>
        </w:rPr>
        <w:t>, se revisen y actualicen en función de los resultados pertinentes de los estudios realizados en el marco de esta Cuestión, según proceda</w:t>
      </w:r>
      <w:r w:rsidRPr="001A12BB">
        <w:rPr>
          <w:rFonts w:ascii="Times New Roman" w:eastAsia="MS Mincho" w:hAnsi="Times New Roman" w:cs="Times New Roman"/>
          <w:bCs/>
          <w:szCs w:val="24"/>
          <w:lang w:val="es-ES"/>
        </w:rPr>
        <w:t>;</w:t>
      </w:r>
    </w:p>
    <w:p w14:paraId="648490BD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4"/>
          <w:lang w:val="es-ES"/>
        </w:rPr>
      </w:pPr>
      <w:r w:rsidRPr="001A12BB">
        <w:rPr>
          <w:rFonts w:ascii="Times New Roman" w:eastAsia="MS Mincho" w:hAnsi="Times New Roman" w:cs="Times New Roman"/>
          <w:bCs/>
          <w:szCs w:val="20"/>
          <w:lang w:val="es-ES"/>
        </w:rPr>
        <w:t>2</w:t>
      </w:r>
      <w:r w:rsidRPr="001A12BB">
        <w:rPr>
          <w:rFonts w:ascii="Times New Roman" w:eastAsia="MS Mincho" w:hAnsi="Times New Roman" w:cs="Times New Roman"/>
          <w:szCs w:val="20"/>
          <w:lang w:val="es-ES"/>
        </w:rPr>
        <w:tab/>
        <w:t>que los resultados de los estudios realizados en el marco de esta Cuestión se incluyan en una o más Recomendaciones y/o Informes UIT-T, según proceda</w:t>
      </w:r>
      <w:r w:rsidRPr="001A12BB">
        <w:rPr>
          <w:rFonts w:ascii="Times New Roman" w:eastAsia="MS Mincho" w:hAnsi="Times New Roman" w:cs="Times New Roman"/>
          <w:szCs w:val="24"/>
          <w:lang w:val="es-ES"/>
        </w:rPr>
        <w:t>;</w:t>
      </w:r>
    </w:p>
    <w:p w14:paraId="4CB18EB5" w14:textId="77777777" w:rsidR="00B97C88" w:rsidRPr="001A12BB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="Times New Roman" w:eastAsia="MS Mincho" w:hAnsi="Times New Roman" w:cs="Times New Roman"/>
          <w:szCs w:val="20"/>
          <w:lang w:val="es-ES"/>
        </w:rPr>
      </w:pPr>
      <w:r w:rsidRPr="001A12BB">
        <w:rPr>
          <w:rFonts w:ascii="Times New Roman" w:eastAsia="MS Mincho" w:hAnsi="Times New Roman" w:cs="Times New Roman"/>
          <w:szCs w:val="24"/>
          <w:lang w:val="es-ES"/>
        </w:rPr>
        <w:t>3</w:t>
      </w:r>
      <w:r w:rsidRPr="001A12BB">
        <w:rPr>
          <w:rFonts w:ascii="Times New Roman" w:eastAsia="MS Mincho" w:hAnsi="Times New Roman" w:cs="Times New Roman"/>
          <w:szCs w:val="24"/>
          <w:lang w:val="es-ES"/>
        </w:rPr>
        <w:tab/>
        <w:t>que dichos estudios se terminen en 2027.</w:t>
      </w:r>
    </w:p>
    <w:p w14:paraId="24E4963E" w14:textId="61829647" w:rsidR="00860893" w:rsidRDefault="00B97C88" w:rsidP="00B97C8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jc w:val="left"/>
      </w:pPr>
      <w:r w:rsidRPr="001A12BB">
        <w:rPr>
          <w:rFonts w:ascii="Times New Roman" w:eastAsia="MS Mincho" w:hAnsi="Times New Roman" w:cs="Times New Roman"/>
          <w:szCs w:val="20"/>
          <w:lang w:val="es-ES"/>
        </w:rPr>
        <w:t>Categoría: S2</w:t>
      </w:r>
    </w:p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054B8E3F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B97C88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7B13A4"/>
    <w:rsid w:val="00860893"/>
    <w:rsid w:val="00935E56"/>
    <w:rsid w:val="009D1DC3"/>
    <w:rsid w:val="009E2590"/>
    <w:rsid w:val="00A127AD"/>
    <w:rsid w:val="00A31D52"/>
    <w:rsid w:val="00B966F9"/>
    <w:rsid w:val="00B97C88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C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 w:line="240" w:lineRule="auto"/>
      <w:ind w:left="794" w:hanging="794"/>
      <w:jc w:val="left"/>
      <w:outlineLvl w:val="0"/>
    </w:pPr>
    <w:rPr>
      <w:rFonts w:ascii="Times New Roman" w:hAnsi="Times New Roman" w:cs="Times New Roman"/>
      <w:b/>
      <w:szCs w:val="20"/>
      <w:lang w:val="es-ES_tradnl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jc w:val="left"/>
    </w:pPr>
    <w:rPr>
      <w:rFonts w:ascii="Times New Roman" w:hAnsi="Times New Roman" w:cs="Times New Roman"/>
      <w:caps/>
      <w:noProof/>
      <w:sz w:val="16"/>
      <w:szCs w:val="20"/>
      <w:lang w:val="es-ES_tradnl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auto"/>
      <w:jc w:val="left"/>
    </w:pPr>
    <w:rPr>
      <w:rFonts w:ascii="Times New Roman" w:hAnsi="Times New Roman" w:cs="Times New Roman"/>
      <w:sz w:val="22"/>
      <w:szCs w:val="20"/>
      <w:lang w:val="es-ES_tradnl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Headingb">
    <w:name w:val="Heading_b"/>
    <w:basedOn w:val="Normal"/>
    <w:next w:val="Normal"/>
    <w:pPr>
      <w:keepNext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line="240" w:lineRule="auto"/>
      <w:jc w:val="left"/>
    </w:pPr>
    <w:rPr>
      <w:rFonts w:ascii="Times New Roman" w:hAnsi="Times New Roman" w:cs="Times New Roman"/>
      <w:i/>
      <w:szCs w:val="20"/>
      <w:lang w:val="es-ES_tradnl"/>
    </w:rPr>
  </w:style>
  <w:style w:type="paragraph" w:styleId="Index1">
    <w:name w:val="index 1"/>
    <w:basedOn w:val="Normal"/>
    <w:next w:val="Normal"/>
    <w:pPr>
      <w:spacing w:before="1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paragraph" w:styleId="Index2">
    <w:name w:val="index 2"/>
    <w:basedOn w:val="Normal"/>
    <w:next w:val="Normal"/>
    <w:pPr>
      <w:spacing w:before="120" w:line="240" w:lineRule="auto"/>
      <w:ind w:left="283"/>
      <w:jc w:val="left"/>
    </w:pPr>
    <w:rPr>
      <w:rFonts w:ascii="Times New Roman" w:hAnsi="Times New Roman" w:cs="Times New Roman"/>
      <w:szCs w:val="20"/>
      <w:lang w:val="es-ES_tradnl"/>
    </w:rPr>
  </w:style>
  <w:style w:type="paragraph" w:styleId="Index3">
    <w:name w:val="index 3"/>
    <w:basedOn w:val="Normal"/>
    <w:next w:val="Normal"/>
    <w:pPr>
      <w:spacing w:before="120" w:line="240" w:lineRule="auto"/>
      <w:ind w:left="566"/>
      <w:jc w:val="left"/>
    </w:pPr>
    <w:rPr>
      <w:rFonts w:ascii="Times New Roman" w:hAnsi="Times New Roman" w:cs="Times New Roman"/>
      <w:szCs w:val="20"/>
      <w:lang w:val="es-ES_tradnl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 w:line="240" w:lineRule="auto"/>
      <w:ind w:left="680" w:right="851" w:hanging="680"/>
      <w:jc w:val="left"/>
    </w:pPr>
    <w:rPr>
      <w:rFonts w:ascii="Times New Roman" w:hAnsi="Times New Roman" w:cs="Times New Roman"/>
      <w:szCs w:val="20"/>
      <w:lang w:val="es-ES_tradnl"/>
    </w:r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2</Pages>
  <Words>807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Author</cp:lastModifiedBy>
  <cp:revision>5</cp:revision>
  <cp:lastPrinted>2008-02-21T14:04:00Z</cp:lastPrinted>
  <dcterms:created xsi:type="dcterms:W3CDTF">2024-01-17T07:42:00Z</dcterms:created>
  <dcterms:modified xsi:type="dcterms:W3CDTF">2024-01-19T13:48:00Z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